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9710A5">
        <w:rPr>
          <w:rFonts w:eastAsia="宋体" w:cs="Arial"/>
          <w:sz w:val="24"/>
          <w:szCs w:val="24"/>
          <w:lang w:eastAsia="zh-CN"/>
        </w:rPr>
        <w:t>4</w:t>
      </w:r>
      <w:r w:rsidRPr="00F82F01">
        <w:rPr>
          <w:rFonts w:eastAsia="宋体" w:cs="Arial"/>
          <w:sz w:val="24"/>
          <w:szCs w:val="24"/>
          <w:lang w:eastAsia="zh-CN"/>
        </w:rPr>
        <w:tab/>
        <w:t>R4-2</w:t>
      </w:r>
      <w:r w:rsidR="00210B97">
        <w:rPr>
          <w:rFonts w:eastAsia="宋体" w:cs="Arial"/>
          <w:sz w:val="24"/>
          <w:szCs w:val="24"/>
          <w:lang w:eastAsia="zh-CN"/>
        </w:rPr>
        <w:t>5</w:t>
      </w:r>
      <w:r w:rsidR="00EA0129">
        <w:rPr>
          <w:rFonts w:eastAsia="宋体" w:cs="Arial"/>
          <w:sz w:val="24"/>
          <w:szCs w:val="24"/>
          <w:lang w:eastAsia="zh-CN"/>
        </w:rPr>
        <w:t>0</w:t>
      </w:r>
      <w:r w:rsidR="002C4360">
        <w:rPr>
          <w:rFonts w:eastAsia="宋体" w:cs="Arial"/>
          <w:sz w:val="24"/>
          <w:szCs w:val="24"/>
          <w:lang w:eastAsia="zh-CN"/>
        </w:rPr>
        <w:t>1448</w:t>
      </w:r>
      <w:bookmarkStart w:id="4" w:name="_GoBack"/>
      <w:bookmarkEnd w:id="4"/>
    </w:p>
    <w:p w:rsidR="00210B97" w:rsidRPr="0078113D" w:rsidRDefault="00210B97" w:rsidP="00210B97">
      <w:pPr>
        <w:pStyle w:val="CRCoverPage"/>
        <w:outlineLvl w:val="0"/>
        <w:rPr>
          <w:b/>
          <w:noProof/>
          <w:sz w:val="24"/>
        </w:rPr>
      </w:pPr>
      <w:r>
        <w:rPr>
          <w:rFonts w:cs="Arial"/>
          <w:b/>
          <w:sz w:val="24"/>
          <w:szCs w:val="24"/>
          <w:lang w:eastAsia="zh-CN"/>
        </w:rPr>
        <w:t>Athens</w:t>
      </w:r>
      <w:r w:rsidRPr="007F65D6">
        <w:rPr>
          <w:rFonts w:cs="Arial"/>
          <w:b/>
          <w:sz w:val="24"/>
          <w:szCs w:val="24"/>
          <w:lang w:eastAsia="zh-CN"/>
        </w:rPr>
        <w:t xml:space="preserve">, </w:t>
      </w:r>
      <w:r>
        <w:rPr>
          <w:rFonts w:cs="Arial"/>
          <w:b/>
          <w:sz w:val="24"/>
          <w:szCs w:val="24"/>
          <w:lang w:eastAsia="zh-CN"/>
        </w:rPr>
        <w:t>Greece</w:t>
      </w:r>
      <w:r w:rsidRPr="007F65D6">
        <w:rPr>
          <w:rFonts w:cs="Arial"/>
          <w:b/>
          <w:sz w:val="24"/>
          <w:szCs w:val="24"/>
          <w:lang w:eastAsia="zh-CN"/>
        </w:rPr>
        <w:t>, 1</w:t>
      </w:r>
      <w:r>
        <w:rPr>
          <w:rFonts w:cs="Arial"/>
          <w:b/>
          <w:sz w:val="24"/>
          <w:szCs w:val="24"/>
          <w:lang w:eastAsia="zh-CN"/>
        </w:rPr>
        <w:t>7</w:t>
      </w:r>
      <w:r w:rsidRPr="007F65D6">
        <w:rPr>
          <w:rFonts w:cs="Arial"/>
          <w:b/>
          <w:sz w:val="24"/>
          <w:szCs w:val="24"/>
          <w:vertAlign w:val="superscript"/>
          <w:lang w:eastAsia="zh-CN"/>
        </w:rPr>
        <w:t>th</w:t>
      </w:r>
      <w:r w:rsidRPr="007F65D6">
        <w:rPr>
          <w:rFonts w:cs="Arial"/>
          <w:b/>
          <w:sz w:val="24"/>
          <w:szCs w:val="24"/>
          <w:lang w:eastAsia="zh-CN"/>
        </w:rPr>
        <w:t xml:space="preserve"> – 2</w:t>
      </w:r>
      <w:r>
        <w:rPr>
          <w:rFonts w:cs="Arial"/>
          <w:b/>
          <w:sz w:val="24"/>
          <w:szCs w:val="24"/>
          <w:lang w:eastAsia="zh-CN"/>
        </w:rPr>
        <w:t>1</w:t>
      </w:r>
      <w:r>
        <w:rPr>
          <w:rFonts w:cs="Arial"/>
          <w:b/>
          <w:sz w:val="24"/>
          <w:szCs w:val="24"/>
          <w:vertAlign w:val="superscript"/>
          <w:lang w:eastAsia="zh-CN"/>
        </w:rPr>
        <w:t>st</w:t>
      </w:r>
      <w:r w:rsidRPr="007F65D6">
        <w:rPr>
          <w:rFonts w:cs="Arial"/>
          <w:b/>
          <w:sz w:val="24"/>
          <w:szCs w:val="24"/>
          <w:lang w:eastAsia="zh-CN"/>
        </w:rPr>
        <w:t xml:space="preserve"> </w:t>
      </w:r>
      <w:r>
        <w:rPr>
          <w:rFonts w:cs="Arial"/>
          <w:b/>
          <w:sz w:val="24"/>
          <w:szCs w:val="24"/>
          <w:lang w:eastAsia="zh-CN"/>
        </w:rPr>
        <w:t>February</w:t>
      </w:r>
      <w:r w:rsidRPr="007F65D6">
        <w:rPr>
          <w:rFonts w:cs="Arial"/>
          <w:b/>
          <w:sz w:val="24"/>
          <w:szCs w:val="24"/>
          <w:lang w:eastAsia="zh-CN"/>
        </w:rPr>
        <w:t>, 202</w:t>
      </w:r>
      <w:r>
        <w:rPr>
          <w:rFonts w:cs="Arial"/>
          <w:b/>
          <w:sz w:val="24"/>
          <w:szCs w:val="24"/>
          <w:lang w:eastAsia="zh-CN"/>
        </w:rPr>
        <w:t>5</w:t>
      </w:r>
    </w:p>
    <w:p w:rsidR="00537A05" w:rsidRPr="00210B9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2318E" w:rsidRPr="0022318E">
        <w:rPr>
          <w:rFonts w:ascii="Arial" w:hAnsi="Arial" w:cs="Arial"/>
          <w:sz w:val="22"/>
        </w:rPr>
        <w:t>(</w:t>
      </w:r>
      <w:proofErr w:type="spellStart"/>
      <w:r w:rsidR="0022318E" w:rsidRPr="0022318E">
        <w:rPr>
          <w:rFonts w:ascii="Arial" w:hAnsi="Arial" w:cs="Arial"/>
          <w:sz w:val="22"/>
        </w:rPr>
        <w:t>NR_NTN_enh</w:t>
      </w:r>
      <w:proofErr w:type="spellEnd"/>
      <w:r w:rsidR="0022318E" w:rsidRPr="0022318E">
        <w:rPr>
          <w:rFonts w:ascii="Arial" w:hAnsi="Arial" w:cs="Arial"/>
          <w:sz w:val="22"/>
        </w:rPr>
        <w:t>-Core) Discussion and draft replied LS on the FR2-NTN UE capabilities for 200Mhz channel bandwidth and 2 MIMO layers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1A30B0" w:rsidRPr="001A30B0">
        <w:rPr>
          <w:rFonts w:ascii="Arial" w:eastAsia="宋体" w:hAnsi="Arial" w:cs="Arial"/>
          <w:sz w:val="22"/>
          <w:lang w:eastAsia="zh-CN"/>
        </w:rPr>
        <w:t>5.21.1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EE3581"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w:t>
      </w:r>
      <w:r w:rsidR="00EE3581">
        <w:rPr>
          <w:rFonts w:eastAsia="宋体"/>
          <w:lang w:val="en-US" w:eastAsia="zh-CN"/>
        </w:rPr>
        <w:t>this</w:t>
      </w:r>
      <w:r w:rsidR="001505CB">
        <w:rPr>
          <w:rFonts w:eastAsia="宋体"/>
          <w:lang w:val="en-US" w:eastAsia="zh-CN"/>
        </w:rPr>
        <w:t xml:space="preserve"> </w:t>
      </w:r>
      <w:r w:rsidR="00B07827">
        <w:rPr>
          <w:rFonts w:eastAsia="宋体"/>
          <w:lang w:val="en-US" w:eastAsia="zh-CN"/>
        </w:rPr>
        <w:t xml:space="preserve">meeting, </w:t>
      </w:r>
      <w:r w:rsidR="00EE3581">
        <w:rPr>
          <w:rFonts w:eastAsia="宋体"/>
          <w:lang w:val="en-US" w:eastAsia="zh-CN"/>
        </w:rPr>
        <w:t xml:space="preserve">RAN4 received the </w:t>
      </w:r>
      <w:r w:rsidR="004E4ADC">
        <w:rPr>
          <w:rFonts w:eastAsia="宋体"/>
          <w:lang w:val="en-US" w:eastAsia="zh-CN"/>
        </w:rPr>
        <w:t xml:space="preserve">LS [1] from RAN2 and was asked whether </w:t>
      </w:r>
      <w:r w:rsidR="004E4ADC" w:rsidRPr="004E4ADC">
        <w:rPr>
          <w:rFonts w:eastAsia="宋体"/>
          <w:lang w:val="en-US" w:eastAsia="zh-CN"/>
        </w:rPr>
        <w:t>UE capabilities for 200Mhz channel bandwidth and 2 MIMO layers are mandatory for FR2-NTN bands</w:t>
      </w:r>
      <w:r w:rsidR="004E4ADC">
        <w:rPr>
          <w:rFonts w:eastAsia="宋体"/>
          <w:lang w:val="en-US" w:eastAsia="zh-CN"/>
        </w:rPr>
        <w:t xml:space="preserve"> as below.</w:t>
      </w:r>
    </w:p>
    <w:p w:rsidR="00EE3581" w:rsidRDefault="00EE3581"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7D06FF" w:rsidTr="007D06FF">
        <w:tc>
          <w:tcPr>
            <w:tcW w:w="9631" w:type="dxa"/>
          </w:tcPr>
          <w:p w:rsidR="007D06FF" w:rsidRPr="007D06FF" w:rsidRDefault="007D06FF" w:rsidP="00A779C9">
            <w:pPr>
              <w:widowControl w:val="0"/>
              <w:overflowPunct/>
              <w:autoSpaceDE/>
              <w:autoSpaceDN/>
              <w:adjustRightInd/>
              <w:spacing w:after="0"/>
              <w:textAlignment w:val="auto"/>
              <w:rPr>
                <w:rFonts w:eastAsia="宋体"/>
                <w:i/>
                <w:lang w:val="en-US" w:eastAsia="zh-CN"/>
              </w:rPr>
            </w:pPr>
            <w:r w:rsidRPr="007D06FF">
              <w:rPr>
                <w:rFonts w:eastAsia="宋体"/>
                <w:i/>
                <w:lang w:val="en-US" w:eastAsia="zh-CN"/>
              </w:rPr>
              <w:t>At RAN2#128 it has been discussed UE capabilities for FR2-NTN bands. RAN2 would like to check with RAN4 whether UE capabilities for 200Mhz channel bandwidth and 2 MIMO layers are mandatory for FR2-NTN bands.</w:t>
            </w:r>
          </w:p>
        </w:tc>
      </w:tr>
    </w:tbl>
    <w:p w:rsidR="007D06FF" w:rsidRDefault="007D06FF" w:rsidP="00A779C9">
      <w:pPr>
        <w:widowControl w:val="0"/>
        <w:overflowPunct/>
        <w:autoSpaceDE/>
        <w:autoSpaceDN/>
        <w:adjustRightInd/>
        <w:spacing w:after="0"/>
        <w:textAlignment w:val="auto"/>
        <w:rPr>
          <w:rFonts w:eastAsia="宋体"/>
          <w:lang w:val="en-US" w:eastAsia="zh-CN"/>
        </w:rPr>
      </w:pPr>
    </w:p>
    <w:p w:rsidR="00083B9F" w:rsidRDefault="00083B9F" w:rsidP="00A779C9">
      <w:pPr>
        <w:widowControl w:val="0"/>
        <w:overflowPunct/>
        <w:autoSpaceDE/>
        <w:autoSpaceDN/>
        <w:adjustRightInd/>
        <w:spacing w:after="0"/>
        <w:textAlignment w:val="auto"/>
        <w:rPr>
          <w:sz w:val="21"/>
          <w:szCs w:val="21"/>
        </w:rPr>
      </w:pPr>
    </w:p>
    <w:p w:rsidR="005269C0" w:rsidRDefault="00F564F4" w:rsidP="00A779C9">
      <w:pPr>
        <w:widowControl w:val="0"/>
        <w:overflowPunct/>
        <w:autoSpaceDE/>
        <w:autoSpaceDN/>
        <w:adjustRightInd/>
        <w:spacing w:after="0"/>
        <w:textAlignment w:val="auto"/>
        <w:rPr>
          <w:rFonts w:eastAsia="宋体"/>
          <w:lang w:val="en-US" w:eastAsia="zh-CN"/>
        </w:rPr>
      </w:pPr>
      <w:r>
        <w:rPr>
          <w:sz w:val="21"/>
          <w:szCs w:val="21"/>
        </w:rPr>
        <w:t>I</w:t>
      </w:r>
      <w:r w:rsidR="00344EB6">
        <w:rPr>
          <w:sz w:val="21"/>
          <w:szCs w:val="21"/>
        </w:rPr>
        <w:t xml:space="preserve">n this paper, we’d like to </w:t>
      </w:r>
      <w:r w:rsidR="007D06FF">
        <w:rPr>
          <w:sz w:val="21"/>
          <w:szCs w:val="21"/>
        </w:rPr>
        <w:t>discuss the issue raised by RAN2 and provide the draft replied LS</w:t>
      </w:r>
      <w:r w:rsidR="00C53373">
        <w:rPr>
          <w:sz w:val="21"/>
          <w:szCs w:val="21"/>
        </w:rPr>
        <w:t>.</w:t>
      </w:r>
    </w:p>
    <w:p w:rsidR="005269C0" w:rsidRDefault="005269C0" w:rsidP="00A779C9">
      <w:pPr>
        <w:widowControl w:val="0"/>
        <w:overflowPunct/>
        <w:autoSpaceDE/>
        <w:autoSpaceDN/>
        <w:adjustRightInd/>
        <w:spacing w:after="0"/>
        <w:textAlignment w:val="auto"/>
        <w:rPr>
          <w:rFonts w:eastAsia="宋体"/>
          <w:lang w:val="en-US" w:eastAsia="zh-CN"/>
        </w:rPr>
      </w:pPr>
    </w:p>
    <w:p w:rsidR="005E68C9" w:rsidRPr="005E68C9" w:rsidRDefault="004736D4" w:rsidP="00EE3581">
      <w:pPr>
        <w:pStyle w:val="1"/>
        <w:spacing w:after="240"/>
        <w:rPr>
          <w:rFonts w:eastAsiaTheme="minorEastAsia"/>
          <w:lang w:eastAsia="zh-CN"/>
        </w:rPr>
      </w:pPr>
      <w:r>
        <w:rPr>
          <w:rFonts w:hint="eastAsia"/>
          <w:lang w:eastAsia="zh-CN"/>
        </w:rPr>
        <w:t>Discussion</w:t>
      </w:r>
    </w:p>
    <w:p w:rsidR="007D06FF" w:rsidRPr="007D06FF" w:rsidRDefault="007D06FF" w:rsidP="0048224B">
      <w:pPr>
        <w:widowControl w:val="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the Rel-18, RAN4 introduced the Ka bands as FR2-NTN features. According to the NOTEs specified in table </w:t>
      </w:r>
      <w:r w:rsidR="005163FB">
        <w:rPr>
          <w:rFonts w:eastAsiaTheme="minorEastAsia"/>
          <w:lang w:val="en-US" w:eastAsia="zh-CN"/>
        </w:rPr>
        <w:t>5.1-1 of TS 38.101-5 [2], it means that FR2-NTN bands can refer to the features / capabilities specified for TN FR2</w:t>
      </w:r>
      <w:r w:rsidR="007301A7">
        <w:rPr>
          <w:rFonts w:eastAsiaTheme="minorEastAsia"/>
          <w:lang w:val="en-US" w:eastAsia="zh-CN"/>
        </w:rPr>
        <w:t>-1</w:t>
      </w:r>
      <w:r w:rsidR="005163FB">
        <w:rPr>
          <w:rFonts w:eastAsiaTheme="minorEastAsia"/>
          <w:lang w:val="en-US" w:eastAsia="zh-CN"/>
        </w:rPr>
        <w:t xml:space="preserve"> bands</w:t>
      </w:r>
      <w:r w:rsidR="007301A7" w:rsidRPr="007301A7">
        <w:t xml:space="preserve"> </w:t>
      </w:r>
      <w:r w:rsidR="007301A7" w:rsidRPr="007301A7">
        <w:rPr>
          <w:rFonts w:eastAsiaTheme="minorEastAsia"/>
          <w:lang w:val="en-US" w:eastAsia="zh-CN"/>
        </w:rPr>
        <w:t>unless otherwise stated</w:t>
      </w:r>
      <w:r w:rsidR="005163FB">
        <w:rPr>
          <w:rFonts w:eastAsiaTheme="minorEastAsia"/>
          <w:lang w:val="en-US" w:eastAsia="zh-CN"/>
        </w:rPr>
        <w:t>.</w:t>
      </w:r>
    </w:p>
    <w:p w:rsidR="007D06FF" w:rsidRDefault="007D06FF" w:rsidP="0048224B">
      <w:pPr>
        <w:widowControl w:val="0"/>
        <w:rPr>
          <w:lang w:val="en-US" w:eastAsia="zh-CN"/>
        </w:rPr>
      </w:pPr>
    </w:p>
    <w:tbl>
      <w:tblPr>
        <w:tblStyle w:val="afc"/>
        <w:tblW w:w="0" w:type="auto"/>
        <w:tblLook w:val="04A0" w:firstRow="1" w:lastRow="0" w:firstColumn="1" w:lastColumn="0" w:noHBand="0" w:noVBand="1"/>
      </w:tblPr>
      <w:tblGrid>
        <w:gridCol w:w="9631"/>
      </w:tblGrid>
      <w:tr w:rsidR="005163FB" w:rsidTr="005163FB">
        <w:tc>
          <w:tcPr>
            <w:tcW w:w="9631" w:type="dxa"/>
          </w:tcPr>
          <w:p w:rsidR="005163FB" w:rsidRDefault="005163FB" w:rsidP="0048224B">
            <w:pPr>
              <w:widowControl w:val="0"/>
              <w:rPr>
                <w:rFonts w:eastAsiaTheme="minorEastAsia"/>
                <w:lang w:val="en-US" w:eastAsia="zh-CN"/>
              </w:rPr>
            </w:pPr>
          </w:p>
          <w:p w:rsidR="005163FB" w:rsidRDefault="005163FB" w:rsidP="005163FB">
            <w:pPr>
              <w:pStyle w:val="1"/>
              <w:numPr>
                <w:ilvl w:val="0"/>
                <w:numId w:val="0"/>
              </w:numPr>
              <w:ind w:left="533" w:hanging="533"/>
              <w:outlineLvl w:val="0"/>
              <w:rPr>
                <w:lang w:eastAsia="zh-CN"/>
              </w:rPr>
            </w:pPr>
            <w:bookmarkStart w:id="5" w:name="_Toc176775190"/>
            <w:bookmarkStart w:id="6" w:name="_Toc171551468"/>
            <w:bookmarkStart w:id="7" w:name="_Toc169888279"/>
            <w:bookmarkStart w:id="8" w:name="_Toc163202017"/>
            <w:bookmarkStart w:id="9" w:name="_Toc161754444"/>
            <w:bookmarkStart w:id="10" w:name="_Toc161753823"/>
            <w:bookmarkStart w:id="11" w:name="_Toc155382116"/>
            <w:bookmarkStart w:id="12" w:name="_Toc145690569"/>
            <w:bookmarkStart w:id="13" w:name="_Toc138885066"/>
            <w:bookmarkStart w:id="14" w:name="_Toc137372680"/>
            <w:bookmarkStart w:id="15" w:name="_Toc131734903"/>
            <w:bookmarkStart w:id="16" w:name="_Toc124256590"/>
            <w:bookmarkStart w:id="17" w:name="_Toc123057897"/>
            <w:bookmarkStart w:id="18" w:name="_Toc106127532"/>
            <w:bookmarkStart w:id="19" w:name="_Toc104503610"/>
            <w:bookmarkStart w:id="20" w:name="_Toc104206650"/>
            <w:bookmarkStart w:id="21" w:name="_Toc104205443"/>
            <w:bookmarkStart w:id="22" w:name="_Toc104122492"/>
            <w:bookmarkStart w:id="23" w:name="_Toc97562265"/>
            <w:r>
              <w:t>5</w:t>
            </w:r>
            <w:r>
              <w:tab/>
              <w:t>Operating bands and channel arrangement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5163FB" w:rsidRDefault="005163FB" w:rsidP="005163FB">
            <w:pPr>
              <w:pStyle w:val="2"/>
              <w:numPr>
                <w:ilvl w:val="0"/>
                <w:numId w:val="0"/>
              </w:numPr>
              <w:spacing w:after="240"/>
              <w:outlineLvl w:val="1"/>
            </w:pPr>
            <w:bookmarkStart w:id="24" w:name="_Toc176775191"/>
            <w:bookmarkStart w:id="25" w:name="_Toc171551469"/>
            <w:bookmarkStart w:id="26" w:name="_Toc169888280"/>
            <w:bookmarkStart w:id="27" w:name="_Toc163202018"/>
            <w:bookmarkStart w:id="28" w:name="_Toc161754445"/>
            <w:bookmarkStart w:id="29" w:name="_Toc161753824"/>
            <w:bookmarkStart w:id="30" w:name="_Toc155382117"/>
            <w:bookmarkStart w:id="31" w:name="_Toc145690570"/>
            <w:bookmarkStart w:id="32" w:name="_Toc138885067"/>
            <w:bookmarkStart w:id="33" w:name="_Toc137372681"/>
            <w:bookmarkStart w:id="34" w:name="_Toc131734904"/>
            <w:bookmarkStart w:id="35" w:name="_Toc124256591"/>
            <w:bookmarkStart w:id="36" w:name="_Toc123057898"/>
            <w:bookmarkStart w:id="37" w:name="_Toc106127533"/>
            <w:bookmarkStart w:id="38" w:name="_Toc104503611"/>
            <w:bookmarkStart w:id="39" w:name="_Toc104206651"/>
            <w:bookmarkStart w:id="40" w:name="_Toc104205444"/>
            <w:bookmarkStart w:id="41" w:name="_Toc104122493"/>
            <w:bookmarkStart w:id="42" w:name="_Toc97562266"/>
            <w:r>
              <w:t>5.1</w:t>
            </w:r>
            <w: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5163FB" w:rsidRDefault="005163FB" w:rsidP="005163FB">
            <w:r>
              <w:t>The channel arrangements presented in this clause are based on the operating bands and channel bandwidths defined in the present Release of specifications.</w:t>
            </w:r>
          </w:p>
          <w:p w:rsidR="005163FB" w:rsidRDefault="005163FB" w:rsidP="005163FB">
            <w:pPr>
              <w:pStyle w:val="NO"/>
              <w:spacing w:after="240"/>
            </w:pPr>
            <w:r>
              <w:t>NOTE:</w:t>
            </w:r>
            <w:r>
              <w:tab/>
              <w:t>Other operating bands and channel bandwidths may be considered in future Releases.</w:t>
            </w:r>
          </w:p>
          <w:p w:rsidR="005163FB" w:rsidRDefault="005163FB" w:rsidP="005163FB">
            <w:r>
              <w:t>Requirements throughout the RF specifications are in many cases defined separately for different frequency ranges (FR). The frequency ranges in which N</w:t>
            </w:r>
            <w:r>
              <w:rPr>
                <w:lang w:val="en-US"/>
              </w:rPr>
              <w:t xml:space="preserve">TN satellite </w:t>
            </w:r>
            <w:r>
              <w:t>can operate according to this version of the specification are identified as described in Table 5.1-1.</w:t>
            </w:r>
          </w:p>
          <w:p w:rsidR="005163FB" w:rsidRDefault="005163FB" w:rsidP="005163FB">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5163FB" w:rsidTr="005163F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5163FB" w:rsidRDefault="005163FB" w:rsidP="005163FB">
                  <w:pPr>
                    <w:pStyle w:val="TAH"/>
                    <w:rPr>
                      <w:lang w:eastAsia="en-GB"/>
                    </w:rPr>
                  </w:pPr>
                  <w:r>
                    <w:rPr>
                      <w:lang w:eastAsia="en-GB"/>
                    </w:rPr>
                    <w:t>Frequency range designation</w:t>
                  </w:r>
                </w:p>
              </w:tc>
              <w:tc>
                <w:tcPr>
                  <w:tcW w:w="4884" w:type="dxa"/>
                  <w:tcBorders>
                    <w:top w:val="single" w:sz="4" w:space="0" w:color="auto"/>
                    <w:left w:val="single" w:sz="4" w:space="0" w:color="auto"/>
                    <w:bottom w:val="single" w:sz="4" w:space="0" w:color="auto"/>
                    <w:right w:val="single" w:sz="4" w:space="0" w:color="auto"/>
                  </w:tcBorders>
                  <w:hideMark/>
                </w:tcPr>
                <w:p w:rsidR="005163FB" w:rsidRDefault="005163FB" w:rsidP="005163FB">
                  <w:pPr>
                    <w:pStyle w:val="TAH"/>
                    <w:rPr>
                      <w:lang w:eastAsia="en-GB"/>
                    </w:rPr>
                  </w:pPr>
                  <w:r>
                    <w:rPr>
                      <w:lang w:eastAsia="en-GB"/>
                    </w:rPr>
                    <w:t xml:space="preserve">Corresponding frequency range </w:t>
                  </w:r>
                </w:p>
              </w:tc>
            </w:tr>
            <w:tr w:rsidR="005163FB" w:rsidTr="005163F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5163FB" w:rsidRDefault="005163FB" w:rsidP="005163FB">
                  <w:pPr>
                    <w:pStyle w:val="TAC"/>
                    <w:rPr>
                      <w:lang w:eastAsia="en-GB"/>
                    </w:rPr>
                  </w:pPr>
                  <w:r>
                    <w:rPr>
                      <w:lang w:eastAsia="en-GB"/>
                    </w:rPr>
                    <w:t>FR1-NTN</w:t>
                  </w:r>
                  <w:r>
                    <w:rPr>
                      <w:vertAlign w:val="superscript"/>
                      <w:lang w:eastAsia="en-GB"/>
                    </w:rPr>
                    <w:t xml:space="preserve"> </w:t>
                  </w:r>
                  <w:r>
                    <w:rPr>
                      <w:lang w:eastAsia="en-GB"/>
                    </w:rPr>
                    <w:t>(Note 1)</w:t>
                  </w:r>
                </w:p>
              </w:tc>
              <w:tc>
                <w:tcPr>
                  <w:tcW w:w="4884" w:type="dxa"/>
                  <w:tcBorders>
                    <w:top w:val="single" w:sz="4" w:space="0" w:color="auto"/>
                    <w:left w:val="single" w:sz="4" w:space="0" w:color="auto"/>
                    <w:bottom w:val="single" w:sz="4" w:space="0" w:color="auto"/>
                    <w:right w:val="single" w:sz="4" w:space="0" w:color="auto"/>
                  </w:tcBorders>
                  <w:hideMark/>
                </w:tcPr>
                <w:p w:rsidR="005163FB" w:rsidRDefault="005163FB" w:rsidP="005163FB">
                  <w:pPr>
                    <w:pStyle w:val="TAC"/>
                    <w:rPr>
                      <w:lang w:eastAsia="en-GB"/>
                    </w:rPr>
                  </w:pPr>
                  <w:r>
                    <w:rPr>
                      <w:lang w:eastAsia="en-GB"/>
                    </w:rPr>
                    <w:t>410 MHz – 7125 MHz</w:t>
                  </w:r>
                </w:p>
              </w:tc>
            </w:tr>
            <w:tr w:rsidR="005163FB" w:rsidTr="005163F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5163FB" w:rsidRDefault="005163FB" w:rsidP="005163FB">
                  <w:pPr>
                    <w:pStyle w:val="TAC"/>
                    <w:rPr>
                      <w:lang w:eastAsia="en-GB"/>
                    </w:rPr>
                  </w:pPr>
                  <w:r>
                    <w:rPr>
                      <w:lang w:eastAsia="en-GB"/>
                    </w:rPr>
                    <w:t>FR2-NTN</w:t>
                  </w:r>
                  <w:r>
                    <w:rPr>
                      <w:vertAlign w:val="superscript"/>
                      <w:lang w:eastAsia="en-GB"/>
                    </w:rPr>
                    <w:t xml:space="preserve"> </w:t>
                  </w:r>
                  <w:r>
                    <w:rPr>
                      <w:lang w:eastAsia="en-GB"/>
                    </w:rPr>
                    <w:t>(Note 2)</w:t>
                  </w:r>
                </w:p>
              </w:tc>
              <w:tc>
                <w:tcPr>
                  <w:tcW w:w="4884" w:type="dxa"/>
                  <w:tcBorders>
                    <w:top w:val="single" w:sz="4" w:space="0" w:color="auto"/>
                    <w:left w:val="single" w:sz="4" w:space="0" w:color="auto"/>
                    <w:bottom w:val="single" w:sz="4" w:space="0" w:color="auto"/>
                    <w:right w:val="single" w:sz="4" w:space="0" w:color="auto"/>
                  </w:tcBorders>
                  <w:hideMark/>
                </w:tcPr>
                <w:p w:rsidR="005163FB" w:rsidRDefault="005163FB" w:rsidP="005163FB">
                  <w:pPr>
                    <w:pStyle w:val="TAC"/>
                    <w:rPr>
                      <w:lang w:eastAsia="en-GB"/>
                    </w:rPr>
                  </w:pPr>
                  <w:r>
                    <w:rPr>
                      <w:lang w:eastAsia="en-GB"/>
                    </w:rPr>
                    <w:t>17300 MHz – 30000 MHz</w:t>
                  </w:r>
                </w:p>
              </w:tc>
            </w:tr>
            <w:tr w:rsidR="005163FB" w:rsidTr="005163FB">
              <w:trPr>
                <w:cantSplit/>
                <w:jc w:val="center"/>
              </w:trPr>
              <w:tc>
                <w:tcPr>
                  <w:tcW w:w="7611" w:type="dxa"/>
                  <w:gridSpan w:val="2"/>
                  <w:tcBorders>
                    <w:top w:val="single" w:sz="4" w:space="0" w:color="auto"/>
                    <w:left w:val="single" w:sz="4" w:space="0" w:color="auto"/>
                    <w:bottom w:val="single" w:sz="4" w:space="0" w:color="auto"/>
                    <w:right w:val="single" w:sz="4" w:space="0" w:color="auto"/>
                  </w:tcBorders>
                  <w:hideMark/>
                </w:tcPr>
                <w:p w:rsidR="005163FB" w:rsidRDefault="005163FB" w:rsidP="005163FB">
                  <w:pPr>
                    <w:pStyle w:val="TAN"/>
                    <w:rPr>
                      <w:lang w:val="en-US" w:eastAsia="en-GB"/>
                    </w:rPr>
                  </w:pPr>
                  <w:r>
                    <w:rPr>
                      <w:lang w:val="en-US" w:eastAsia="en-GB"/>
                    </w:rPr>
                    <w:lastRenderedPageBreak/>
                    <w:t>NOTE 1:</w:t>
                  </w:r>
                  <w:r>
                    <w:rPr>
                      <w:lang w:eastAsia="en-GB"/>
                    </w:rPr>
                    <w:tab/>
                  </w:r>
                  <w:r>
                    <w:rPr>
                      <w:lang w:val="en-US" w:eastAsia="en-GB"/>
                    </w:rPr>
                    <w:t>NTN bands within this frequency range are regarded as a FR1 band when references from other specifications.</w:t>
                  </w:r>
                </w:p>
                <w:p w:rsidR="005163FB" w:rsidRDefault="005163FB" w:rsidP="005163FB">
                  <w:pPr>
                    <w:pStyle w:val="TAN"/>
                    <w:rPr>
                      <w:lang w:eastAsia="en-GB"/>
                    </w:rPr>
                  </w:pPr>
                  <w:r w:rsidRPr="005163FB">
                    <w:rPr>
                      <w:highlight w:val="yellow"/>
                      <w:lang w:val="en-US" w:eastAsia="en-GB"/>
                    </w:rPr>
                    <w:t>NOTE 2:</w:t>
                  </w:r>
                  <w:r w:rsidRPr="005163FB">
                    <w:rPr>
                      <w:highlight w:val="yellow"/>
                      <w:lang w:eastAsia="en-GB"/>
                    </w:rPr>
                    <w:tab/>
                  </w:r>
                  <w:r w:rsidRPr="005163FB">
                    <w:rPr>
                      <w:highlight w:val="yellow"/>
                      <w:lang w:val="en-US" w:eastAsia="en-GB"/>
                    </w:rPr>
                    <w:t xml:space="preserve">NTN bands within this frequency range are regarded as a FR2-1 band when references from other specifications </w:t>
                  </w:r>
                  <w:bookmarkStart w:id="43" w:name="_Hlk187744180"/>
                  <w:r w:rsidRPr="005163FB">
                    <w:rPr>
                      <w:highlight w:val="yellow"/>
                      <w:lang w:val="en-US" w:eastAsia="en-GB"/>
                    </w:rPr>
                    <w:t>unless otherwise stated</w:t>
                  </w:r>
                  <w:bookmarkEnd w:id="43"/>
                  <w:r w:rsidRPr="005163FB">
                    <w:rPr>
                      <w:highlight w:val="yellow"/>
                      <w:lang w:val="en-US" w:eastAsia="en-GB"/>
                    </w:rPr>
                    <w:t>.</w:t>
                  </w:r>
                </w:p>
              </w:tc>
            </w:tr>
          </w:tbl>
          <w:p w:rsidR="005163FB" w:rsidRPr="005163FB" w:rsidRDefault="005163FB" w:rsidP="0048224B">
            <w:pPr>
              <w:widowControl w:val="0"/>
              <w:rPr>
                <w:rFonts w:eastAsiaTheme="minorEastAsia"/>
                <w:lang w:val="en-US" w:eastAsia="zh-CN"/>
              </w:rPr>
            </w:pPr>
          </w:p>
          <w:p w:rsidR="005163FB" w:rsidRDefault="005163FB" w:rsidP="0048224B">
            <w:pPr>
              <w:widowControl w:val="0"/>
              <w:rPr>
                <w:rFonts w:eastAsiaTheme="minorEastAsia"/>
                <w:lang w:val="en-US" w:eastAsia="zh-CN"/>
              </w:rPr>
            </w:pPr>
          </w:p>
        </w:tc>
      </w:tr>
    </w:tbl>
    <w:p w:rsidR="005163FB" w:rsidRDefault="005163FB" w:rsidP="0048224B">
      <w:pPr>
        <w:widowControl w:val="0"/>
        <w:rPr>
          <w:rFonts w:eastAsiaTheme="minorEastAsia"/>
          <w:lang w:val="en-US" w:eastAsia="zh-CN"/>
        </w:rPr>
      </w:pPr>
    </w:p>
    <w:p w:rsidR="005163FB" w:rsidRDefault="00F46D95" w:rsidP="0048224B">
      <w:pPr>
        <w:widowControl w:val="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TN FR2-1 bands, it’s mandatory </w:t>
      </w:r>
      <w:r w:rsidR="00B95B37">
        <w:rPr>
          <w:rFonts w:eastAsiaTheme="minorEastAsia"/>
          <w:lang w:val="en-US" w:eastAsia="zh-CN"/>
        </w:rPr>
        <w:t xml:space="preserve">for UE </w:t>
      </w:r>
      <w:r>
        <w:rPr>
          <w:rFonts w:eastAsiaTheme="minorEastAsia"/>
          <w:lang w:val="en-US" w:eastAsia="zh-CN"/>
        </w:rPr>
        <w:t xml:space="preserve">to support </w:t>
      </w:r>
      <w:r w:rsidR="00B95B37">
        <w:rPr>
          <w:rFonts w:eastAsiaTheme="minorEastAsia"/>
          <w:lang w:val="en-US" w:eastAsia="zh-CN"/>
        </w:rPr>
        <w:t xml:space="preserve">the DL two MIMO layers in FR2 and UL/DL 200MHz in FR2 according to the following </w:t>
      </w:r>
      <w:proofErr w:type="spellStart"/>
      <w:r w:rsidR="00B95B37">
        <w:rPr>
          <w:rFonts w:eastAsiaTheme="minorEastAsia"/>
          <w:lang w:val="en-US" w:eastAsia="zh-CN"/>
        </w:rPr>
        <w:t>perCCperFS</w:t>
      </w:r>
      <w:proofErr w:type="spellEnd"/>
      <w:r w:rsidR="00B95B37">
        <w:rPr>
          <w:rFonts w:eastAsiaTheme="minorEastAsia"/>
          <w:lang w:val="en-US" w:eastAsia="zh-CN"/>
        </w:rPr>
        <w:t xml:space="preserve"> capabilities specified in TS 38.306.</w:t>
      </w:r>
    </w:p>
    <w:p w:rsidR="005163FB" w:rsidRDefault="005163FB" w:rsidP="0048224B">
      <w:pPr>
        <w:widowControl w:val="0"/>
        <w:rPr>
          <w:rFonts w:eastAsiaTheme="minorEastAsia"/>
          <w:lang w:val="en-US" w:eastAsia="zh-CN"/>
        </w:rPr>
      </w:pPr>
    </w:p>
    <w:p w:rsidR="0095532C" w:rsidRDefault="0095532C" w:rsidP="000B6283">
      <w:pPr>
        <w:widowControl w:val="0"/>
        <w:jc w:val="center"/>
        <w:rPr>
          <w:rFonts w:eastAsiaTheme="minorEastAsia"/>
          <w:lang w:val="en-US" w:eastAsia="zh-CN"/>
        </w:rPr>
      </w:pPr>
      <w:r>
        <w:rPr>
          <w:noProof/>
        </w:rPr>
        <w:drawing>
          <wp:inline distT="0" distB="0" distL="0" distR="0">
            <wp:extent cx="4509423" cy="1204985"/>
            <wp:effectExtent l="0" t="0" r="5715" b="0"/>
            <wp:docPr id="3" name="图片 3" descr="C:\Users\z00471447\AppData\Roaming\eSpace_Desktop\UserData\z00471447\imagefiles\547B5D74-8310-4BF3-BC34-6867B1FDCC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547B5D74-8310-4BF3-BC34-6867B1FDCC0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60140" cy="1218537"/>
                    </a:xfrm>
                    <a:prstGeom prst="rect">
                      <a:avLst/>
                    </a:prstGeom>
                    <a:noFill/>
                    <a:ln>
                      <a:noFill/>
                    </a:ln>
                  </pic:spPr>
                </pic:pic>
              </a:graphicData>
            </a:graphic>
          </wp:inline>
        </w:drawing>
      </w:r>
    </w:p>
    <w:p w:rsidR="0095532C" w:rsidRDefault="00AC67D4" w:rsidP="000B6283">
      <w:pPr>
        <w:widowControl w:val="0"/>
        <w:jc w:val="center"/>
        <w:rPr>
          <w:rFonts w:eastAsiaTheme="minorEastAsia"/>
          <w:lang w:val="en-US" w:eastAsia="zh-CN"/>
        </w:rPr>
      </w:pPr>
      <w:r>
        <w:rPr>
          <w:noProof/>
        </w:rPr>
        <w:drawing>
          <wp:inline distT="0" distB="0" distL="0" distR="0">
            <wp:extent cx="4459005" cy="1498285"/>
            <wp:effectExtent l="0" t="0" r="0" b="6985"/>
            <wp:docPr id="6" name="图片 6" descr="C:\Users\z00471447\AppData\Roaming\eSpace_Desktop\UserData\z00471447\imagefiles\7C550FE3-7B1C-4E69-9BFE-4AF8740C86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471447\AppData\Roaming\eSpace_Desktop\UserData\z00471447\imagefiles\7C550FE3-7B1C-4E69-9BFE-4AF8740C8640.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32452" cy="1522964"/>
                    </a:xfrm>
                    <a:prstGeom prst="rect">
                      <a:avLst/>
                    </a:prstGeom>
                    <a:noFill/>
                    <a:ln>
                      <a:noFill/>
                    </a:ln>
                  </pic:spPr>
                </pic:pic>
              </a:graphicData>
            </a:graphic>
          </wp:inline>
        </w:drawing>
      </w:r>
    </w:p>
    <w:p w:rsidR="0095532C" w:rsidRDefault="0095532C" w:rsidP="0048224B">
      <w:pPr>
        <w:widowControl w:val="0"/>
        <w:rPr>
          <w:rFonts w:eastAsiaTheme="minorEastAsia"/>
          <w:lang w:val="en-US" w:eastAsia="zh-CN"/>
        </w:rPr>
      </w:pPr>
    </w:p>
    <w:p w:rsidR="00E57853" w:rsidRDefault="00E57853" w:rsidP="000B6283">
      <w:pPr>
        <w:widowControl w:val="0"/>
        <w:jc w:val="center"/>
        <w:rPr>
          <w:rFonts w:eastAsiaTheme="minorEastAsia"/>
          <w:lang w:val="en-US" w:eastAsia="zh-CN"/>
        </w:rPr>
      </w:pPr>
      <w:r>
        <w:rPr>
          <w:noProof/>
        </w:rPr>
        <w:drawing>
          <wp:inline distT="0" distB="0" distL="0" distR="0">
            <wp:extent cx="4265557" cy="1101456"/>
            <wp:effectExtent l="0" t="0" r="1905" b="3810"/>
            <wp:docPr id="7" name="图片 7" descr="C:\Users\z00471447\AppData\Roaming\eSpace_Desktop\UserData\z00471447\imagefiles\A79F50F8-652C-437E-885F-FB5F54DC04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471447\AppData\Roaming\eSpace_Desktop\UserData\z00471447\imagefiles\A79F50F8-652C-437E-885F-FB5F54DC0422.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22723" cy="1142039"/>
                    </a:xfrm>
                    <a:prstGeom prst="rect">
                      <a:avLst/>
                    </a:prstGeom>
                    <a:noFill/>
                    <a:ln>
                      <a:noFill/>
                    </a:ln>
                  </pic:spPr>
                </pic:pic>
              </a:graphicData>
            </a:graphic>
          </wp:inline>
        </w:drawing>
      </w:r>
    </w:p>
    <w:p w:rsidR="00E57853" w:rsidRDefault="000B6283" w:rsidP="000B6283">
      <w:pPr>
        <w:widowControl w:val="0"/>
        <w:jc w:val="center"/>
        <w:rPr>
          <w:rFonts w:eastAsiaTheme="minorEastAsia"/>
          <w:lang w:val="en-US" w:eastAsia="zh-CN"/>
        </w:rPr>
      </w:pPr>
      <w:r>
        <w:rPr>
          <w:noProof/>
        </w:rPr>
        <w:drawing>
          <wp:inline distT="0" distB="0" distL="0" distR="0">
            <wp:extent cx="4319546" cy="1104886"/>
            <wp:effectExtent l="0" t="0" r="5080" b="635"/>
            <wp:docPr id="8" name="图片 8" descr="C:\Users\z00471447\AppData\Roaming\eSpace_Desktop\UserData\z00471447\imagefiles\DECFE6C6-013C-4FF5-9441-5C49AB13EDC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z00471447\AppData\Roaming\eSpace_Desktop\UserData\z00471447\imagefiles\DECFE6C6-013C-4FF5-9441-5C49AB13EDC5.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72671" cy="1118475"/>
                    </a:xfrm>
                    <a:prstGeom prst="rect">
                      <a:avLst/>
                    </a:prstGeom>
                    <a:noFill/>
                    <a:ln>
                      <a:noFill/>
                    </a:ln>
                  </pic:spPr>
                </pic:pic>
              </a:graphicData>
            </a:graphic>
          </wp:inline>
        </w:drawing>
      </w:r>
    </w:p>
    <w:p w:rsidR="00E57853" w:rsidRDefault="00B95B37" w:rsidP="0048224B">
      <w:pPr>
        <w:widowControl w:val="0"/>
        <w:rPr>
          <w:rFonts w:eastAsiaTheme="minorEastAsia"/>
          <w:lang w:val="en-US" w:eastAsia="zh-CN"/>
        </w:rPr>
      </w:pPr>
      <w:r>
        <w:rPr>
          <w:b/>
          <w:lang w:val="en-US" w:eastAsia="zh-CN"/>
        </w:rPr>
        <w:t xml:space="preserve">Observation </w:t>
      </w:r>
      <w:r w:rsidRPr="00A11224">
        <w:rPr>
          <w:b/>
          <w:lang w:val="en-US" w:eastAsia="zh-CN"/>
        </w:rPr>
        <w:t>1:</w:t>
      </w:r>
      <w:r>
        <w:rPr>
          <w:b/>
          <w:lang w:val="en-US" w:eastAsia="zh-CN"/>
        </w:rPr>
        <w:t xml:space="preserve"> </w:t>
      </w:r>
      <w:r w:rsidRPr="00B95B37">
        <w:rPr>
          <w:b/>
          <w:lang w:val="en-US" w:eastAsia="zh-CN"/>
        </w:rPr>
        <w:t xml:space="preserve">For TN FR2-1 bands, it’s mandatory for UE to support the DL two MIMO layers in FR2 and UL/DL 200MHz in FR2 according to the following </w:t>
      </w:r>
      <w:proofErr w:type="spellStart"/>
      <w:r w:rsidRPr="00B95B37">
        <w:rPr>
          <w:b/>
          <w:lang w:val="en-US" w:eastAsia="zh-CN"/>
        </w:rPr>
        <w:t>perCCperFS</w:t>
      </w:r>
      <w:proofErr w:type="spellEnd"/>
      <w:r w:rsidRPr="00B95B37">
        <w:rPr>
          <w:b/>
          <w:lang w:val="en-US" w:eastAsia="zh-CN"/>
        </w:rPr>
        <w:t xml:space="preserve"> capabilities specified in TS 38.306.</w:t>
      </w:r>
    </w:p>
    <w:p w:rsidR="00E57853" w:rsidRDefault="00E57853" w:rsidP="0048224B">
      <w:pPr>
        <w:widowControl w:val="0"/>
        <w:rPr>
          <w:rFonts w:eastAsiaTheme="minorEastAsia"/>
          <w:lang w:val="en-US" w:eastAsia="zh-CN"/>
        </w:rPr>
      </w:pPr>
    </w:p>
    <w:p w:rsidR="005232D1" w:rsidRDefault="005232D1" w:rsidP="0048224B">
      <w:pPr>
        <w:widowControl w:val="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FR2-NTN Ka band VSAT, there is no issue observed to mandatorily support the </w:t>
      </w:r>
      <w:r w:rsidRPr="005232D1">
        <w:rPr>
          <w:rFonts w:eastAsiaTheme="minorEastAsia"/>
          <w:lang w:val="en-US" w:eastAsia="zh-CN"/>
        </w:rPr>
        <w:t>UL/DL 200MHz</w:t>
      </w:r>
      <w:r>
        <w:rPr>
          <w:rFonts w:eastAsiaTheme="minorEastAsia"/>
          <w:lang w:val="en-US" w:eastAsia="zh-CN"/>
        </w:rPr>
        <w:t xml:space="preserve"> channel bandwidth as the similar baseband capabilities for TN can be reused for FR2-NTN implementation. </w:t>
      </w:r>
    </w:p>
    <w:p w:rsidR="00945684" w:rsidRDefault="00945684" w:rsidP="0048224B">
      <w:pPr>
        <w:widowControl w:val="0"/>
        <w:rPr>
          <w:rFonts w:eastAsiaTheme="minorEastAsia"/>
          <w:lang w:val="en-US" w:eastAsia="zh-CN"/>
        </w:rPr>
      </w:pPr>
      <w:r>
        <w:rPr>
          <w:b/>
          <w:lang w:val="en-US" w:eastAsia="zh-CN"/>
        </w:rPr>
        <w:t xml:space="preserve">Proposal </w:t>
      </w:r>
      <w:r w:rsidRPr="00A11224">
        <w:rPr>
          <w:b/>
          <w:lang w:val="en-US" w:eastAsia="zh-CN"/>
        </w:rPr>
        <w:t>1:</w:t>
      </w:r>
      <w:r>
        <w:rPr>
          <w:b/>
          <w:lang w:val="en-US" w:eastAsia="zh-CN"/>
        </w:rPr>
        <w:t xml:space="preserve"> </w:t>
      </w:r>
      <w:r w:rsidRPr="00945684">
        <w:rPr>
          <w:b/>
          <w:lang w:val="en-US" w:eastAsia="zh-CN"/>
        </w:rPr>
        <w:t>UE capabilities for 200Mhz channel bandwidth are mandatory for FR2-NTN bands</w:t>
      </w:r>
      <w:r>
        <w:rPr>
          <w:b/>
          <w:lang w:val="en-US" w:eastAsia="zh-CN"/>
        </w:rPr>
        <w:t>.</w:t>
      </w:r>
    </w:p>
    <w:p w:rsidR="005232D1" w:rsidRDefault="005232D1" w:rsidP="0048224B">
      <w:pPr>
        <w:widowControl w:val="0"/>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 xml:space="preserve">or FR2-NTN scenarios, </w:t>
      </w:r>
      <w:r w:rsidR="00640A6A">
        <w:rPr>
          <w:rFonts w:eastAsiaTheme="minorEastAsia"/>
          <w:lang w:val="en-US" w:eastAsia="zh-CN"/>
        </w:rPr>
        <w:t xml:space="preserve">most of them are for direct path communications between SAN and VSAT. </w:t>
      </w:r>
      <w:r w:rsidR="00894BBC">
        <w:rPr>
          <w:rFonts w:eastAsiaTheme="minorEastAsia"/>
          <w:lang w:val="en-US" w:eastAsia="zh-CN"/>
        </w:rPr>
        <w:t xml:space="preserve">Thus, it’s very hard for VSAT to </w:t>
      </w:r>
      <w:r w:rsidR="00945684">
        <w:rPr>
          <w:rFonts w:eastAsiaTheme="minorEastAsia"/>
          <w:lang w:val="en-US" w:eastAsia="zh-CN"/>
        </w:rPr>
        <w:t xml:space="preserve">achieve the </w:t>
      </w:r>
      <w:r w:rsidR="00894BBC">
        <w:rPr>
          <w:rFonts w:eastAsiaTheme="minorEastAsia"/>
          <w:lang w:val="en-US" w:eastAsia="zh-CN"/>
        </w:rPr>
        <w:t>communicat</w:t>
      </w:r>
      <w:r w:rsidR="00945684">
        <w:rPr>
          <w:rFonts w:eastAsiaTheme="minorEastAsia"/>
          <w:lang w:val="en-US" w:eastAsia="zh-CN"/>
        </w:rPr>
        <w:t>ion</w:t>
      </w:r>
      <w:r w:rsidR="00894BBC">
        <w:rPr>
          <w:rFonts w:eastAsiaTheme="minorEastAsia"/>
          <w:lang w:val="en-US" w:eastAsia="zh-CN"/>
        </w:rPr>
        <w:t xml:space="preserve"> with one satellite by using </w:t>
      </w:r>
      <w:r w:rsidR="00945684">
        <w:rPr>
          <w:rFonts w:eastAsiaTheme="minorEastAsia"/>
          <w:lang w:val="en-US" w:eastAsia="zh-CN"/>
        </w:rPr>
        <w:t xml:space="preserve">two DL MIMO layers. Apart from that, UE need to afford the additional implementation costs for two DL MIMO layers, e.g. two simultaneous receiving beams. In total, the situation is different between FR2 TN UE and FR2-NTN Ka band VSAT for two layers DL MIMO. Thus, it’s better to consider </w:t>
      </w:r>
      <w:r w:rsidR="00237811">
        <w:rPr>
          <w:rFonts w:eastAsiaTheme="minorEastAsia"/>
          <w:lang w:val="en-US" w:eastAsia="zh-CN"/>
        </w:rPr>
        <w:t>not mandatory</w:t>
      </w:r>
      <w:r w:rsidR="00945684">
        <w:rPr>
          <w:rFonts w:eastAsiaTheme="minorEastAsia"/>
          <w:lang w:val="en-US" w:eastAsia="zh-CN"/>
        </w:rPr>
        <w:t xml:space="preserve"> support of </w:t>
      </w:r>
      <w:r w:rsidR="00945684" w:rsidRPr="00945684">
        <w:rPr>
          <w:rFonts w:eastAsiaTheme="minorEastAsia"/>
          <w:lang w:val="en-US" w:eastAsia="zh-CN"/>
        </w:rPr>
        <w:t xml:space="preserve">two layers DL MIMO </w:t>
      </w:r>
      <w:r w:rsidR="00945684">
        <w:rPr>
          <w:rFonts w:eastAsiaTheme="minorEastAsia"/>
          <w:lang w:val="en-US" w:eastAsia="zh-CN"/>
        </w:rPr>
        <w:t>for FR2-NTN Ka band VSAT.</w:t>
      </w:r>
    </w:p>
    <w:p w:rsidR="00945684" w:rsidRPr="00945684" w:rsidRDefault="00945684" w:rsidP="0048224B">
      <w:pPr>
        <w:widowControl w:val="0"/>
        <w:rPr>
          <w:rFonts w:eastAsiaTheme="minorEastAsia"/>
          <w:b/>
          <w:lang w:val="en-US" w:eastAsia="zh-CN"/>
        </w:rPr>
      </w:pPr>
      <w:r w:rsidRPr="00945684">
        <w:rPr>
          <w:b/>
          <w:lang w:val="en-US" w:eastAsia="zh-CN"/>
        </w:rPr>
        <w:t xml:space="preserve">Proposal 2: </w:t>
      </w:r>
      <w:r w:rsidRPr="00945684">
        <w:rPr>
          <w:rFonts w:eastAsiaTheme="minorEastAsia"/>
          <w:b/>
          <w:lang w:val="en-US" w:eastAsia="zh-CN"/>
        </w:rPr>
        <w:t xml:space="preserve">UE capabilities for 2 MIMO layers are </w:t>
      </w:r>
      <w:r w:rsidR="00237811" w:rsidRPr="00237811">
        <w:rPr>
          <w:rFonts w:eastAsiaTheme="minorEastAsia"/>
          <w:b/>
          <w:lang w:val="en-US" w:eastAsia="zh-CN"/>
        </w:rPr>
        <w:t>not mandatory</w:t>
      </w:r>
      <w:r w:rsidRPr="00945684">
        <w:rPr>
          <w:rFonts w:eastAsiaTheme="minorEastAsia"/>
          <w:b/>
          <w:lang w:val="en-US" w:eastAsia="zh-CN"/>
        </w:rPr>
        <w:t xml:space="preserve"> for FR2-NTN bands</w:t>
      </w:r>
      <w:r>
        <w:rPr>
          <w:rFonts w:eastAsiaTheme="minorEastAsia"/>
          <w:b/>
          <w:lang w:val="en-US" w:eastAsia="zh-CN"/>
        </w:rPr>
        <w:t>.</w:t>
      </w:r>
    </w:p>
    <w:p w:rsidR="00845003" w:rsidRDefault="00845003" w:rsidP="00845003">
      <w:pPr>
        <w:pStyle w:val="1"/>
        <w:rPr>
          <w:lang w:eastAsia="zh-CN"/>
        </w:rPr>
      </w:pPr>
      <w:r>
        <w:rPr>
          <w:lang w:eastAsia="zh-CN"/>
        </w:rPr>
        <w:t>Summary</w:t>
      </w:r>
    </w:p>
    <w:p w:rsidR="00945684" w:rsidRDefault="00945684" w:rsidP="00FD64F1">
      <w:pPr>
        <w:widowControl w:val="0"/>
        <w:rPr>
          <w:b/>
          <w:lang w:val="en-US" w:eastAsia="zh-CN"/>
        </w:rPr>
      </w:pPr>
      <w:r>
        <w:rPr>
          <w:b/>
          <w:lang w:val="en-US" w:eastAsia="zh-CN"/>
        </w:rPr>
        <w:t xml:space="preserve">Observation </w:t>
      </w:r>
      <w:r w:rsidRPr="00A11224">
        <w:rPr>
          <w:b/>
          <w:lang w:val="en-US" w:eastAsia="zh-CN"/>
        </w:rPr>
        <w:t>1:</w:t>
      </w:r>
      <w:r>
        <w:rPr>
          <w:b/>
          <w:lang w:val="en-US" w:eastAsia="zh-CN"/>
        </w:rPr>
        <w:t xml:space="preserve"> </w:t>
      </w:r>
      <w:r w:rsidRPr="00B95B37">
        <w:rPr>
          <w:b/>
          <w:lang w:val="en-US" w:eastAsia="zh-CN"/>
        </w:rPr>
        <w:t xml:space="preserve">For TN FR2-1 bands, it’s mandatory for UE to support the DL two MIMO layers in FR2 and UL/DL 200MHz in FR2 according to the following </w:t>
      </w:r>
      <w:proofErr w:type="spellStart"/>
      <w:r w:rsidRPr="00B95B37">
        <w:rPr>
          <w:b/>
          <w:lang w:val="en-US" w:eastAsia="zh-CN"/>
        </w:rPr>
        <w:t>perCCperFS</w:t>
      </w:r>
      <w:proofErr w:type="spellEnd"/>
      <w:r w:rsidRPr="00B95B37">
        <w:rPr>
          <w:b/>
          <w:lang w:val="en-US" w:eastAsia="zh-CN"/>
        </w:rPr>
        <w:t xml:space="preserve"> capabilities specified in TS 38.306.</w:t>
      </w:r>
    </w:p>
    <w:p w:rsidR="00945684" w:rsidRDefault="00945684" w:rsidP="00FD64F1">
      <w:pPr>
        <w:widowControl w:val="0"/>
        <w:rPr>
          <w:b/>
          <w:lang w:val="en-US" w:eastAsia="zh-CN"/>
        </w:rPr>
      </w:pPr>
      <w:r>
        <w:rPr>
          <w:b/>
          <w:lang w:val="en-US" w:eastAsia="zh-CN"/>
        </w:rPr>
        <w:t xml:space="preserve">Proposal </w:t>
      </w:r>
      <w:r w:rsidRPr="00A11224">
        <w:rPr>
          <w:b/>
          <w:lang w:val="en-US" w:eastAsia="zh-CN"/>
        </w:rPr>
        <w:t>1:</w:t>
      </w:r>
      <w:r>
        <w:rPr>
          <w:b/>
          <w:lang w:val="en-US" w:eastAsia="zh-CN"/>
        </w:rPr>
        <w:t xml:space="preserve"> </w:t>
      </w:r>
      <w:r w:rsidRPr="00945684">
        <w:rPr>
          <w:b/>
          <w:lang w:val="en-US" w:eastAsia="zh-CN"/>
        </w:rPr>
        <w:t>UE capabilities for 200Mhz channel bandwidth are mandatory for FR2-NTN bands</w:t>
      </w:r>
      <w:r>
        <w:rPr>
          <w:b/>
          <w:lang w:val="en-US" w:eastAsia="zh-CN"/>
        </w:rPr>
        <w:t>.</w:t>
      </w:r>
    </w:p>
    <w:p w:rsidR="00945684" w:rsidRDefault="00945684" w:rsidP="00FD64F1">
      <w:pPr>
        <w:widowControl w:val="0"/>
        <w:rPr>
          <w:b/>
          <w:lang w:val="en-US" w:eastAsia="zh-CN"/>
        </w:rPr>
      </w:pPr>
      <w:r w:rsidRPr="00945684">
        <w:rPr>
          <w:b/>
          <w:lang w:val="en-US" w:eastAsia="zh-CN"/>
        </w:rPr>
        <w:t xml:space="preserve">Proposal 2: </w:t>
      </w:r>
      <w:r w:rsidRPr="00945684">
        <w:rPr>
          <w:rFonts w:eastAsiaTheme="minorEastAsia"/>
          <w:b/>
          <w:lang w:val="en-US" w:eastAsia="zh-CN"/>
        </w:rPr>
        <w:t xml:space="preserve">UE capabilities for 2 MIMO layers are </w:t>
      </w:r>
      <w:r w:rsidR="00237811" w:rsidRPr="00237811">
        <w:rPr>
          <w:rFonts w:eastAsiaTheme="minorEastAsia"/>
          <w:b/>
          <w:lang w:val="en-US" w:eastAsia="zh-CN"/>
        </w:rPr>
        <w:t>not mandatory</w:t>
      </w:r>
      <w:r w:rsidRPr="00945684">
        <w:rPr>
          <w:rFonts w:eastAsiaTheme="minorEastAsia"/>
          <w:b/>
          <w:lang w:val="en-US" w:eastAsia="zh-CN"/>
        </w:rPr>
        <w:t xml:space="preserve"> for FR2-NTN bands</w:t>
      </w:r>
      <w:r>
        <w:rPr>
          <w:rFonts w:eastAsiaTheme="minorEastAsia"/>
          <w:b/>
          <w:lang w:val="en-US" w:eastAsia="zh-CN"/>
        </w:rPr>
        <w:t>.</w:t>
      </w:r>
    </w:p>
    <w:p w:rsidR="00B02AE0" w:rsidRPr="00A81A25" w:rsidRDefault="00B02AE0" w:rsidP="00572A4C">
      <w:pPr>
        <w:pStyle w:val="1"/>
        <w:numPr>
          <w:ilvl w:val="0"/>
          <w:numId w:val="0"/>
        </w:numPr>
      </w:pPr>
      <w:r>
        <w:t>References</w:t>
      </w:r>
    </w:p>
    <w:p w:rsidR="00680AD7" w:rsidRDefault="00B755E6" w:rsidP="005C79D9">
      <w:pPr>
        <w:overflowPunct/>
        <w:autoSpaceDE/>
        <w:autoSpaceDN/>
        <w:adjustRightInd/>
        <w:textAlignment w:val="auto"/>
        <w:rPr>
          <w:rFonts w:eastAsia="宋体"/>
          <w:lang w:eastAsia="zh-CN"/>
        </w:rPr>
      </w:pPr>
      <w:r>
        <w:rPr>
          <w:rFonts w:eastAsia="宋体"/>
          <w:lang w:eastAsia="zh-CN"/>
        </w:rPr>
        <w:t>[1]</w:t>
      </w:r>
      <w:r w:rsidR="00E769A6" w:rsidRPr="00E769A6">
        <w:t xml:space="preserve"> </w:t>
      </w:r>
      <w:r w:rsidR="004E4ADC" w:rsidRPr="004E4ADC">
        <w:rPr>
          <w:rFonts w:eastAsia="宋体"/>
          <w:lang w:eastAsia="zh-CN"/>
        </w:rPr>
        <w:t>R2-2411195</w:t>
      </w:r>
      <w:r w:rsidR="00E769A6">
        <w:rPr>
          <w:rFonts w:eastAsia="宋体"/>
          <w:lang w:eastAsia="zh-CN"/>
        </w:rPr>
        <w:t xml:space="preserve">, </w:t>
      </w:r>
      <w:r w:rsidR="004E4ADC" w:rsidRPr="004E4ADC">
        <w:rPr>
          <w:rFonts w:eastAsia="宋体"/>
          <w:lang w:eastAsia="zh-CN"/>
        </w:rPr>
        <w:t>LS on UE Capabilities for FR2-NTN</w:t>
      </w:r>
      <w:r w:rsidR="00680AD7">
        <w:rPr>
          <w:rFonts w:eastAsia="宋体"/>
          <w:lang w:eastAsia="zh-CN"/>
        </w:rPr>
        <w:t xml:space="preserve">, </w:t>
      </w:r>
      <w:r w:rsidR="004E4ADC" w:rsidRPr="004E4ADC">
        <w:rPr>
          <w:rFonts w:eastAsia="宋体"/>
          <w:lang w:eastAsia="zh-CN"/>
        </w:rPr>
        <w:t>RAN2</w:t>
      </w:r>
    </w:p>
    <w:p w:rsidR="00212FB0" w:rsidRPr="004E4ADC" w:rsidRDefault="005163FB" w:rsidP="00212FB0">
      <w:pPr>
        <w:rPr>
          <w:rFonts w:eastAsia="宋体"/>
          <w:lang w:eastAsia="zh-CN"/>
        </w:rPr>
      </w:pPr>
      <w:r>
        <w:rPr>
          <w:rFonts w:eastAsia="宋体" w:hint="eastAsia"/>
          <w:lang w:eastAsia="zh-CN"/>
        </w:rPr>
        <w:t>[</w:t>
      </w:r>
      <w:r>
        <w:rPr>
          <w:rFonts w:eastAsia="宋体"/>
          <w:lang w:eastAsia="zh-CN"/>
        </w:rPr>
        <w:t xml:space="preserve">2] </w:t>
      </w:r>
      <w:r w:rsidRPr="005163FB">
        <w:rPr>
          <w:rFonts w:eastAsia="宋体"/>
          <w:lang w:eastAsia="zh-CN"/>
        </w:rPr>
        <w:t>R4-2420477</w:t>
      </w:r>
      <w:r>
        <w:rPr>
          <w:rFonts w:eastAsia="宋体"/>
          <w:lang w:eastAsia="zh-CN"/>
        </w:rPr>
        <w:t xml:space="preserve">, </w:t>
      </w:r>
      <w:r w:rsidRPr="005163FB">
        <w:rPr>
          <w:rFonts w:eastAsia="宋体"/>
          <w:lang w:eastAsia="zh-CN"/>
        </w:rPr>
        <w:t>(</w:t>
      </w:r>
      <w:proofErr w:type="spellStart"/>
      <w:r w:rsidRPr="005163FB">
        <w:rPr>
          <w:rFonts w:eastAsia="宋体"/>
          <w:lang w:eastAsia="zh-CN"/>
        </w:rPr>
        <w:t>NR_NTN_enh</w:t>
      </w:r>
      <w:proofErr w:type="spellEnd"/>
      <w:r w:rsidRPr="005163FB">
        <w:rPr>
          <w:rFonts w:eastAsia="宋体"/>
          <w:lang w:eastAsia="zh-CN"/>
        </w:rPr>
        <w:t>-</w:t>
      </w:r>
      <w:proofErr w:type="gramStart"/>
      <w:r w:rsidRPr="005163FB">
        <w:rPr>
          <w:rFonts w:eastAsia="宋体"/>
          <w:lang w:eastAsia="zh-CN"/>
        </w:rPr>
        <w:t>Core)Draft</w:t>
      </w:r>
      <w:proofErr w:type="gramEnd"/>
      <w:r w:rsidRPr="005163FB">
        <w:rPr>
          <w:rFonts w:eastAsia="宋体"/>
          <w:lang w:eastAsia="zh-CN"/>
        </w:rPr>
        <w:t xml:space="preserve"> CR for TS 38.101-5, Correction on FR2-NTN frequency range</w:t>
      </w:r>
      <w:r>
        <w:rPr>
          <w:rFonts w:eastAsia="宋体"/>
          <w:lang w:eastAsia="zh-CN"/>
        </w:rPr>
        <w:t xml:space="preserve">, </w:t>
      </w:r>
      <w:r w:rsidRPr="005163FB">
        <w:rPr>
          <w:rFonts w:eastAsia="宋体"/>
          <w:lang w:eastAsia="zh-CN"/>
        </w:rPr>
        <w:t>CATT</w:t>
      </w:r>
    </w:p>
    <w:sectPr w:rsidR="00212FB0" w:rsidRPr="004E4ADC" w:rsidSect="00FF057F">
      <w:footerReference w:type="default" r:id="rId12"/>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5418" w:rsidRDefault="00C05418">
      <w:r>
        <w:separator/>
      </w:r>
    </w:p>
  </w:endnote>
  <w:endnote w:type="continuationSeparator" w:id="0">
    <w:p w:rsidR="00C05418" w:rsidRDefault="00C05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32C" w:rsidRDefault="0095532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5418" w:rsidRDefault="00C05418">
      <w:r>
        <w:separator/>
      </w:r>
    </w:p>
  </w:footnote>
  <w:footnote w:type="continuationSeparator" w:id="0">
    <w:p w:rsidR="00C05418" w:rsidRDefault="00C054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6DB1D2F"/>
    <w:multiLevelType w:val="hybridMultilevel"/>
    <w:tmpl w:val="B15CB8E2"/>
    <w:lvl w:ilvl="0" w:tplc="1E66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6694C36"/>
    <w:multiLevelType w:val="hybridMultilevel"/>
    <w:tmpl w:val="E298A0D6"/>
    <w:lvl w:ilvl="0" w:tplc="7136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DB52410"/>
    <w:multiLevelType w:val="hybridMultilevel"/>
    <w:tmpl w:val="3D34513C"/>
    <w:lvl w:ilvl="0" w:tplc="77A0C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19"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04B3050"/>
    <w:multiLevelType w:val="hybridMultilevel"/>
    <w:tmpl w:val="A4EEEDC6"/>
    <w:lvl w:ilvl="0" w:tplc="E1949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8154CA"/>
    <w:multiLevelType w:val="singleLevel"/>
    <w:tmpl w:val="1AD26A9A"/>
    <w:lvl w:ilvl="0">
      <w:start w:val="1"/>
      <w:numFmt w:val="decimal"/>
      <w:lvlText w:val="%1."/>
      <w:lvlJc w:val="left"/>
      <w:pPr>
        <w:tabs>
          <w:tab w:val="num" w:pos="165"/>
        </w:tabs>
        <w:ind w:left="165" w:hanging="165"/>
      </w:pPr>
      <w:rPr>
        <w:rFonts w:hint="default"/>
      </w:rPr>
    </w:lvl>
  </w:abstractNum>
  <w:abstractNum w:abstractNumId="24" w15:restartNumberingAfterBreak="0">
    <w:nsid w:val="7D3707DE"/>
    <w:multiLevelType w:val="hybridMultilevel"/>
    <w:tmpl w:val="E1CCD27A"/>
    <w:lvl w:ilvl="0" w:tplc="766C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0"/>
  </w:num>
  <w:num w:numId="3">
    <w:abstractNumId w:val="12"/>
  </w:num>
  <w:num w:numId="4">
    <w:abstractNumId w:val="22"/>
  </w:num>
  <w:num w:numId="5">
    <w:abstractNumId w:val="2"/>
  </w:num>
  <w:num w:numId="6">
    <w:abstractNumId w:val="19"/>
  </w:num>
  <w:num w:numId="7">
    <w:abstractNumId w:val="18"/>
  </w:num>
  <w:num w:numId="8">
    <w:abstractNumId w:val="7"/>
  </w:num>
  <w:num w:numId="9">
    <w:abstractNumId w:val="21"/>
  </w:num>
  <w:num w:numId="10">
    <w:abstractNumId w:val="0"/>
  </w:num>
  <w:num w:numId="11">
    <w:abstractNumId w:val="16"/>
  </w:num>
  <w:num w:numId="12">
    <w:abstractNumId w:val="9"/>
  </w:num>
  <w:num w:numId="13">
    <w:abstractNumId w:val="13"/>
  </w:num>
  <w:num w:numId="14">
    <w:abstractNumId w:val="4"/>
  </w:num>
  <w:num w:numId="15">
    <w:abstractNumId w:val="16"/>
  </w:num>
  <w:num w:numId="16">
    <w:abstractNumId w:val="6"/>
  </w:num>
  <w:num w:numId="17">
    <w:abstractNumId w:val="11"/>
  </w:num>
  <w:num w:numId="18">
    <w:abstractNumId w:val="25"/>
  </w:num>
  <w:num w:numId="19">
    <w:abstractNumId w:val="14"/>
  </w:num>
  <w:num w:numId="20">
    <w:abstractNumId w:val="17"/>
  </w:num>
  <w:num w:numId="21">
    <w:abstractNumId w:val="5"/>
  </w:num>
  <w:num w:numId="22">
    <w:abstractNumId w:val="15"/>
  </w:num>
  <w:num w:numId="23">
    <w:abstractNumId w:val="5"/>
  </w:num>
  <w:num w:numId="24">
    <w:abstractNumId w:val="8"/>
  </w:num>
  <w:num w:numId="25">
    <w:abstractNumId w:val="20"/>
  </w:num>
  <w:num w:numId="26">
    <w:abstractNumId w:val="5"/>
  </w:num>
  <w:num w:numId="27">
    <w:abstractNumId w:val="5"/>
  </w:num>
  <w:num w:numId="28">
    <w:abstractNumId w:val="5"/>
  </w:num>
  <w:num w:numId="29">
    <w:abstractNumId w:val="24"/>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3"/>
  </w:num>
  <w:num w:numId="32">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6BD"/>
    <w:rsid w:val="00012217"/>
    <w:rsid w:val="000122DC"/>
    <w:rsid w:val="00012A63"/>
    <w:rsid w:val="00012D04"/>
    <w:rsid w:val="000130F2"/>
    <w:rsid w:val="000138AB"/>
    <w:rsid w:val="00013C47"/>
    <w:rsid w:val="00014451"/>
    <w:rsid w:val="00014963"/>
    <w:rsid w:val="00014C47"/>
    <w:rsid w:val="00014DE3"/>
    <w:rsid w:val="0001536D"/>
    <w:rsid w:val="00015BB5"/>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5C1D"/>
    <w:rsid w:val="000761DE"/>
    <w:rsid w:val="000764C3"/>
    <w:rsid w:val="000765F3"/>
    <w:rsid w:val="000770C6"/>
    <w:rsid w:val="00077F33"/>
    <w:rsid w:val="00080C3A"/>
    <w:rsid w:val="00081901"/>
    <w:rsid w:val="00081D13"/>
    <w:rsid w:val="00082230"/>
    <w:rsid w:val="0008285B"/>
    <w:rsid w:val="000834E7"/>
    <w:rsid w:val="000834ED"/>
    <w:rsid w:val="00083B00"/>
    <w:rsid w:val="00083B9F"/>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2800"/>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6283"/>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6E73"/>
    <w:rsid w:val="000C7058"/>
    <w:rsid w:val="000C7687"/>
    <w:rsid w:val="000C7887"/>
    <w:rsid w:val="000C7AAF"/>
    <w:rsid w:val="000C7C7C"/>
    <w:rsid w:val="000D02AA"/>
    <w:rsid w:val="000D1A20"/>
    <w:rsid w:val="000D1FEC"/>
    <w:rsid w:val="000D22DB"/>
    <w:rsid w:val="000D2359"/>
    <w:rsid w:val="000D3976"/>
    <w:rsid w:val="000D4391"/>
    <w:rsid w:val="000D4A00"/>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29CF"/>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BBA"/>
    <w:rsid w:val="00101CEC"/>
    <w:rsid w:val="00101FE5"/>
    <w:rsid w:val="00102393"/>
    <w:rsid w:val="00102932"/>
    <w:rsid w:val="00102C85"/>
    <w:rsid w:val="00102D94"/>
    <w:rsid w:val="00103154"/>
    <w:rsid w:val="0010332C"/>
    <w:rsid w:val="001033CA"/>
    <w:rsid w:val="00103B32"/>
    <w:rsid w:val="00103ECD"/>
    <w:rsid w:val="00104A73"/>
    <w:rsid w:val="001051FC"/>
    <w:rsid w:val="0010552D"/>
    <w:rsid w:val="00105D85"/>
    <w:rsid w:val="00105FAF"/>
    <w:rsid w:val="0010684E"/>
    <w:rsid w:val="0010734F"/>
    <w:rsid w:val="001076AC"/>
    <w:rsid w:val="00107A88"/>
    <w:rsid w:val="001102A6"/>
    <w:rsid w:val="00110A2F"/>
    <w:rsid w:val="00111828"/>
    <w:rsid w:val="0011274D"/>
    <w:rsid w:val="0011282B"/>
    <w:rsid w:val="00112D66"/>
    <w:rsid w:val="00112DDC"/>
    <w:rsid w:val="00114764"/>
    <w:rsid w:val="00114D07"/>
    <w:rsid w:val="00117499"/>
    <w:rsid w:val="001177DB"/>
    <w:rsid w:val="00117964"/>
    <w:rsid w:val="00120BBB"/>
    <w:rsid w:val="0012120A"/>
    <w:rsid w:val="00122D13"/>
    <w:rsid w:val="00122E67"/>
    <w:rsid w:val="00122EC1"/>
    <w:rsid w:val="001232C5"/>
    <w:rsid w:val="00123389"/>
    <w:rsid w:val="001236B5"/>
    <w:rsid w:val="0012382C"/>
    <w:rsid w:val="0012411B"/>
    <w:rsid w:val="0012463E"/>
    <w:rsid w:val="00125824"/>
    <w:rsid w:val="00125FC0"/>
    <w:rsid w:val="0012618D"/>
    <w:rsid w:val="00126A3F"/>
    <w:rsid w:val="001270ED"/>
    <w:rsid w:val="00127ADA"/>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31E"/>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05CB"/>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840"/>
    <w:rsid w:val="00165CF7"/>
    <w:rsid w:val="001668D7"/>
    <w:rsid w:val="0016727F"/>
    <w:rsid w:val="0016752D"/>
    <w:rsid w:val="0016772E"/>
    <w:rsid w:val="00167BA0"/>
    <w:rsid w:val="00167E81"/>
    <w:rsid w:val="001701BB"/>
    <w:rsid w:val="001705AC"/>
    <w:rsid w:val="001708EB"/>
    <w:rsid w:val="00170A9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686E"/>
    <w:rsid w:val="0018689E"/>
    <w:rsid w:val="00186918"/>
    <w:rsid w:val="001874A3"/>
    <w:rsid w:val="001878F6"/>
    <w:rsid w:val="00187B6A"/>
    <w:rsid w:val="00191E9D"/>
    <w:rsid w:val="00192C17"/>
    <w:rsid w:val="00192CF8"/>
    <w:rsid w:val="001933B6"/>
    <w:rsid w:val="00193508"/>
    <w:rsid w:val="00193752"/>
    <w:rsid w:val="00195164"/>
    <w:rsid w:val="00195247"/>
    <w:rsid w:val="00195CE4"/>
    <w:rsid w:val="00195E03"/>
    <w:rsid w:val="00196165"/>
    <w:rsid w:val="0019722C"/>
    <w:rsid w:val="001A070B"/>
    <w:rsid w:val="001A08FF"/>
    <w:rsid w:val="001A094C"/>
    <w:rsid w:val="001A0D57"/>
    <w:rsid w:val="001A183C"/>
    <w:rsid w:val="001A1F17"/>
    <w:rsid w:val="001A2071"/>
    <w:rsid w:val="001A2309"/>
    <w:rsid w:val="001A2D2D"/>
    <w:rsid w:val="001A30B0"/>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6AD"/>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0B"/>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0B97"/>
    <w:rsid w:val="00211125"/>
    <w:rsid w:val="002113BC"/>
    <w:rsid w:val="002114CB"/>
    <w:rsid w:val="002122E4"/>
    <w:rsid w:val="00212630"/>
    <w:rsid w:val="00212F58"/>
    <w:rsid w:val="00212FB0"/>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18E"/>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7ED"/>
    <w:rsid w:val="00235C53"/>
    <w:rsid w:val="002368A3"/>
    <w:rsid w:val="00236B46"/>
    <w:rsid w:val="00237506"/>
    <w:rsid w:val="00237811"/>
    <w:rsid w:val="00237EA9"/>
    <w:rsid w:val="002404A5"/>
    <w:rsid w:val="0024120C"/>
    <w:rsid w:val="002415BD"/>
    <w:rsid w:val="00241962"/>
    <w:rsid w:val="00243212"/>
    <w:rsid w:val="0024330D"/>
    <w:rsid w:val="00243F07"/>
    <w:rsid w:val="002449F5"/>
    <w:rsid w:val="00244C32"/>
    <w:rsid w:val="002453B1"/>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A75"/>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472"/>
    <w:rsid w:val="002816B9"/>
    <w:rsid w:val="002819CC"/>
    <w:rsid w:val="0028277B"/>
    <w:rsid w:val="00282812"/>
    <w:rsid w:val="002834E3"/>
    <w:rsid w:val="00283C23"/>
    <w:rsid w:val="00284697"/>
    <w:rsid w:val="00284F41"/>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60"/>
    <w:rsid w:val="002C43AB"/>
    <w:rsid w:val="002C497E"/>
    <w:rsid w:val="002C564D"/>
    <w:rsid w:val="002C56D8"/>
    <w:rsid w:val="002C61E3"/>
    <w:rsid w:val="002C6460"/>
    <w:rsid w:val="002C6938"/>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D1"/>
    <w:rsid w:val="002F2DF1"/>
    <w:rsid w:val="002F3032"/>
    <w:rsid w:val="002F32C4"/>
    <w:rsid w:val="002F389A"/>
    <w:rsid w:val="002F41AD"/>
    <w:rsid w:val="002F60E9"/>
    <w:rsid w:val="002F6321"/>
    <w:rsid w:val="002F63E3"/>
    <w:rsid w:val="002F64CE"/>
    <w:rsid w:val="002F6F3F"/>
    <w:rsid w:val="002F7041"/>
    <w:rsid w:val="002F706F"/>
    <w:rsid w:val="002F744E"/>
    <w:rsid w:val="002F7FD1"/>
    <w:rsid w:val="00300ACD"/>
    <w:rsid w:val="00300FBA"/>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E2C"/>
    <w:rsid w:val="00317EC9"/>
    <w:rsid w:val="00320075"/>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40B71"/>
    <w:rsid w:val="00340D0A"/>
    <w:rsid w:val="00340EBF"/>
    <w:rsid w:val="0034174E"/>
    <w:rsid w:val="003442B0"/>
    <w:rsid w:val="00344EB6"/>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1E9"/>
    <w:rsid w:val="0036665F"/>
    <w:rsid w:val="00366962"/>
    <w:rsid w:val="00366A45"/>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5CE6"/>
    <w:rsid w:val="0037609D"/>
    <w:rsid w:val="0037645C"/>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409C"/>
    <w:rsid w:val="003C51DD"/>
    <w:rsid w:val="003C5C76"/>
    <w:rsid w:val="003C5F6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19EB"/>
    <w:rsid w:val="003E203F"/>
    <w:rsid w:val="003E3700"/>
    <w:rsid w:val="003E3882"/>
    <w:rsid w:val="003E3F54"/>
    <w:rsid w:val="003E4724"/>
    <w:rsid w:val="003E4E48"/>
    <w:rsid w:val="003E5CD9"/>
    <w:rsid w:val="003E6044"/>
    <w:rsid w:val="003E67A1"/>
    <w:rsid w:val="003E7A0E"/>
    <w:rsid w:val="003E7C34"/>
    <w:rsid w:val="003F0446"/>
    <w:rsid w:val="003F092F"/>
    <w:rsid w:val="003F0DA9"/>
    <w:rsid w:val="003F13F9"/>
    <w:rsid w:val="003F163F"/>
    <w:rsid w:val="003F1884"/>
    <w:rsid w:val="003F18B0"/>
    <w:rsid w:val="003F1C38"/>
    <w:rsid w:val="003F1C6D"/>
    <w:rsid w:val="003F1FF8"/>
    <w:rsid w:val="003F211F"/>
    <w:rsid w:val="003F3945"/>
    <w:rsid w:val="003F4293"/>
    <w:rsid w:val="003F4C6F"/>
    <w:rsid w:val="003F4E30"/>
    <w:rsid w:val="003F4EC9"/>
    <w:rsid w:val="003F509D"/>
    <w:rsid w:val="003F573C"/>
    <w:rsid w:val="003F59AB"/>
    <w:rsid w:val="003F6198"/>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032"/>
    <w:rsid w:val="0042714D"/>
    <w:rsid w:val="004272E5"/>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4DD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5D4F"/>
    <w:rsid w:val="00476BE3"/>
    <w:rsid w:val="0047795F"/>
    <w:rsid w:val="00477E89"/>
    <w:rsid w:val="004819D9"/>
    <w:rsid w:val="0048224B"/>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1C1C"/>
    <w:rsid w:val="00492B50"/>
    <w:rsid w:val="004943F5"/>
    <w:rsid w:val="004945D5"/>
    <w:rsid w:val="00494FA2"/>
    <w:rsid w:val="00495749"/>
    <w:rsid w:val="00495A00"/>
    <w:rsid w:val="00495E61"/>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B7A29"/>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4ADC"/>
    <w:rsid w:val="004E51D9"/>
    <w:rsid w:val="004E5418"/>
    <w:rsid w:val="004E5D84"/>
    <w:rsid w:val="004E68C1"/>
    <w:rsid w:val="004E6B02"/>
    <w:rsid w:val="004E76F5"/>
    <w:rsid w:val="004E7C97"/>
    <w:rsid w:val="004F042D"/>
    <w:rsid w:val="004F16E2"/>
    <w:rsid w:val="004F21EE"/>
    <w:rsid w:val="004F30C6"/>
    <w:rsid w:val="004F46F2"/>
    <w:rsid w:val="004F6373"/>
    <w:rsid w:val="004F6B1F"/>
    <w:rsid w:val="004F6E37"/>
    <w:rsid w:val="00500388"/>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8B2"/>
    <w:rsid w:val="00510B56"/>
    <w:rsid w:val="00510CA0"/>
    <w:rsid w:val="005115E2"/>
    <w:rsid w:val="00511CD1"/>
    <w:rsid w:val="00512424"/>
    <w:rsid w:val="005124A8"/>
    <w:rsid w:val="00512D6A"/>
    <w:rsid w:val="00513006"/>
    <w:rsid w:val="005135EA"/>
    <w:rsid w:val="005143DF"/>
    <w:rsid w:val="00514955"/>
    <w:rsid w:val="00514C5A"/>
    <w:rsid w:val="00514D8A"/>
    <w:rsid w:val="00515D85"/>
    <w:rsid w:val="00515DED"/>
    <w:rsid w:val="00516146"/>
    <w:rsid w:val="00516384"/>
    <w:rsid w:val="005163FB"/>
    <w:rsid w:val="00517560"/>
    <w:rsid w:val="00517B5C"/>
    <w:rsid w:val="005211C4"/>
    <w:rsid w:val="00522156"/>
    <w:rsid w:val="00522C81"/>
    <w:rsid w:val="005232D1"/>
    <w:rsid w:val="00523AE6"/>
    <w:rsid w:val="00523E31"/>
    <w:rsid w:val="0052405A"/>
    <w:rsid w:val="00524B8C"/>
    <w:rsid w:val="00524F35"/>
    <w:rsid w:val="00524F87"/>
    <w:rsid w:val="00525BF0"/>
    <w:rsid w:val="00525C2F"/>
    <w:rsid w:val="00526206"/>
    <w:rsid w:val="00526671"/>
    <w:rsid w:val="005269C0"/>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62C6"/>
    <w:rsid w:val="00566558"/>
    <w:rsid w:val="00566F9F"/>
    <w:rsid w:val="00566FFF"/>
    <w:rsid w:val="00567792"/>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71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3EFA"/>
    <w:rsid w:val="00595B0C"/>
    <w:rsid w:val="005979E8"/>
    <w:rsid w:val="005A0AF5"/>
    <w:rsid w:val="005A11A6"/>
    <w:rsid w:val="005A16B1"/>
    <w:rsid w:val="005A1B4F"/>
    <w:rsid w:val="005A1EEB"/>
    <w:rsid w:val="005A218D"/>
    <w:rsid w:val="005A23F4"/>
    <w:rsid w:val="005A2454"/>
    <w:rsid w:val="005A2A9B"/>
    <w:rsid w:val="005A2E39"/>
    <w:rsid w:val="005A3CCD"/>
    <w:rsid w:val="005A4362"/>
    <w:rsid w:val="005A5060"/>
    <w:rsid w:val="005A591A"/>
    <w:rsid w:val="005A5952"/>
    <w:rsid w:val="005A5F75"/>
    <w:rsid w:val="005A6568"/>
    <w:rsid w:val="005A6AD0"/>
    <w:rsid w:val="005A774A"/>
    <w:rsid w:val="005B05C2"/>
    <w:rsid w:val="005B15C2"/>
    <w:rsid w:val="005B1C66"/>
    <w:rsid w:val="005B25EB"/>
    <w:rsid w:val="005B2B09"/>
    <w:rsid w:val="005B3056"/>
    <w:rsid w:val="005B3177"/>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8C9"/>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E3"/>
    <w:rsid w:val="00632E8A"/>
    <w:rsid w:val="00633269"/>
    <w:rsid w:val="00633C5B"/>
    <w:rsid w:val="00633CB5"/>
    <w:rsid w:val="00634B66"/>
    <w:rsid w:val="00635498"/>
    <w:rsid w:val="006358D6"/>
    <w:rsid w:val="006365C0"/>
    <w:rsid w:val="006368D3"/>
    <w:rsid w:val="00637496"/>
    <w:rsid w:val="00637A9A"/>
    <w:rsid w:val="0064003E"/>
    <w:rsid w:val="00640A6A"/>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2042"/>
    <w:rsid w:val="00682A4E"/>
    <w:rsid w:val="00682A8F"/>
    <w:rsid w:val="00683FFC"/>
    <w:rsid w:val="00684867"/>
    <w:rsid w:val="00684908"/>
    <w:rsid w:val="0068549C"/>
    <w:rsid w:val="00685CF7"/>
    <w:rsid w:val="00685D13"/>
    <w:rsid w:val="00686188"/>
    <w:rsid w:val="006873AD"/>
    <w:rsid w:val="006876C7"/>
    <w:rsid w:val="006878F3"/>
    <w:rsid w:val="006879F1"/>
    <w:rsid w:val="0069059A"/>
    <w:rsid w:val="00690875"/>
    <w:rsid w:val="00690903"/>
    <w:rsid w:val="00690BA3"/>
    <w:rsid w:val="00690DD2"/>
    <w:rsid w:val="0069121E"/>
    <w:rsid w:val="00691346"/>
    <w:rsid w:val="00691367"/>
    <w:rsid w:val="00692E09"/>
    <w:rsid w:val="006930A3"/>
    <w:rsid w:val="006933C9"/>
    <w:rsid w:val="00693E27"/>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0753D"/>
    <w:rsid w:val="00710288"/>
    <w:rsid w:val="00710577"/>
    <w:rsid w:val="0071086A"/>
    <w:rsid w:val="00710A82"/>
    <w:rsid w:val="00710EED"/>
    <w:rsid w:val="00710F77"/>
    <w:rsid w:val="00710FAD"/>
    <w:rsid w:val="00711131"/>
    <w:rsid w:val="00711A5F"/>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1A7"/>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2B"/>
    <w:rsid w:val="00750767"/>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5692"/>
    <w:rsid w:val="0075603F"/>
    <w:rsid w:val="00756BB7"/>
    <w:rsid w:val="00756E3A"/>
    <w:rsid w:val="00756F47"/>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1B9B"/>
    <w:rsid w:val="007832CA"/>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03"/>
    <w:rsid w:val="007B74A3"/>
    <w:rsid w:val="007B75FE"/>
    <w:rsid w:val="007C0A24"/>
    <w:rsid w:val="007C103D"/>
    <w:rsid w:val="007C14EE"/>
    <w:rsid w:val="007C1537"/>
    <w:rsid w:val="007C2432"/>
    <w:rsid w:val="007C2D23"/>
    <w:rsid w:val="007C307C"/>
    <w:rsid w:val="007C347D"/>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6FF"/>
    <w:rsid w:val="007D089D"/>
    <w:rsid w:val="007D2197"/>
    <w:rsid w:val="007D26C1"/>
    <w:rsid w:val="007D2B2E"/>
    <w:rsid w:val="007D2D68"/>
    <w:rsid w:val="007D2E32"/>
    <w:rsid w:val="007D382E"/>
    <w:rsid w:val="007D3C63"/>
    <w:rsid w:val="007D42F7"/>
    <w:rsid w:val="007D477B"/>
    <w:rsid w:val="007D5080"/>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BDE"/>
    <w:rsid w:val="00812818"/>
    <w:rsid w:val="00812D77"/>
    <w:rsid w:val="008134ED"/>
    <w:rsid w:val="00813673"/>
    <w:rsid w:val="008150FA"/>
    <w:rsid w:val="0081556E"/>
    <w:rsid w:val="008163E9"/>
    <w:rsid w:val="00816BE8"/>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27B5F"/>
    <w:rsid w:val="00830103"/>
    <w:rsid w:val="00830713"/>
    <w:rsid w:val="00830DBB"/>
    <w:rsid w:val="00831007"/>
    <w:rsid w:val="008314E4"/>
    <w:rsid w:val="00831A14"/>
    <w:rsid w:val="00831A43"/>
    <w:rsid w:val="00831E21"/>
    <w:rsid w:val="00832250"/>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41"/>
    <w:rsid w:val="00847C8B"/>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CCF"/>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BBC"/>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6034"/>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3CE0"/>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49E"/>
    <w:rsid w:val="009427EC"/>
    <w:rsid w:val="00942868"/>
    <w:rsid w:val="00942F29"/>
    <w:rsid w:val="009435E6"/>
    <w:rsid w:val="00944791"/>
    <w:rsid w:val="00944943"/>
    <w:rsid w:val="00945684"/>
    <w:rsid w:val="00945C0A"/>
    <w:rsid w:val="00947BAE"/>
    <w:rsid w:val="00950D30"/>
    <w:rsid w:val="00951693"/>
    <w:rsid w:val="009519B3"/>
    <w:rsid w:val="0095207E"/>
    <w:rsid w:val="0095234C"/>
    <w:rsid w:val="00953878"/>
    <w:rsid w:val="00953A7B"/>
    <w:rsid w:val="00954B8D"/>
    <w:rsid w:val="0095532C"/>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0A5"/>
    <w:rsid w:val="0097123A"/>
    <w:rsid w:val="00971280"/>
    <w:rsid w:val="00974025"/>
    <w:rsid w:val="00974092"/>
    <w:rsid w:val="009742C0"/>
    <w:rsid w:val="00974C8F"/>
    <w:rsid w:val="00976057"/>
    <w:rsid w:val="0097639C"/>
    <w:rsid w:val="00977056"/>
    <w:rsid w:val="00977FD7"/>
    <w:rsid w:val="009816BB"/>
    <w:rsid w:val="00981B6D"/>
    <w:rsid w:val="00981B82"/>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8C9"/>
    <w:rsid w:val="009A0B9E"/>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08F4"/>
    <w:rsid w:val="009C13D4"/>
    <w:rsid w:val="009C2052"/>
    <w:rsid w:val="009C23C5"/>
    <w:rsid w:val="009C2445"/>
    <w:rsid w:val="009C313C"/>
    <w:rsid w:val="009C3492"/>
    <w:rsid w:val="009C3558"/>
    <w:rsid w:val="009C4361"/>
    <w:rsid w:val="009C4A88"/>
    <w:rsid w:val="009C5320"/>
    <w:rsid w:val="009C54C0"/>
    <w:rsid w:val="009C5C1F"/>
    <w:rsid w:val="009C5E41"/>
    <w:rsid w:val="009C6AA7"/>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CE4"/>
    <w:rsid w:val="009E4300"/>
    <w:rsid w:val="009E4618"/>
    <w:rsid w:val="009E48D9"/>
    <w:rsid w:val="009E4BC1"/>
    <w:rsid w:val="009E4F63"/>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753"/>
    <w:rsid w:val="00A06276"/>
    <w:rsid w:val="00A0638E"/>
    <w:rsid w:val="00A0725D"/>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4781"/>
    <w:rsid w:val="00A147D7"/>
    <w:rsid w:val="00A15141"/>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922"/>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446A"/>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7D4"/>
    <w:rsid w:val="00AC6E50"/>
    <w:rsid w:val="00AC72B2"/>
    <w:rsid w:val="00AC7788"/>
    <w:rsid w:val="00AD0141"/>
    <w:rsid w:val="00AD01A3"/>
    <w:rsid w:val="00AD05D6"/>
    <w:rsid w:val="00AD1B67"/>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07827"/>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1D8F"/>
    <w:rsid w:val="00B3264E"/>
    <w:rsid w:val="00B32B8D"/>
    <w:rsid w:val="00B3324B"/>
    <w:rsid w:val="00B33D7B"/>
    <w:rsid w:val="00B33DBE"/>
    <w:rsid w:val="00B34396"/>
    <w:rsid w:val="00B34585"/>
    <w:rsid w:val="00B34711"/>
    <w:rsid w:val="00B34E24"/>
    <w:rsid w:val="00B351BF"/>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4C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5E7"/>
    <w:rsid w:val="00B60608"/>
    <w:rsid w:val="00B606BA"/>
    <w:rsid w:val="00B60A05"/>
    <w:rsid w:val="00B60BB8"/>
    <w:rsid w:val="00B60FAE"/>
    <w:rsid w:val="00B61165"/>
    <w:rsid w:val="00B61427"/>
    <w:rsid w:val="00B61FC0"/>
    <w:rsid w:val="00B6280C"/>
    <w:rsid w:val="00B62B5B"/>
    <w:rsid w:val="00B63FC6"/>
    <w:rsid w:val="00B6449F"/>
    <w:rsid w:val="00B64DC6"/>
    <w:rsid w:val="00B652B4"/>
    <w:rsid w:val="00B65F77"/>
    <w:rsid w:val="00B660FB"/>
    <w:rsid w:val="00B663F5"/>
    <w:rsid w:val="00B666BC"/>
    <w:rsid w:val="00B668E7"/>
    <w:rsid w:val="00B66BE2"/>
    <w:rsid w:val="00B66D05"/>
    <w:rsid w:val="00B7016C"/>
    <w:rsid w:val="00B708CE"/>
    <w:rsid w:val="00B70903"/>
    <w:rsid w:val="00B7167B"/>
    <w:rsid w:val="00B72164"/>
    <w:rsid w:val="00B7243E"/>
    <w:rsid w:val="00B72507"/>
    <w:rsid w:val="00B728F8"/>
    <w:rsid w:val="00B729C5"/>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B37"/>
    <w:rsid w:val="00B95E0B"/>
    <w:rsid w:val="00B961F3"/>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2A0D"/>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4989"/>
    <w:rsid w:val="00BD4A9D"/>
    <w:rsid w:val="00BD5790"/>
    <w:rsid w:val="00BD59BE"/>
    <w:rsid w:val="00BD59CA"/>
    <w:rsid w:val="00BD5ECA"/>
    <w:rsid w:val="00BD62F6"/>
    <w:rsid w:val="00BD7070"/>
    <w:rsid w:val="00BD7127"/>
    <w:rsid w:val="00BD7480"/>
    <w:rsid w:val="00BD778A"/>
    <w:rsid w:val="00BE04C7"/>
    <w:rsid w:val="00BE0779"/>
    <w:rsid w:val="00BE1AFD"/>
    <w:rsid w:val="00BE22C9"/>
    <w:rsid w:val="00BE277C"/>
    <w:rsid w:val="00BE32A8"/>
    <w:rsid w:val="00BE38EA"/>
    <w:rsid w:val="00BE4F16"/>
    <w:rsid w:val="00BE50F7"/>
    <w:rsid w:val="00BE56DC"/>
    <w:rsid w:val="00BE6322"/>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D11"/>
    <w:rsid w:val="00C0443F"/>
    <w:rsid w:val="00C04B37"/>
    <w:rsid w:val="00C05247"/>
    <w:rsid w:val="00C05418"/>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305"/>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0F2C"/>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A8D"/>
    <w:rsid w:val="00C41D95"/>
    <w:rsid w:val="00C41DB0"/>
    <w:rsid w:val="00C41DB4"/>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3373"/>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5B8"/>
    <w:rsid w:val="00C62FB4"/>
    <w:rsid w:val="00C6329B"/>
    <w:rsid w:val="00C634B9"/>
    <w:rsid w:val="00C63AE3"/>
    <w:rsid w:val="00C64124"/>
    <w:rsid w:val="00C64439"/>
    <w:rsid w:val="00C64E32"/>
    <w:rsid w:val="00C6560C"/>
    <w:rsid w:val="00C65B3E"/>
    <w:rsid w:val="00C67CB0"/>
    <w:rsid w:val="00C67D98"/>
    <w:rsid w:val="00C7009F"/>
    <w:rsid w:val="00C70619"/>
    <w:rsid w:val="00C70A4A"/>
    <w:rsid w:val="00C70DF0"/>
    <w:rsid w:val="00C70FAD"/>
    <w:rsid w:val="00C7131E"/>
    <w:rsid w:val="00C7159A"/>
    <w:rsid w:val="00C718AE"/>
    <w:rsid w:val="00C727F7"/>
    <w:rsid w:val="00C7428F"/>
    <w:rsid w:val="00C74791"/>
    <w:rsid w:val="00C7485E"/>
    <w:rsid w:val="00C74A5F"/>
    <w:rsid w:val="00C751B8"/>
    <w:rsid w:val="00C757B4"/>
    <w:rsid w:val="00C75874"/>
    <w:rsid w:val="00C771C2"/>
    <w:rsid w:val="00C7749E"/>
    <w:rsid w:val="00C779E5"/>
    <w:rsid w:val="00C77F92"/>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0FB"/>
    <w:rsid w:val="00C862D2"/>
    <w:rsid w:val="00C87160"/>
    <w:rsid w:val="00C8740E"/>
    <w:rsid w:val="00C877A0"/>
    <w:rsid w:val="00C87F8C"/>
    <w:rsid w:val="00C912E2"/>
    <w:rsid w:val="00C918DD"/>
    <w:rsid w:val="00C91ACA"/>
    <w:rsid w:val="00C91DB5"/>
    <w:rsid w:val="00C93008"/>
    <w:rsid w:val="00C938DE"/>
    <w:rsid w:val="00C94BF2"/>
    <w:rsid w:val="00C9533C"/>
    <w:rsid w:val="00C95D40"/>
    <w:rsid w:val="00C964C9"/>
    <w:rsid w:val="00C9779D"/>
    <w:rsid w:val="00C97A37"/>
    <w:rsid w:val="00CA016D"/>
    <w:rsid w:val="00CA069A"/>
    <w:rsid w:val="00CA0ABE"/>
    <w:rsid w:val="00CA1A4B"/>
    <w:rsid w:val="00CA2C40"/>
    <w:rsid w:val="00CA2C91"/>
    <w:rsid w:val="00CA2CDD"/>
    <w:rsid w:val="00CA2EC3"/>
    <w:rsid w:val="00CA39C1"/>
    <w:rsid w:val="00CA3CF7"/>
    <w:rsid w:val="00CA3F84"/>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D7AA4"/>
    <w:rsid w:val="00CE03A3"/>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66D"/>
    <w:rsid w:val="00CF1715"/>
    <w:rsid w:val="00CF2558"/>
    <w:rsid w:val="00CF28A3"/>
    <w:rsid w:val="00CF2DA8"/>
    <w:rsid w:val="00CF4BD6"/>
    <w:rsid w:val="00CF4CB5"/>
    <w:rsid w:val="00CF681C"/>
    <w:rsid w:val="00CF692C"/>
    <w:rsid w:val="00CF7DD7"/>
    <w:rsid w:val="00D0012F"/>
    <w:rsid w:val="00D0141B"/>
    <w:rsid w:val="00D01453"/>
    <w:rsid w:val="00D017E5"/>
    <w:rsid w:val="00D01DDC"/>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02"/>
    <w:rsid w:val="00D41FE7"/>
    <w:rsid w:val="00D429E2"/>
    <w:rsid w:val="00D43096"/>
    <w:rsid w:val="00D43EE0"/>
    <w:rsid w:val="00D44596"/>
    <w:rsid w:val="00D461CD"/>
    <w:rsid w:val="00D46F0A"/>
    <w:rsid w:val="00D472EA"/>
    <w:rsid w:val="00D472EB"/>
    <w:rsid w:val="00D47DA0"/>
    <w:rsid w:val="00D50995"/>
    <w:rsid w:val="00D51743"/>
    <w:rsid w:val="00D51DBD"/>
    <w:rsid w:val="00D52300"/>
    <w:rsid w:val="00D53443"/>
    <w:rsid w:val="00D53BD6"/>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65C"/>
    <w:rsid w:val="00D75FB2"/>
    <w:rsid w:val="00D75FC8"/>
    <w:rsid w:val="00D76239"/>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1D2"/>
    <w:rsid w:val="00D833A8"/>
    <w:rsid w:val="00D83D14"/>
    <w:rsid w:val="00D83FFC"/>
    <w:rsid w:val="00D84F5D"/>
    <w:rsid w:val="00D85402"/>
    <w:rsid w:val="00D86AEC"/>
    <w:rsid w:val="00D87756"/>
    <w:rsid w:val="00D919F1"/>
    <w:rsid w:val="00D929C2"/>
    <w:rsid w:val="00D9370A"/>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6FAD"/>
    <w:rsid w:val="00DE745F"/>
    <w:rsid w:val="00DE79AB"/>
    <w:rsid w:val="00DE7CB3"/>
    <w:rsid w:val="00DF0772"/>
    <w:rsid w:val="00DF089D"/>
    <w:rsid w:val="00DF0C82"/>
    <w:rsid w:val="00DF1C2C"/>
    <w:rsid w:val="00DF36C6"/>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1DC9"/>
    <w:rsid w:val="00E02B3D"/>
    <w:rsid w:val="00E02C24"/>
    <w:rsid w:val="00E0364D"/>
    <w:rsid w:val="00E03D4D"/>
    <w:rsid w:val="00E046D1"/>
    <w:rsid w:val="00E050B5"/>
    <w:rsid w:val="00E05863"/>
    <w:rsid w:val="00E066B0"/>
    <w:rsid w:val="00E07486"/>
    <w:rsid w:val="00E07C0A"/>
    <w:rsid w:val="00E11A21"/>
    <w:rsid w:val="00E12243"/>
    <w:rsid w:val="00E1246D"/>
    <w:rsid w:val="00E128A8"/>
    <w:rsid w:val="00E12C56"/>
    <w:rsid w:val="00E14059"/>
    <w:rsid w:val="00E147B3"/>
    <w:rsid w:val="00E1508E"/>
    <w:rsid w:val="00E158FB"/>
    <w:rsid w:val="00E15C20"/>
    <w:rsid w:val="00E15E40"/>
    <w:rsid w:val="00E1650A"/>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91A"/>
    <w:rsid w:val="00E27F9B"/>
    <w:rsid w:val="00E30600"/>
    <w:rsid w:val="00E31AB9"/>
    <w:rsid w:val="00E31F45"/>
    <w:rsid w:val="00E329B6"/>
    <w:rsid w:val="00E32B29"/>
    <w:rsid w:val="00E32C9E"/>
    <w:rsid w:val="00E337C9"/>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853"/>
    <w:rsid w:val="00E57BC5"/>
    <w:rsid w:val="00E604A0"/>
    <w:rsid w:val="00E604A7"/>
    <w:rsid w:val="00E61783"/>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69A6"/>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5C"/>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09B"/>
    <w:rsid w:val="00EC7EC1"/>
    <w:rsid w:val="00ED016A"/>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581"/>
    <w:rsid w:val="00EE3A90"/>
    <w:rsid w:val="00EE40F7"/>
    <w:rsid w:val="00EE49F2"/>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7D4"/>
    <w:rsid w:val="00F348DC"/>
    <w:rsid w:val="00F34B44"/>
    <w:rsid w:val="00F355A4"/>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B92"/>
    <w:rsid w:val="00F43CCB"/>
    <w:rsid w:val="00F44881"/>
    <w:rsid w:val="00F44D57"/>
    <w:rsid w:val="00F4573D"/>
    <w:rsid w:val="00F458F2"/>
    <w:rsid w:val="00F45F39"/>
    <w:rsid w:val="00F4685C"/>
    <w:rsid w:val="00F46A69"/>
    <w:rsid w:val="00F46D95"/>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4F4"/>
    <w:rsid w:val="00F56A62"/>
    <w:rsid w:val="00F56E8B"/>
    <w:rsid w:val="00F61168"/>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219C"/>
    <w:rsid w:val="00F7579F"/>
    <w:rsid w:val="00F759DF"/>
    <w:rsid w:val="00F75A02"/>
    <w:rsid w:val="00F75B07"/>
    <w:rsid w:val="00F766B1"/>
    <w:rsid w:val="00F768F2"/>
    <w:rsid w:val="00F76F71"/>
    <w:rsid w:val="00F77234"/>
    <w:rsid w:val="00F77458"/>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6831"/>
    <w:rsid w:val="00F87227"/>
    <w:rsid w:val="00F8742E"/>
    <w:rsid w:val="00F87874"/>
    <w:rsid w:val="00F9033D"/>
    <w:rsid w:val="00F90AA8"/>
    <w:rsid w:val="00F90DFC"/>
    <w:rsid w:val="00F91E13"/>
    <w:rsid w:val="00F931FC"/>
    <w:rsid w:val="00F94662"/>
    <w:rsid w:val="00F95271"/>
    <w:rsid w:val="00F95382"/>
    <w:rsid w:val="00F9566A"/>
    <w:rsid w:val="00F95CA4"/>
    <w:rsid w:val="00F963C9"/>
    <w:rsid w:val="00F9653D"/>
    <w:rsid w:val="00F96D80"/>
    <w:rsid w:val="00F970BF"/>
    <w:rsid w:val="00F974FB"/>
    <w:rsid w:val="00F97837"/>
    <w:rsid w:val="00F97D87"/>
    <w:rsid w:val="00F97FB9"/>
    <w:rsid w:val="00FA0A5D"/>
    <w:rsid w:val="00FA0D2E"/>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B68"/>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C34"/>
    <w:rsid w:val="00FC4127"/>
    <w:rsid w:val="00FC4786"/>
    <w:rsid w:val="00FC4A63"/>
    <w:rsid w:val="00FC56FE"/>
    <w:rsid w:val="00FC5F8C"/>
    <w:rsid w:val="00FC6068"/>
    <w:rsid w:val="00FC7009"/>
    <w:rsid w:val="00FC731C"/>
    <w:rsid w:val="00FC7650"/>
    <w:rsid w:val="00FC7AF4"/>
    <w:rsid w:val="00FC7B87"/>
    <w:rsid w:val="00FC7F86"/>
    <w:rsid w:val="00FD0706"/>
    <w:rsid w:val="00FD08BA"/>
    <w:rsid w:val="00FD1D5A"/>
    <w:rsid w:val="00FD1DFC"/>
    <w:rsid w:val="00FD2727"/>
    <w:rsid w:val="00FD2DFA"/>
    <w:rsid w:val="00FD32F8"/>
    <w:rsid w:val="00FD418C"/>
    <w:rsid w:val="00FD41E0"/>
    <w:rsid w:val="00FD5731"/>
    <w:rsid w:val="00FD63F9"/>
    <w:rsid w:val="00FD64F1"/>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CF49F"/>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uiPriority w:val="99"/>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8304732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4506814">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02723181">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768DD-EA92-486D-AF4F-D98C6135F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34655</TotalTime>
  <Pages>3</Pages>
  <Words>585</Words>
  <Characters>3338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824</cp:revision>
  <cp:lastPrinted>2010-01-07T02:23:00Z</cp:lastPrinted>
  <dcterms:created xsi:type="dcterms:W3CDTF">2021-02-10T02:54:00Z</dcterms:created>
  <dcterms:modified xsi:type="dcterms:W3CDTF">2025-02-07T11:20:00Z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