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7858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Toc92513360"/>
      <w:bookmarkStart w:id="3" w:name="_Ref399006623"/>
      <w:r>
        <w:rPr>
          <w:rFonts w:ascii="Arial" w:hAnsi="Arial" w:eastAsia="宋体" w:cs="Arial"/>
          <w:b/>
          <w:kern w:val="0"/>
          <w:sz w:val="24"/>
          <w:szCs w:val="24"/>
          <w:lang w:val="en-US" w:eastAsia="zh-CN" w:bidi="ar-SA"/>
        </w:rPr>
        <w:t>3GPP TSG-RAN WG4 Meeting #114</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R4-2500629</w:t>
      </w:r>
      <w:bookmarkStart w:id="16" w:name="_GoBack"/>
      <w:bookmarkEnd w:id="16"/>
    </w:p>
    <w:p w14:paraId="2EF43016">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hint="eastAsia" w:ascii="Arial" w:hAnsi="Arial" w:eastAsia="宋体" w:cs="Arial"/>
          <w:b/>
          <w:kern w:val="0"/>
          <w:sz w:val="24"/>
          <w:szCs w:val="24"/>
          <w:lang w:val="en-US" w:eastAsia="zh-CN" w:bidi="ar-SA"/>
        </w:rPr>
        <w:t>Athens</w:t>
      </w:r>
      <w:r>
        <w:rPr>
          <w:rFonts w:ascii="Arial" w:hAnsi="Arial" w:eastAsia="宋体" w:cs="Arial"/>
          <w:b/>
          <w:kern w:val="0"/>
          <w:sz w:val="24"/>
          <w:szCs w:val="24"/>
          <w:lang w:val="en-US" w:eastAsia="zh-CN" w:bidi="ar-SA"/>
        </w:rPr>
        <w:t>, GR, 17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21</w:t>
      </w:r>
      <w:r>
        <w:rPr>
          <w:rFonts w:ascii="Arial" w:hAnsi="Arial" w:eastAsia="宋体" w:cs="Arial"/>
          <w:b/>
          <w:kern w:val="0"/>
          <w:sz w:val="24"/>
          <w:szCs w:val="24"/>
          <w:vertAlign w:val="superscript"/>
          <w:lang w:val="en-US" w:eastAsia="zh-CN" w:bidi="ar-SA"/>
        </w:rPr>
        <w:t>st</w:t>
      </w:r>
      <w:r>
        <w:rPr>
          <w:rFonts w:ascii="Arial" w:hAnsi="Arial" w:eastAsia="宋体" w:cs="Arial"/>
          <w:b/>
          <w:kern w:val="0"/>
          <w:sz w:val="24"/>
          <w:szCs w:val="24"/>
          <w:lang w:val="en-US" w:eastAsia="zh-CN" w:bidi="ar-SA"/>
        </w:rPr>
        <w:t xml:space="preserve"> February, 2025</w:t>
      </w:r>
    </w:p>
    <w:p w14:paraId="011432A0">
      <w:pPr>
        <w:overflowPunct w:val="0"/>
        <w:autoSpaceDE w:val="0"/>
        <w:autoSpaceDN w:val="0"/>
        <w:adjustRightInd w:val="0"/>
        <w:textAlignment w:val="baseline"/>
        <w:rPr>
          <w:rFonts w:ascii="Arial" w:hAnsi="Arial" w:eastAsia="宋体" w:cs="Times New Roman"/>
          <w:b/>
          <w:bCs/>
          <w:kern w:val="0"/>
          <w:sz w:val="24"/>
          <w:szCs w:val="21"/>
        </w:rPr>
      </w:pPr>
    </w:p>
    <w:p w14:paraId="71AC0803">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DF7BF00">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14:paraId="53E1FFFE">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6</w:t>
      </w:r>
      <w:r>
        <w:rPr>
          <w:rFonts w:hint="eastAsia" w:ascii="Arial" w:hAnsi="Arial" w:cs="Arial"/>
          <w:sz w:val="24"/>
          <w:szCs w:val="24"/>
        </w:rPr>
        <w:t>.4.2</w:t>
      </w:r>
    </w:p>
    <w:p w14:paraId="77125FB9">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532F1E92">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6B1F2B7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 xml:space="preserve">In </w:t>
      </w:r>
      <w:r>
        <w:rPr>
          <w:rFonts w:hint="eastAsia" w:ascii="Times New Roman" w:hAnsi="Times New Roman" w:eastAsia="宋体" w:cs="Times New Roman"/>
          <w:kern w:val="0"/>
          <w:sz w:val="21"/>
          <w:szCs w:val="21"/>
          <w:lang w:val="en-US" w:eastAsia="zh-CN"/>
        </w:rPr>
        <w:t>RAN4#113 meeting</w:t>
      </w:r>
      <w:r>
        <w:rPr>
          <w:rFonts w:hint="eastAsia" w:ascii="Times New Roman" w:hAnsi="Times New Roman" w:eastAsia="宋体" w:cs="Times New Roman"/>
          <w:kern w:val="0"/>
          <w:sz w:val="21"/>
          <w:szCs w:val="21"/>
        </w:rPr>
        <w:t xml:space="preserve">, the </w:t>
      </w:r>
      <w:r>
        <w:rPr>
          <w:rFonts w:ascii="Times New Roman" w:hAnsi="Times New Roman" w:eastAsia="宋体" w:cs="Times New Roman"/>
          <w:kern w:val="0"/>
          <w:sz w:val="21"/>
          <w:szCs w:val="21"/>
        </w:rPr>
        <w:t xml:space="preserve">RRM </w:t>
      </w:r>
      <w:r>
        <w:rPr>
          <w:rFonts w:hint="eastAsia" w:ascii="Times New Roman" w:hAnsi="Times New Roman" w:eastAsia="宋体" w:cs="Times New Roman"/>
          <w:kern w:val="0"/>
          <w:sz w:val="21"/>
          <w:szCs w:val="21"/>
          <w:lang w:val="en-US" w:eastAsia="zh-CN"/>
        </w:rPr>
        <w:t xml:space="preserve">impacts </w:t>
      </w:r>
      <w:r>
        <w:rPr>
          <w:rFonts w:hint="eastAsia" w:ascii="Times New Roman" w:hAnsi="Times New Roman" w:eastAsia="宋体" w:cs="Times New Roman"/>
          <w:kern w:val="0"/>
          <w:sz w:val="21"/>
          <w:szCs w:val="21"/>
        </w:rPr>
        <w:t>on l</w:t>
      </w:r>
      <w:r>
        <w:rPr>
          <w:rFonts w:ascii="Times New Roman" w:hAnsi="Times New Roman" w:eastAsia="宋体" w:cs="Times New Roman"/>
          <w:kern w:val="0"/>
          <w:sz w:val="21"/>
          <w:szCs w:val="21"/>
        </w:rPr>
        <w:t>ow-power wake-up signal and receiver for NR (LP-WUS/WUR)</w:t>
      </w:r>
      <w:r>
        <w:rPr>
          <w:rFonts w:hint="eastAsia" w:ascii="Times New Roman" w:hAnsi="Times New Roman" w:eastAsia="宋体" w:cs="Times New Roman"/>
          <w:kern w:val="0"/>
          <w:sz w:val="21"/>
          <w:szCs w:val="21"/>
        </w:rPr>
        <w:t xml:space="preserve"> was </w:t>
      </w:r>
      <w:r>
        <w:rPr>
          <w:rFonts w:hint="eastAsia" w:ascii="Times New Roman" w:hAnsi="Times New Roman" w:eastAsia="宋体" w:cs="Times New Roman"/>
          <w:kern w:val="0"/>
          <w:sz w:val="21"/>
          <w:szCs w:val="21"/>
          <w:lang w:val="en-US" w:eastAsia="zh-CN"/>
        </w:rPr>
        <w:t>discussed and a</w:t>
      </w:r>
      <w:r>
        <w:rPr>
          <w:rFonts w:ascii="Times New Roman" w:hAnsi="Times New Roman" w:eastAsia="宋体" w:cs="Times New Roman"/>
          <w:kern w:val="0"/>
          <w:sz w:val="21"/>
          <w:szCs w:val="21"/>
        </w:rPr>
        <w:t xml:space="preserve"> WF was approved [</w:t>
      </w:r>
      <w:r>
        <w:rPr>
          <w:rFonts w:hint="eastAsia" w:ascii="Times New Roman" w:hAnsi="Times New Roman" w:eastAsia="宋体" w:cs="Times New Roman"/>
          <w:kern w:val="0"/>
          <w:sz w:val="21"/>
          <w:szCs w:val="21"/>
          <w:lang w:val="en-US" w:eastAsia="zh-CN"/>
        </w:rPr>
        <w:t>1</w:t>
      </w:r>
      <w:r>
        <w:rPr>
          <w:rFonts w:ascii="Times New Roman" w:hAnsi="Times New Roman" w:eastAsia="宋体" w:cs="Times New Roman"/>
          <w:kern w:val="0"/>
          <w:sz w:val="21"/>
          <w:szCs w:val="21"/>
        </w:rPr>
        <w:t>].</w:t>
      </w:r>
      <w:r>
        <w:rPr>
          <w:rFonts w:ascii="Times New Roman" w:hAnsi="Times New Roman" w:eastAsia="宋体" w:cs="Times New Roman"/>
          <w:kern w:val="0"/>
          <w:sz w:val="21"/>
          <w:szCs w:val="21"/>
          <w:lang w:bidi="ar"/>
        </w:rPr>
        <w:t xml:space="preserve"> In this contribution, we provide our further analysis on RRM </w:t>
      </w:r>
      <w:r>
        <w:rPr>
          <w:rFonts w:hint="eastAsia" w:ascii="Times New Roman" w:hAnsi="Times New Roman" w:eastAsia="宋体" w:cs="Times New Roman"/>
          <w:kern w:val="0"/>
          <w:sz w:val="21"/>
          <w:szCs w:val="21"/>
          <w:lang w:bidi="ar"/>
        </w:rPr>
        <w:t>impacts of</w:t>
      </w:r>
      <w:r>
        <w:rPr>
          <w:rFonts w:ascii="Times New Roman" w:hAnsi="Times New Roman" w:eastAsia="宋体" w:cs="Times New Roman"/>
          <w:kern w:val="0"/>
          <w:sz w:val="21"/>
          <w:szCs w:val="21"/>
          <w:lang w:bidi="ar"/>
        </w:rPr>
        <w:t xml:space="preserve"> </w:t>
      </w:r>
      <w:r>
        <w:rPr>
          <w:rFonts w:ascii="Times New Roman" w:hAnsi="Times New Roman" w:eastAsia="宋体" w:cs="Times New Roman"/>
          <w:kern w:val="0"/>
          <w:sz w:val="21"/>
          <w:szCs w:val="21"/>
        </w:rPr>
        <w:t>LP-WUS/WUR features</w:t>
      </w:r>
      <w:r>
        <w:rPr>
          <w:rFonts w:ascii="Times New Roman" w:hAnsi="Times New Roman" w:eastAsia="宋体" w:cs="Times New Roman"/>
          <w:kern w:val="0"/>
          <w:sz w:val="21"/>
          <w:szCs w:val="21"/>
          <w:lang w:bidi="ar"/>
        </w:rPr>
        <w:t xml:space="preserve">. </w:t>
      </w:r>
    </w:p>
    <w:p w14:paraId="0C28C891">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88D2836">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1-1-1: Cases/states to be considered for RRM relaxation and serving cell measurement offloading</w:t>
      </w:r>
    </w:p>
    <w:p w14:paraId="5718BF1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4" w:name="OLE_LINK5"/>
      <w:r>
        <w:rPr>
          <w:rFonts w:hint="eastAsia" w:ascii="Times New Roman" w:hAnsi="Times New Roman" w:eastAsia="宋体" w:cs="Times New Roman"/>
          <w:b w:val="0"/>
          <w:bCs w:val="0"/>
          <w:kern w:val="0"/>
          <w:sz w:val="21"/>
          <w:szCs w:val="21"/>
          <w:lang w:val="en-US" w:eastAsia="zh-CN"/>
        </w:rPr>
        <w:t>Based on the discussion in previous meeting</w:t>
      </w:r>
      <w:bookmarkEnd w:id="4"/>
      <w:r>
        <w:rPr>
          <w:rFonts w:hint="eastAsia" w:ascii="Times New Roman" w:hAnsi="Times New Roman" w:eastAsia="宋体" w:cs="Times New Roman"/>
          <w:b w:val="0"/>
          <w:bCs w:val="0"/>
          <w:kern w:val="0"/>
          <w:sz w:val="21"/>
          <w:szCs w:val="21"/>
          <w:lang w:val="en-US" w:eastAsia="zh-CN"/>
        </w:rPr>
        <w:t xml:space="preserve">s, RRM measurement relaxation case#1 and case#3 has already be agreed. In case 1, i.e., fully offloading case, </w:t>
      </w:r>
      <w:r>
        <w:rPr>
          <w:rFonts w:hint="eastAsia" w:ascii="Times New Roman" w:hAnsi="Times New Roman" w:eastAsia="宋体" w:cs="Times New Roman"/>
          <w:b w:val="0"/>
          <w:bCs w:val="0"/>
          <w:kern w:val="0"/>
          <w:sz w:val="21"/>
          <w:szCs w:val="21"/>
          <w:lang w:val="en-GB" w:eastAsia="zh-CN"/>
        </w:rPr>
        <w:t>MR stops perform any RRM measurement and LP-WUR performs serving cell measurement</w:t>
      </w:r>
      <w:r>
        <w:rPr>
          <w:rFonts w:hint="eastAsia" w:ascii="Times New Roman" w:hAnsi="Times New Roman" w:eastAsia="宋体" w:cs="Times New Roman"/>
          <w:b w:val="0"/>
          <w:bCs w:val="0"/>
          <w:kern w:val="0"/>
          <w:sz w:val="21"/>
          <w:szCs w:val="21"/>
          <w:lang w:val="en-US" w:eastAsia="zh-CN"/>
        </w:rPr>
        <w:t>. There is still FFS on the condition and details for the MR neighboring cell measurement. From our perspective, this is the case where UE could perform the greatest level of relaxation measurement. We prefer not to consider any neighbor cell measurement in this case.</w:t>
      </w:r>
    </w:p>
    <w:p w14:paraId="39F0574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72F0E7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5" w:name="OLE_LINK3"/>
      <w:r>
        <w:rPr>
          <w:rFonts w:hint="eastAsia" w:ascii="Times New Roman" w:hAnsi="Times New Roman" w:eastAsia="宋体" w:cs="Times New Roman"/>
          <w:b w:val="0"/>
          <w:bCs w:val="0"/>
          <w:kern w:val="0"/>
          <w:sz w:val="21"/>
          <w:szCs w:val="21"/>
          <w:lang w:val="en-US" w:eastAsia="zh-CN"/>
        </w:rPr>
        <w:t xml:space="preserve">In case 2, </w:t>
      </w:r>
      <w:r>
        <w:rPr>
          <w:rFonts w:hint="eastAsia" w:ascii="Times New Roman" w:hAnsi="Times New Roman" w:eastAsia="宋体" w:cs="Times New Roman"/>
          <w:b w:val="0"/>
          <w:bCs w:val="0"/>
          <w:kern w:val="0"/>
          <w:sz w:val="21"/>
          <w:szCs w:val="21"/>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b w:val="0"/>
          <w:bCs w:val="0"/>
          <w:kern w:val="0"/>
          <w:sz w:val="21"/>
          <w:szCs w:val="21"/>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bookmarkEnd w:id="5"/>
    </w:p>
    <w:p w14:paraId="62556002">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It is suggested to </w:t>
      </w:r>
      <w:bookmarkStart w:id="6" w:name="OLE_LINK15"/>
      <w:r>
        <w:rPr>
          <w:rFonts w:hint="eastAsia" w:ascii="Times New Roman" w:hAnsi="Times New Roman" w:eastAsia="宋体" w:cs="Times New Roman"/>
          <w:b/>
          <w:bCs/>
          <w:kern w:val="0"/>
          <w:sz w:val="21"/>
          <w:szCs w:val="21"/>
          <w:lang w:val="en-US" w:eastAsia="zh-CN"/>
        </w:rPr>
        <w:t>de-prioritize RRM relaxation case 2</w:t>
      </w:r>
      <w:bookmarkEnd w:id="6"/>
      <w:r>
        <w:rPr>
          <w:rFonts w:hint="eastAsia" w:ascii="Times New Roman" w:hAnsi="Times New Roman" w:eastAsia="宋体" w:cs="Times New Roman"/>
          <w:b/>
          <w:bCs/>
          <w:kern w:val="0"/>
          <w:sz w:val="21"/>
          <w:szCs w:val="21"/>
          <w:lang w:val="en-US" w:eastAsia="zh-CN"/>
        </w:rPr>
        <w:t>.</w:t>
      </w:r>
    </w:p>
    <w:p w14:paraId="5D11802E">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 xml:space="preserve">Issue 1-1-5: Criteria (entry/exit conditions) for </w:t>
      </w:r>
      <w:r>
        <w:rPr>
          <w:rFonts w:ascii="Times New Roman" w:hAnsi="Times New Roman" w:eastAsia="宋体" w:cs="Times New Roman"/>
          <w:b/>
          <w:color w:val="000000"/>
          <w:kern w:val="0"/>
          <w:sz w:val="20"/>
          <w:u w:val="single"/>
          <w:lang w:val="en-GB" w:eastAsia="zh-CN"/>
        </w:rPr>
        <w:t>fully offloading case</w:t>
      </w:r>
      <w:r>
        <w:rPr>
          <w:rFonts w:ascii="Times New Roman" w:hAnsi="Times New Roman" w:eastAsia="宋体" w:cs="Times New Roman"/>
          <w:b/>
          <w:color w:val="000000"/>
          <w:kern w:val="0"/>
          <w:sz w:val="20"/>
          <w:u w:val="single"/>
          <w:lang w:val="en-GB" w:eastAsia="ko-KR"/>
        </w:rPr>
        <w:t xml:space="preserve"> and MR RRM measurement relaxation  </w:t>
      </w:r>
    </w:p>
    <w:p w14:paraId="75094D60">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Issue 1-1-6: Criteria (entry/exit conditions) for LP-WUS monitoring</w:t>
      </w:r>
    </w:p>
    <w:p w14:paraId="7B6D5BC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rPr>
      </w:pPr>
      <w:r>
        <w:rPr>
          <w:rFonts w:hint="eastAsia" w:ascii="Times New Roman" w:hAnsi="Times New Roman" w:eastAsia="宋体" w:cs="Times New Roman"/>
          <w:b w:val="0"/>
          <w:bCs w:val="0"/>
          <w:kern w:val="0"/>
          <w:sz w:val="21"/>
          <w:szCs w:val="21"/>
        </w:rPr>
        <w:t xml:space="preserve">As we understand </w:t>
      </w:r>
      <w:r>
        <w:rPr>
          <w:rFonts w:hint="eastAsia" w:ascii="Times New Roman" w:hAnsi="Times New Roman" w:eastAsia="宋体" w:cs="Times New Roman"/>
          <w:b w:val="0"/>
          <w:bCs w:val="0"/>
          <w:kern w:val="0"/>
          <w:sz w:val="21"/>
          <w:szCs w:val="21"/>
          <w:lang w:val="en-US" w:eastAsia="zh-CN"/>
        </w:rPr>
        <w:t xml:space="preserve">that </w:t>
      </w:r>
      <w:r>
        <w:rPr>
          <w:rFonts w:hint="eastAsia" w:ascii="Times New Roman" w:hAnsi="Times New Roman" w:eastAsia="宋体" w:cs="Times New Roman"/>
          <w:b w:val="0"/>
          <w:bCs w:val="0"/>
          <w:kern w:val="0"/>
          <w:sz w:val="21"/>
          <w:szCs w:val="21"/>
        </w:rPr>
        <w:t>the LP-WUR measurement is</w:t>
      </w:r>
      <w:r>
        <w:rPr>
          <w:rFonts w:hint="eastAsia" w:ascii="Times New Roman" w:hAnsi="Times New Roman" w:eastAsia="宋体" w:cs="Times New Roman"/>
          <w:b w:val="0"/>
          <w:bCs w:val="0"/>
          <w:kern w:val="0"/>
          <w:sz w:val="21"/>
          <w:szCs w:val="21"/>
          <w:lang w:val="en-US" w:eastAsia="zh-CN"/>
        </w:rPr>
        <w:t xml:space="preserve"> initially</w:t>
      </w:r>
      <w:r>
        <w:rPr>
          <w:rFonts w:hint="eastAsia" w:ascii="Times New Roman" w:hAnsi="Times New Roman" w:eastAsia="宋体" w:cs="Times New Roman"/>
          <w:b w:val="0"/>
          <w:bCs w:val="0"/>
          <w:kern w:val="0"/>
          <w:sz w:val="21"/>
          <w:szCs w:val="21"/>
        </w:rPr>
        <w:t xml:space="preserve"> introduced to guarantee the performance </w:t>
      </w:r>
      <w:r>
        <w:rPr>
          <w:rFonts w:hint="eastAsia" w:ascii="Times New Roman" w:hAnsi="Times New Roman" w:eastAsia="宋体" w:cs="Times New Roman"/>
          <w:b w:val="0"/>
          <w:bCs w:val="0"/>
          <w:kern w:val="0"/>
          <w:sz w:val="21"/>
          <w:szCs w:val="21"/>
          <w:lang w:val="en-US" w:eastAsia="zh-CN"/>
        </w:rPr>
        <w:t xml:space="preserve">of </w:t>
      </w:r>
      <w:r>
        <w:rPr>
          <w:rFonts w:hint="eastAsia" w:ascii="Times New Roman" w:hAnsi="Times New Roman" w:eastAsia="宋体" w:cs="Times New Roman"/>
          <w:b w:val="0"/>
          <w:bCs w:val="0"/>
          <w:kern w:val="0"/>
          <w:sz w:val="21"/>
          <w:szCs w:val="21"/>
        </w:rPr>
        <w:t xml:space="preserve">LP-WUS monitoring, </w:t>
      </w:r>
      <w:r>
        <w:rPr>
          <w:rFonts w:hint="eastAsia" w:ascii="Times New Roman" w:hAnsi="Times New Roman" w:eastAsia="宋体" w:cs="Times New Roman"/>
          <w:b w:val="0"/>
          <w:bCs w:val="0"/>
          <w:kern w:val="0"/>
          <w:sz w:val="21"/>
          <w:szCs w:val="21"/>
          <w:lang w:val="en-US" w:eastAsia="zh-CN"/>
        </w:rPr>
        <w:t xml:space="preserve">we think </w:t>
      </w:r>
      <w:r>
        <w:rPr>
          <w:rFonts w:hint="eastAsia" w:ascii="Times New Roman" w:hAnsi="Times New Roman" w:eastAsia="宋体" w:cs="Times New Roman"/>
          <w:b w:val="0"/>
          <w:bCs w:val="0"/>
          <w:kern w:val="0"/>
          <w:sz w:val="21"/>
          <w:szCs w:val="21"/>
        </w:rPr>
        <w:t>the measurement is not expected to start later than the LP-WUS monitoring.</w:t>
      </w:r>
      <w:r>
        <w:rPr>
          <w:rFonts w:hint="eastAsia" w:ascii="Times New Roman" w:hAnsi="Times New Roman" w:eastAsia="宋体" w:cs="Times New Roman"/>
          <w:b w:val="0"/>
          <w:bCs w:val="0"/>
          <w:kern w:val="0"/>
          <w:sz w:val="21"/>
          <w:szCs w:val="21"/>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measuremnt results seems useless. So, w</w:t>
      </w:r>
      <w:r>
        <w:rPr>
          <w:rFonts w:hint="eastAsia" w:ascii="Times New Roman" w:hAnsi="Times New Roman" w:eastAsia="宋体" w:cs="Times New Roman"/>
          <w:b w:val="0"/>
          <w:bCs w:val="0"/>
          <w:kern w:val="0"/>
          <w:sz w:val="21"/>
          <w:szCs w:val="21"/>
        </w:rPr>
        <w:t xml:space="preserve">e </w:t>
      </w:r>
      <w:r>
        <w:rPr>
          <w:rFonts w:hint="eastAsia" w:ascii="Times New Roman" w:hAnsi="Times New Roman" w:eastAsia="宋体" w:cs="Times New Roman"/>
          <w:b w:val="0"/>
          <w:bCs w:val="0"/>
          <w:kern w:val="0"/>
          <w:sz w:val="21"/>
          <w:szCs w:val="21"/>
          <w:lang w:val="en-US" w:eastAsia="zh-CN"/>
        </w:rPr>
        <w:t>prefer to define the same</w:t>
      </w:r>
      <w:r>
        <w:rPr>
          <w:rFonts w:hint="eastAsia" w:ascii="Times New Roman" w:hAnsi="Times New Roman" w:eastAsia="宋体" w:cs="Times New Roman"/>
          <w:b w:val="0"/>
          <w:bCs w:val="0"/>
          <w:kern w:val="0"/>
          <w:sz w:val="21"/>
          <w:szCs w:val="21"/>
        </w:rPr>
        <w:t xml:space="preserve"> entry/exit </w:t>
      </w:r>
      <w:r>
        <w:rPr>
          <w:rFonts w:hint="eastAsia" w:ascii="Times New Roman" w:hAnsi="Times New Roman" w:eastAsia="宋体" w:cs="Times New Roman"/>
          <w:b w:val="0"/>
          <w:bCs w:val="0"/>
          <w:kern w:val="0"/>
          <w:sz w:val="21"/>
          <w:szCs w:val="21"/>
          <w:lang w:val="en-US" w:eastAsia="zh-CN"/>
        </w:rPr>
        <w:t xml:space="preserve">condition </w:t>
      </w:r>
      <w:r>
        <w:rPr>
          <w:rFonts w:hint="eastAsia" w:ascii="Times New Roman" w:hAnsi="Times New Roman" w:eastAsia="宋体" w:cs="Times New Roman"/>
          <w:b w:val="0"/>
          <w:bCs w:val="0"/>
          <w:kern w:val="0"/>
          <w:sz w:val="21"/>
          <w:szCs w:val="21"/>
        </w:rPr>
        <w:t xml:space="preserve">of LP-WUR measurement </w:t>
      </w:r>
      <w:r>
        <w:rPr>
          <w:rFonts w:hint="eastAsia" w:ascii="Times New Roman" w:hAnsi="Times New Roman" w:eastAsia="宋体" w:cs="Times New Roman"/>
          <w:b w:val="0"/>
          <w:bCs w:val="0"/>
          <w:kern w:val="0"/>
          <w:sz w:val="21"/>
          <w:szCs w:val="21"/>
          <w:lang w:val="en-US" w:eastAsia="zh-CN"/>
        </w:rPr>
        <w:t>and</w:t>
      </w:r>
      <w:r>
        <w:rPr>
          <w:rFonts w:hint="eastAsia" w:ascii="Times New Roman" w:hAnsi="Times New Roman" w:eastAsia="宋体" w:cs="Times New Roman"/>
          <w:b w:val="0"/>
          <w:bCs w:val="0"/>
          <w:kern w:val="0"/>
          <w:sz w:val="21"/>
          <w:szCs w:val="21"/>
        </w:rPr>
        <w:t xml:space="preserve"> LP-WUS monitoring.</w:t>
      </w:r>
      <w:r>
        <w:rPr>
          <w:rFonts w:hint="eastAsia" w:ascii="Times New Roman" w:hAnsi="Times New Roman" w:eastAsia="宋体" w:cs="Times New Roman"/>
          <w:b w:val="0"/>
          <w:bCs w:val="0"/>
          <w:kern w:val="0"/>
          <w:sz w:val="21"/>
          <w:szCs w:val="21"/>
          <w:lang w:val="en-US" w:eastAsia="zh-CN"/>
        </w:rPr>
        <w:t xml:space="preserve"> For the entry/exist conditions for LP-WUS monitoring, we understand that this issue is under discussion in RAN1 and RAN2. We think RAN4 should wait for RAN1/2 progress. RAN4</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s discussion on entry/exit conditions for LP-WUS monitoring can be triggered by other working group(s) if needed. </w:t>
      </w:r>
    </w:p>
    <w:p w14:paraId="72CD740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3</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discussion on entry/exit conditions for LP-WUS monitoring can be triggered by RAN1/2 if needed.</w:t>
      </w:r>
    </w:p>
    <w:p w14:paraId="43C371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1"/>
          <w:szCs w:val="21"/>
        </w:rPr>
        <w:t>entry/exit conditions</w:t>
      </w:r>
      <w:r>
        <w:rPr>
          <w:rFonts w:hint="eastAsia" w:ascii="Times New Roman" w:hAnsi="Times New Roman" w:eastAsia="宋体" w:cs="Times New Roman"/>
          <w:b w:val="0"/>
          <w:bCs w:val="0"/>
          <w:kern w:val="0"/>
          <w:sz w:val="21"/>
          <w:szCs w:val="21"/>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14:paraId="1112220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discussing relaxation cases, while the entry/exit criteria should be based on RAN2 design.</w:t>
      </w:r>
    </w:p>
    <w:p w14:paraId="4B1498A3">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 xml:space="preserve">Issue 1-1-9: </w:t>
      </w:r>
      <w:r>
        <w:rPr>
          <w:rFonts w:hint="eastAsia" w:ascii="Times New Roman" w:hAnsi="Times New Roman" w:eastAsia="宋体" w:cs="Times New Roman"/>
          <w:b/>
          <w:color w:val="000000"/>
          <w:kern w:val="0"/>
          <w:sz w:val="21"/>
          <w:szCs w:val="21"/>
          <w:u w:val="single"/>
          <w:lang w:val="en-GB" w:eastAsia="ko-KR"/>
        </w:rPr>
        <w:t xml:space="preserve">LP-WUR status at legacy case (not at LP-WUS monitoring case/fully offloading(case 1) case/RRM relaxation (case 3) case) </w:t>
      </w:r>
    </w:p>
    <w:p w14:paraId="1FD33F9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rPr>
        <w:t>LP-WUR status before entering LP-WUS monitoring or after exiting LP-WUS monitoring</w:t>
      </w:r>
      <w:r>
        <w:rPr>
          <w:rFonts w:hint="eastAsia" w:ascii="Times New Roman" w:hAnsi="Times New Roman" w:eastAsia="宋体" w:cs="Times New Roman"/>
          <w:b w:val="0"/>
          <w:bCs w:val="0"/>
          <w:kern w:val="0"/>
          <w:sz w:val="21"/>
          <w:szCs w:val="21"/>
          <w:lang w:val="en-US" w:eastAsia="zh-CN"/>
        </w:rPr>
        <w:t xml:space="preserve"> is under discussion. In our understanding, this issue is related to the enter/exist conditions for LP-WUS monitoring for LR as well as RRM measurement relaxation for MR. Here below, the entry/exit conditions based on existing RAN2</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s agreements summarized in last meeting</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s email discussion was attached:</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0"/>
        <w:gridCol w:w="3934"/>
        <w:gridCol w:w="1962"/>
      </w:tblGrid>
      <w:tr w14:paraId="2156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77E4334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Case </w:t>
            </w:r>
          </w:p>
        </w:tc>
        <w:tc>
          <w:tcPr>
            <w:tcW w:w="1997" w:type="pct"/>
          </w:tcPr>
          <w:p w14:paraId="59C47A9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Entry conditions </w:t>
            </w:r>
          </w:p>
        </w:tc>
        <w:tc>
          <w:tcPr>
            <w:tcW w:w="996" w:type="pct"/>
          </w:tcPr>
          <w:p w14:paraId="234B806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Exit conditions</w:t>
            </w:r>
          </w:p>
        </w:tc>
      </w:tr>
      <w:tr w14:paraId="115F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165BBFD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LP-WUS monitoring</w:t>
            </w:r>
          </w:p>
        </w:tc>
        <w:tc>
          <w:tcPr>
            <w:tcW w:w="1997" w:type="pct"/>
          </w:tcPr>
          <w:p w14:paraId="5E449A0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MR threshold and optional LR threshold </w:t>
            </w:r>
          </w:p>
        </w:tc>
        <w:tc>
          <w:tcPr>
            <w:tcW w:w="996" w:type="pct"/>
          </w:tcPr>
          <w:p w14:paraId="280D4D8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LR threshold </w:t>
            </w:r>
          </w:p>
        </w:tc>
      </w:tr>
      <w:tr w14:paraId="283C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327CBDB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fully offloading (Case 1)</w:t>
            </w:r>
          </w:p>
        </w:tc>
        <w:tc>
          <w:tcPr>
            <w:tcW w:w="1997" w:type="pct"/>
          </w:tcPr>
          <w:p w14:paraId="1D8A9CB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MR threshold and optional LR threshold</w:t>
            </w:r>
          </w:p>
        </w:tc>
        <w:tc>
          <w:tcPr>
            <w:tcW w:w="996" w:type="pct"/>
          </w:tcPr>
          <w:p w14:paraId="2751CB0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LR threshold </w:t>
            </w:r>
          </w:p>
        </w:tc>
      </w:tr>
      <w:tr w14:paraId="19E8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4F3913D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relaxation (Case 3)</w:t>
            </w:r>
          </w:p>
        </w:tc>
        <w:tc>
          <w:tcPr>
            <w:tcW w:w="1997" w:type="pct"/>
          </w:tcPr>
          <w:p w14:paraId="6E2D571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FFS</w:t>
            </w:r>
          </w:p>
        </w:tc>
        <w:tc>
          <w:tcPr>
            <w:tcW w:w="996" w:type="pct"/>
          </w:tcPr>
          <w:p w14:paraId="22ED568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FFS</w:t>
            </w:r>
          </w:p>
        </w:tc>
      </w:tr>
    </w:tbl>
    <w:p w14:paraId="089B6E6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RAN2 agreed that NW can optionally configure thresholds for both MR and LR measurements. In this case, </w:t>
      </w:r>
      <w:r>
        <w:rPr>
          <w:rFonts w:hint="eastAsia" w:ascii="Times New Roman" w:hAnsi="Times New Roman" w:eastAsia="宋体" w:cs="Times New Roman"/>
          <w:b w:val="0"/>
          <w:bCs/>
          <w:kern w:val="0"/>
          <w:sz w:val="21"/>
          <w:szCs w:val="21"/>
          <w:lang w:val="en-GB" w:eastAsia="zh-CN"/>
        </w:rPr>
        <w:t>the entry condition is met when all the measured results are above the configured threshold(s).</w:t>
      </w:r>
      <w:r>
        <w:rPr>
          <w:rFonts w:hint="eastAsia" w:ascii="Times New Roman" w:hAnsi="Times New Roman" w:eastAsia="宋体" w:cs="Times New Roman"/>
          <w:b w:val="0"/>
          <w:bCs/>
          <w:kern w:val="0"/>
          <w:sz w:val="21"/>
          <w:szCs w:val="21"/>
          <w:lang w:val="en-US" w:eastAsia="zh-CN"/>
        </w:rPr>
        <w:t xml:space="preserve"> We understand the LP-WUR status should be ON as UE need to obtain LR measurement results to evaluate the entry condition. However, considering the UE implementation issue, we agree with the recommendation in WF that </w:t>
      </w:r>
      <w:r>
        <w:rPr>
          <w:rFonts w:hint="default" w:ascii="Times New Roman" w:hAnsi="Times New Roman" w:eastAsia="宋体" w:cs="Times New Roman"/>
          <w:b w:val="0"/>
          <w:bCs/>
          <w:kern w:val="0"/>
          <w:sz w:val="21"/>
          <w:szCs w:val="21"/>
          <w:lang w:val="en-US" w:eastAsia="zh-CN"/>
        </w:rPr>
        <w:t>“LP-WUR status is ON for serving cell measurement, but when, how to turn on LR and the duration of “ON” for serving cell measurement is up to UE implementation, and no LP-WUR requirement will be applied”</w:t>
      </w:r>
      <w:r>
        <w:rPr>
          <w:rFonts w:hint="eastAsia" w:ascii="Times New Roman" w:hAnsi="Times New Roman" w:eastAsia="宋体" w:cs="Times New Roman"/>
          <w:b w:val="0"/>
          <w:bCs/>
          <w:kern w:val="0"/>
          <w:sz w:val="21"/>
          <w:szCs w:val="21"/>
          <w:lang w:val="en-US" w:eastAsia="zh-CN"/>
        </w:rPr>
        <w:t>.</w:t>
      </w:r>
    </w:p>
    <w:p w14:paraId="396611F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5</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t>
      </w:r>
      <w:r>
        <w:rPr>
          <w:rFonts w:hint="default" w:ascii="Times New Roman" w:hAnsi="Times New Roman" w:eastAsia="宋体" w:cs="Times New Roman"/>
          <w:b/>
          <w:bCs/>
          <w:kern w:val="0"/>
          <w:sz w:val="21"/>
          <w:szCs w:val="21"/>
          <w:lang w:val="en-US" w:eastAsia="zh-CN"/>
        </w:rPr>
        <w:t>LP-WUR</w:t>
      </w:r>
      <w:r>
        <w:rPr>
          <w:rFonts w:hint="eastAsia" w:ascii="Times New Roman" w:hAnsi="Times New Roman" w:eastAsia="宋体" w:cs="Times New Roman"/>
          <w:b/>
          <w:bCs/>
          <w:kern w:val="0"/>
          <w:sz w:val="21"/>
          <w:szCs w:val="21"/>
          <w:lang w:val="en-US" w:eastAsia="zh-CN"/>
        </w:rPr>
        <w:t xml:space="preserve"> status</w:t>
      </w:r>
      <w:r>
        <w:rPr>
          <w:rFonts w:hint="default" w:ascii="Times New Roman" w:hAnsi="Times New Roman" w:eastAsia="宋体" w:cs="Times New Roman"/>
          <w:b/>
          <w:bCs/>
          <w:kern w:val="0"/>
          <w:sz w:val="21"/>
          <w:szCs w:val="21"/>
          <w:lang w:val="en-US" w:eastAsia="zh-CN"/>
        </w:rPr>
        <w:t xml:space="preserve"> is ON for serving cell measurement, but when</w:t>
      </w:r>
      <w:r>
        <w:rPr>
          <w:rFonts w:hint="eastAsia" w:ascii="Times New Roman" w:hAnsi="Times New Roman" w:eastAsia="宋体" w:cs="Times New Roman"/>
          <w:b/>
          <w:bCs/>
          <w:kern w:val="0"/>
          <w:sz w:val="21"/>
          <w:szCs w:val="21"/>
          <w:lang w:val="en-US" w:eastAsia="zh-CN"/>
        </w:rPr>
        <w:t xml:space="preserve"> and</w:t>
      </w:r>
      <w:r>
        <w:rPr>
          <w:rFonts w:hint="default" w:ascii="Times New Roman" w:hAnsi="Times New Roman" w:eastAsia="宋体" w:cs="Times New Roman"/>
          <w:b/>
          <w:bCs/>
          <w:kern w:val="0"/>
          <w:sz w:val="21"/>
          <w:szCs w:val="21"/>
          <w:lang w:val="en-US" w:eastAsia="zh-CN"/>
        </w:rPr>
        <w:t xml:space="preserve"> how to turn on LR and the duration of “ON” for serving cell measurement is up to UE implementation, and no LP-WUR requirement will be applied.</w:t>
      </w:r>
    </w:p>
    <w:p w14:paraId="6D23E447">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w:t>
      </w:r>
      <w:r>
        <w:rPr>
          <w:rFonts w:hint="eastAsia" w:ascii="Times New Roman" w:hAnsi="Times New Roman" w:eastAsia="宋体" w:cs="Times New Roman"/>
          <w:b/>
          <w:color w:val="000000"/>
          <w:kern w:val="0"/>
          <w:sz w:val="21"/>
          <w:szCs w:val="21"/>
          <w:u w:val="single"/>
          <w:lang w:val="en-GB"/>
        </w:rPr>
        <w:t>1</w:t>
      </w:r>
      <w:r>
        <w:rPr>
          <w:rFonts w:ascii="Times New Roman" w:hAnsi="Times New Roman" w:eastAsia="宋体" w:cs="Times New Roman"/>
          <w:b/>
          <w:color w:val="000000"/>
          <w:kern w:val="0"/>
          <w:sz w:val="21"/>
          <w:szCs w:val="21"/>
          <w:u w:val="single"/>
          <w:lang w:val="en-GB"/>
        </w:rPr>
        <w:t>1</w:t>
      </w:r>
      <w:r>
        <w:rPr>
          <w:rFonts w:ascii="Times New Roman" w:hAnsi="Times New Roman" w:eastAsia="宋体" w:cs="Times New Roman"/>
          <w:b/>
          <w:color w:val="000000"/>
          <w:kern w:val="0"/>
          <w:sz w:val="21"/>
          <w:szCs w:val="21"/>
          <w:u w:val="single"/>
          <w:lang w:val="en-GB" w:eastAsia="ko-KR"/>
        </w:rPr>
        <w:t xml:space="preserve">: </w:t>
      </w:r>
      <w:r>
        <w:rPr>
          <w:rFonts w:hint="eastAsia" w:ascii="Times New Roman" w:hAnsi="Times New Roman" w:eastAsia="宋体" w:cs="Times New Roman"/>
          <w:b/>
          <w:color w:val="000000"/>
          <w:kern w:val="0"/>
          <w:sz w:val="21"/>
          <w:szCs w:val="21"/>
          <w:u w:val="single"/>
          <w:lang w:val="en-GB"/>
        </w:rPr>
        <w:t>Considerations on higher priority frequency layer</w:t>
      </w:r>
      <w:r>
        <w:rPr>
          <w:rFonts w:ascii="Times New Roman" w:hAnsi="Times New Roman" w:eastAsia="宋体" w:cs="Times New Roman"/>
          <w:b/>
          <w:color w:val="000000"/>
          <w:kern w:val="0"/>
          <w:sz w:val="21"/>
          <w:szCs w:val="21"/>
          <w:u w:val="single"/>
          <w:lang w:val="en-GB" w:eastAsia="ko-KR"/>
        </w:rPr>
        <w:t xml:space="preserve"> </w:t>
      </w:r>
    </w:p>
    <w:p w14:paraId="40786EC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bookmarkStart w:id="7" w:name="OLE_LINK7"/>
      <w:r>
        <w:rPr>
          <w:rFonts w:hint="eastAsia" w:ascii="Times New Roman" w:hAnsi="Times New Roman" w:eastAsia="宋体" w:cs="Times New Roman"/>
          <w:b w:val="0"/>
          <w:bCs w:val="0"/>
          <w:kern w:val="0"/>
          <w:sz w:val="21"/>
          <w:szCs w:val="21"/>
          <w:lang w:val="en-US" w:eastAsia="zh-CN"/>
        </w:rPr>
        <w:t>In accordance with the legacy measurement procedure for MR only UE, measurements for neighbor cell could be divided into two parts.</w:t>
      </w:r>
      <w:bookmarkEnd w:id="7"/>
      <w:r>
        <w:rPr>
          <w:rFonts w:hint="eastAsia" w:ascii="Times New Roman" w:hAnsi="Times New Roman" w:eastAsia="宋体" w:cs="Times New Roman"/>
          <w:b w:val="0"/>
          <w:bCs w:val="0"/>
          <w:kern w:val="0"/>
          <w:sz w:val="21"/>
          <w:szCs w:val="21"/>
          <w:lang w:val="en-US" w:eastAsia="zh-CN"/>
        </w:rPr>
        <w:t xml:space="preserve"> One is </w:t>
      </w:r>
      <w:bookmarkStart w:id="8" w:name="OLE_LINK4"/>
      <w:r>
        <w:rPr>
          <w:rFonts w:hint="eastAsia" w:ascii="Times New Roman" w:hAnsi="Times New Roman" w:eastAsia="宋体" w:cs="Times New Roman"/>
          <w:b w:val="0"/>
          <w:bCs w:val="0"/>
          <w:kern w:val="0"/>
          <w:sz w:val="21"/>
          <w:szCs w:val="21"/>
          <w:lang w:val="en-US" w:eastAsia="zh-CN"/>
        </w:rPr>
        <w:t xml:space="preserve">for intra-frequency measurements and </w:t>
      </w:r>
      <w:bookmarkStart w:id="9" w:name="OLE_LINK2"/>
      <w:r>
        <w:rPr>
          <w:rFonts w:hint="eastAsia" w:ascii="Times New Roman" w:hAnsi="Times New Roman" w:eastAsia="宋体" w:cs="Times New Roman"/>
          <w:b w:val="0"/>
          <w:bCs w:val="0"/>
          <w:kern w:val="0"/>
          <w:sz w:val="21"/>
          <w:szCs w:val="21"/>
          <w:lang w:val="en-US" w:eastAsia="zh-CN"/>
        </w:rPr>
        <w:t>NR inter-frequency or inter-RAT frequencies</w:t>
      </w:r>
      <w:bookmarkEnd w:id="9"/>
      <w:r>
        <w:rPr>
          <w:rFonts w:hint="eastAsia" w:ascii="Times New Roman" w:hAnsi="Times New Roman" w:eastAsia="宋体" w:cs="Times New Roman"/>
          <w:b w:val="0"/>
          <w:bCs w:val="0"/>
          <w:kern w:val="0"/>
          <w:sz w:val="21"/>
          <w:szCs w:val="21"/>
          <w:lang w:val="en-US" w:eastAsia="zh-CN"/>
        </w:rPr>
        <w:t xml:space="preserve"> measurements with equal or lower priority</w:t>
      </w:r>
      <w:bookmarkEnd w:id="8"/>
      <w:r>
        <w:rPr>
          <w:rFonts w:hint="eastAsia" w:ascii="Times New Roman" w:hAnsi="Times New Roman" w:eastAsia="宋体" w:cs="Times New Roman"/>
          <w:b w:val="0"/>
          <w:bCs w:val="0"/>
          <w:kern w:val="0"/>
          <w:sz w:val="21"/>
          <w:szCs w:val="21"/>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10" w:name="OLE_LINK9"/>
      <w:r>
        <w:rPr>
          <w:rFonts w:hint="eastAsia" w:ascii="Times New Roman" w:hAnsi="Times New Roman" w:eastAsia="宋体" w:cs="Times New Roman"/>
          <w:b w:val="0"/>
          <w:bCs w:val="0"/>
          <w:kern w:val="0"/>
          <w:sz w:val="21"/>
          <w:szCs w:val="21"/>
          <w:lang w:val="en-US" w:eastAsia="zh-CN"/>
        </w:rPr>
        <w:t>NR inter-frequency or inter-RAT frequencies with higher priority</w:t>
      </w:r>
      <w:bookmarkEnd w:id="10"/>
      <w:r>
        <w:rPr>
          <w:rFonts w:hint="eastAsia" w:ascii="Times New Roman" w:hAnsi="Times New Roman" w:eastAsia="宋体" w:cs="Times New Roman"/>
          <w:b w:val="0"/>
          <w:bCs w:val="0"/>
          <w:kern w:val="0"/>
          <w:sz w:val="21"/>
          <w:szCs w:val="21"/>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t>
      </w:r>
    </w:p>
    <w:p w14:paraId="357272C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Observation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Observation \* MERGEFORMAT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t>
      </w:r>
      <w:bookmarkStart w:id="11" w:name="OLE_LINK1"/>
      <w:r>
        <w:rPr>
          <w:rFonts w:hint="eastAsia" w:ascii="Times New Roman" w:hAnsi="Times New Roman" w:eastAsia="宋体" w:cs="Times New Roman"/>
          <w:b/>
          <w:bCs/>
          <w:kern w:val="0"/>
          <w:sz w:val="21"/>
          <w:szCs w:val="21"/>
          <w:lang w:val="en-US" w:eastAsia="zh-CN"/>
        </w:rPr>
        <w:t>According to existing cell selection/re-selection procedure:</w:t>
      </w:r>
    </w:p>
    <w:p w14:paraId="76C9E4FF">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initiation of intra-frequency measurements, as well as NR inter-frequency or inter-RAT frequency measurements with equal or lower priority, depends on the serving cell measurement results from the MR</w:t>
      </w:r>
      <w:bookmarkEnd w:id="11"/>
      <w:r>
        <w:rPr>
          <w:rFonts w:hint="eastAsia" w:ascii="Times New Roman" w:hAnsi="Times New Roman" w:eastAsia="宋体" w:cs="Times New Roman"/>
          <w:b/>
          <w:bCs/>
          <w:kern w:val="0"/>
          <w:sz w:val="21"/>
          <w:szCs w:val="21"/>
          <w:lang w:val="en-US" w:eastAsia="zh-CN"/>
        </w:rPr>
        <w:t>;</w:t>
      </w:r>
    </w:p>
    <w:p w14:paraId="10145E53">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GB" w:eastAsia="zh-CN"/>
        </w:rPr>
      </w:pPr>
      <w:r>
        <w:rPr>
          <w:rFonts w:hint="eastAsia" w:ascii="Times New Roman" w:hAnsi="Times New Roman" w:eastAsia="宋体" w:cs="Times New Roman"/>
          <w:b/>
          <w:bCs/>
          <w:kern w:val="0"/>
          <w:sz w:val="21"/>
          <w:szCs w:val="21"/>
          <w:lang w:val="en-US" w:eastAsia="zh-CN"/>
        </w:rPr>
        <w:t>The initiation of NR inter-frequency or inter-RAT frequencies measurements with higher priority depends on NW configuration.</w:t>
      </w:r>
    </w:p>
    <w:p w14:paraId="051A03E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We think </w:t>
      </w:r>
      <w:bookmarkStart w:id="12" w:name="OLE_LINK8"/>
      <w:r>
        <w:rPr>
          <w:rFonts w:hint="eastAsia" w:ascii="Times New Roman" w:hAnsi="Times New Roman" w:eastAsia="宋体" w:cs="Times New Roman"/>
          <w:b w:val="0"/>
          <w:bCs w:val="0"/>
          <w:kern w:val="0"/>
          <w:sz w:val="21"/>
          <w:szCs w:val="21"/>
          <w:lang w:val="en-US" w:eastAsia="zh-CN"/>
        </w:rPr>
        <w:t>the handling on</w:t>
      </w:r>
      <w:bookmarkEnd w:id="12"/>
      <w:r>
        <w:rPr>
          <w:rFonts w:hint="eastAsia" w:ascii="Times New Roman" w:hAnsi="Times New Roman" w:eastAsia="宋体" w:cs="Times New Roman"/>
          <w:b w:val="0"/>
          <w:bCs w:val="0"/>
          <w:kern w:val="0"/>
          <w:sz w:val="21"/>
          <w:szCs w:val="21"/>
          <w:lang w:val="en-US" w:eastAsia="zh-CN"/>
        </w:rPr>
        <w:t xml:space="preserve"> NR inter-frequency or inter-RAT frequencies measurements with higher priority should also follow the legacy.</w:t>
      </w:r>
    </w:p>
    <w:p w14:paraId="7B022E6B">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6</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When NR inter-frequency or inter-RAT frequencies measurements with higher priority are configured by NW, MR perform relaxed </w:t>
      </w:r>
      <w:bookmarkStart w:id="13" w:name="OLE_LINK6"/>
      <w:r>
        <w:rPr>
          <w:rFonts w:hint="eastAsia" w:ascii="Times New Roman" w:hAnsi="Times New Roman" w:eastAsia="宋体" w:cs="Times New Roman"/>
          <w:b/>
          <w:bCs/>
          <w:kern w:val="0"/>
          <w:sz w:val="21"/>
          <w:szCs w:val="21"/>
          <w:lang w:val="en-US" w:eastAsia="zh-CN"/>
        </w:rPr>
        <w:t>higher priority frequency layer</w:t>
      </w:r>
      <w:bookmarkEnd w:id="13"/>
      <w:r>
        <w:rPr>
          <w:rFonts w:hint="eastAsia" w:ascii="Times New Roman" w:hAnsi="Times New Roman" w:eastAsia="宋体" w:cs="Times New Roman"/>
          <w:b/>
          <w:bCs/>
          <w:kern w:val="0"/>
          <w:sz w:val="21"/>
          <w:szCs w:val="21"/>
          <w:lang w:val="en-US" w:eastAsia="zh-CN"/>
        </w:rPr>
        <w:t xml:space="preserve"> search in RRM relaxation case 1 and case 3.</w:t>
      </w:r>
    </w:p>
    <w:p w14:paraId="14E1CA8D">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0"/>
          <w:szCs w:val="20"/>
          <w:u w:val="single"/>
          <w:lang w:val="en-GB"/>
        </w:rPr>
      </w:pPr>
      <w:r>
        <w:rPr>
          <w:rFonts w:hint="default" w:ascii="Times New Roman" w:hAnsi="Times New Roman" w:cs="Times New Roman"/>
          <w:b/>
          <w:bCs/>
          <w:sz w:val="21"/>
          <w:szCs w:val="21"/>
          <w:u w:val="single"/>
          <w:lang w:val="en-GB"/>
        </w:rPr>
        <w:t>Detail</w:t>
      </w:r>
      <w:r>
        <w:rPr>
          <w:rFonts w:hint="eastAsia" w:ascii="Times New Roman" w:hAnsi="Times New Roman" w:cs="Times New Roman"/>
          <w:b/>
          <w:bCs/>
          <w:sz w:val="21"/>
          <w:szCs w:val="21"/>
          <w:u w:val="single"/>
          <w:lang w:val="en-US" w:eastAsia="zh-CN"/>
        </w:rPr>
        <w:t>ed</w:t>
      </w:r>
      <w:r>
        <w:rPr>
          <w:rFonts w:hint="default" w:ascii="Times New Roman" w:hAnsi="Times New Roman" w:cs="Times New Roman"/>
          <w:b/>
          <w:bCs/>
          <w:sz w:val="21"/>
          <w:szCs w:val="21"/>
          <w:u w:val="single"/>
          <w:lang w:val="en-GB"/>
        </w:rPr>
        <w:t xml:space="preserve"> LP-WUR requirements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714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9" w:hRule="atLeast"/>
        </w:trPr>
        <w:tc>
          <w:tcPr>
            <w:tcW w:w="0" w:type="auto"/>
          </w:tcPr>
          <w:p w14:paraId="1D656E6A">
            <w:pPr>
              <w:widowControl/>
              <w:snapToGrid w:val="0"/>
              <w:spacing w:after="120"/>
              <w:jc w:val="left"/>
              <w:rPr>
                <w:rFonts w:ascii="Times New Roman" w:hAnsi="Times New Roman" w:eastAsia="宋体" w:cs="Times New Roman"/>
                <w:b/>
                <w:bCs/>
                <w:kern w:val="0"/>
                <w:sz w:val="21"/>
                <w:szCs w:val="21"/>
                <w:u w:val="single"/>
                <w:lang w:val="en-GB" w:eastAsia="zh-CN"/>
              </w:rPr>
            </w:pPr>
            <w:r>
              <w:rPr>
                <w:rFonts w:ascii="Times New Roman" w:hAnsi="Times New Roman" w:eastAsia="宋体" w:cs="Times New Roman"/>
                <w:b/>
                <w:bCs/>
                <w:color w:val="000000"/>
                <w:kern w:val="0"/>
                <w:sz w:val="21"/>
                <w:szCs w:val="21"/>
                <w:u w:val="single"/>
                <w:lang w:val="en-GB" w:eastAsia="ko-KR"/>
              </w:rPr>
              <w:t xml:space="preserve">Issue 1-2-2: </w:t>
            </w:r>
            <w:r>
              <w:rPr>
                <w:rFonts w:ascii="Times New Roman" w:hAnsi="Times New Roman" w:eastAsia="宋体" w:cs="Times New Roman"/>
                <w:b/>
                <w:bCs/>
                <w:kern w:val="0"/>
                <w:sz w:val="21"/>
                <w:szCs w:val="21"/>
                <w:u w:val="single"/>
                <w:lang w:val="en-GB" w:eastAsia="en-US"/>
              </w:rPr>
              <w:t>Periodicity for SSB based LP-WUR measurement delay requirements</w:t>
            </w:r>
          </w:p>
          <w:p w14:paraId="6D878091">
            <w:pPr>
              <w:widowControl/>
              <w:snapToGrid w:val="0"/>
              <w:spacing w:after="120"/>
              <w:jc w:val="left"/>
              <w:rPr>
                <w:rFonts w:ascii="Times New Roman" w:hAnsi="Times New Roman" w:eastAsia="宋体" w:cs="Times New Roman"/>
                <w:kern w:val="0"/>
                <w:sz w:val="21"/>
                <w:szCs w:val="21"/>
                <w:lang w:val="en-GB" w:eastAsia="zh-CN"/>
              </w:rPr>
            </w:pPr>
            <w:r>
              <w:rPr>
                <w:rFonts w:hint="eastAsia" w:ascii="Times New Roman" w:hAnsi="Times New Roman" w:eastAsia="宋体" w:cs="Times New Roman"/>
                <w:kern w:val="0"/>
                <w:sz w:val="21"/>
                <w:szCs w:val="21"/>
                <w:lang w:val="en-GB" w:eastAsia="zh-CN"/>
              </w:rPr>
              <w:t>A</w:t>
            </w:r>
            <w:r>
              <w:rPr>
                <w:rFonts w:ascii="Times New Roman" w:hAnsi="Times New Roman" w:eastAsia="宋体" w:cs="Times New Roman"/>
                <w:kern w:val="0"/>
                <w:sz w:val="21"/>
                <w:szCs w:val="21"/>
                <w:lang w:val="en-GB" w:eastAsia="zh-CN"/>
              </w:rPr>
              <w:t xml:space="preserve">greement: </w:t>
            </w:r>
          </w:p>
          <w:p w14:paraId="7AA9D4C1">
            <w:pPr>
              <w:widowControl/>
              <w:snapToGrid w:val="0"/>
              <w:spacing w:after="120"/>
              <w:jc w:val="left"/>
              <w:rPr>
                <w:rFonts w:ascii="Times New Roman" w:hAnsi="Times New Roman" w:eastAsia="宋体" w:cs="Times New Roman"/>
                <w:iCs/>
                <w:color w:val="000000"/>
                <w:kern w:val="0"/>
                <w:sz w:val="21"/>
                <w:szCs w:val="21"/>
                <w:lang w:val="en-GB" w:eastAsia="en-US"/>
              </w:rPr>
            </w:pPr>
            <w:r>
              <w:rPr>
                <w:rFonts w:ascii="Times New Roman" w:hAnsi="Times New Roman" w:eastAsia="宋体" w:cs="Times New Roman"/>
                <w:iCs/>
                <w:color w:val="000000"/>
                <w:kern w:val="0"/>
                <w:sz w:val="21"/>
                <w:szCs w:val="21"/>
                <w:lang w:val="en-GB" w:eastAsia="en-US"/>
              </w:rPr>
              <w:t>If LP-SS is not configured, periodicity for SSB based LP-WUR measurement delay requirements</w:t>
            </w:r>
          </w:p>
          <w:p w14:paraId="0BF05CF9">
            <w:pPr>
              <w:numPr>
                <w:ilvl w:val="0"/>
                <w:numId w:val="5"/>
              </w:numPr>
              <w:overflowPunct/>
              <w:autoSpaceDE/>
              <w:autoSpaceDN/>
              <w:adjustRightInd/>
              <w:snapToGrid w:val="0"/>
              <w:spacing w:after="120"/>
              <w:ind w:left="420" w:hanging="420" w:firstLineChars="0"/>
              <w:textAlignment w:val="auto"/>
              <w:rPr>
                <w:rFonts w:ascii="Times New Roman" w:hAnsi="Times New Roman" w:eastAsia="MS Mincho" w:cs="Times New Roman"/>
                <w:iCs/>
                <w:color w:val="000000"/>
                <w:szCs w:val="21"/>
                <w:lang w:val="en-GB" w:eastAsia="en-US" w:bidi="ar-SA"/>
              </w:rPr>
            </w:pPr>
            <w:r>
              <w:rPr>
                <w:rFonts w:ascii="Times New Roman" w:hAnsi="Times New Roman" w:eastAsia="MS Mincho" w:cs="Times New Roman"/>
                <w:iCs/>
                <w:color w:val="000000"/>
                <w:szCs w:val="21"/>
                <w:lang w:val="en-GB" w:eastAsia="en-US" w:bidi="ar-SA"/>
              </w:rPr>
              <w:t>based on LO periodicity</w:t>
            </w:r>
          </w:p>
          <w:p w14:paraId="67A138D8">
            <w:pPr>
              <w:numPr>
                <w:ilvl w:val="1"/>
                <w:numId w:val="5"/>
              </w:numPr>
              <w:overflowPunct/>
              <w:autoSpaceDE/>
              <w:autoSpaceDN/>
              <w:adjustRightInd/>
              <w:snapToGrid w:val="0"/>
              <w:spacing w:after="120"/>
              <w:ind w:left="840" w:hanging="420" w:firstLineChars="0"/>
              <w:textAlignment w:val="auto"/>
              <w:rPr>
                <w:rFonts w:ascii="Times New Roman" w:hAnsi="Times New Roman" w:eastAsia="MS Mincho" w:cs="Times New Roman"/>
                <w:iCs/>
                <w:color w:val="000000"/>
                <w:szCs w:val="21"/>
                <w:lang w:val="en-GB" w:eastAsia="en-US" w:bidi="ar-SA"/>
              </w:rPr>
            </w:pPr>
            <w:r>
              <w:rPr>
                <w:rFonts w:hint="eastAsia" w:ascii="Times New Roman" w:hAnsi="Times New Roman" w:eastAsia="MS Mincho" w:cs="Times New Roman"/>
                <w:iCs/>
                <w:color w:val="000000"/>
                <w:szCs w:val="21"/>
                <w:lang w:val="en-GB" w:eastAsia="en-US" w:bidi="ar-SA"/>
              </w:rPr>
              <w:t>F</w:t>
            </w:r>
            <w:r>
              <w:rPr>
                <w:rFonts w:ascii="Times New Roman" w:hAnsi="Times New Roman" w:eastAsia="MS Mincho" w:cs="Times New Roman"/>
                <w:iCs/>
                <w:color w:val="000000"/>
                <w:szCs w:val="21"/>
                <w:lang w:val="en-GB" w:eastAsia="en-US" w:bidi="ar-SA"/>
              </w:rPr>
              <w:t>FS whether to define an upper bound</w:t>
            </w:r>
          </w:p>
          <w:p w14:paraId="2F752543">
            <w:pPr>
              <w:numPr>
                <w:ilvl w:val="1"/>
                <w:numId w:val="5"/>
              </w:numPr>
              <w:overflowPunct/>
              <w:autoSpaceDE/>
              <w:autoSpaceDN/>
              <w:adjustRightInd/>
              <w:snapToGrid w:val="0"/>
              <w:spacing w:after="120"/>
              <w:ind w:left="840" w:hanging="420" w:firstLineChars="0"/>
              <w:textAlignment w:val="auto"/>
              <w:rPr>
                <w:rFonts w:ascii="Times New Roman" w:hAnsi="Times New Roman" w:eastAsia="MS Mincho" w:cs="Times New Roman"/>
                <w:iCs/>
                <w:color w:val="000000"/>
                <w:szCs w:val="21"/>
                <w:lang w:val="en-GB" w:eastAsia="en-US" w:bidi="ar-SA"/>
              </w:rPr>
            </w:pPr>
            <w:r>
              <w:rPr>
                <w:rFonts w:ascii="Times New Roman" w:hAnsi="Times New Roman" w:eastAsia="MS Mincho" w:cs="Times New Roman"/>
                <w:iCs/>
                <w:color w:val="000000"/>
                <w:szCs w:val="21"/>
                <w:lang w:val="en-GB" w:eastAsia="en-US" w:bidi="ar-SA"/>
              </w:rPr>
              <w:t>Note: DRX cycle and LO periodicity are the same based on RAN1 agreement.</w:t>
            </w:r>
          </w:p>
          <w:p w14:paraId="68EC2FDD">
            <w:pPr>
              <w:widowControl/>
              <w:snapToGrid w:val="0"/>
              <w:spacing w:after="120"/>
              <w:jc w:val="left"/>
              <w:rPr>
                <w:rFonts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A</w:t>
            </w:r>
            <w:r>
              <w:rPr>
                <w:rFonts w:ascii="Times New Roman" w:hAnsi="Times New Roman" w:eastAsia="宋体" w:cs="Times New Roman"/>
                <w:kern w:val="0"/>
                <w:sz w:val="21"/>
                <w:szCs w:val="21"/>
                <w:lang w:val="en-US" w:eastAsia="zh-CN"/>
              </w:rPr>
              <w:t>greement:</w:t>
            </w:r>
          </w:p>
          <w:p w14:paraId="2B7FCE68">
            <w:pPr>
              <w:widowControl/>
              <w:snapToGrid w:val="0"/>
              <w:spacing w:after="120"/>
              <w:jc w:val="left"/>
              <w:rPr>
                <w:rFonts w:ascii="Times New Roman" w:hAnsi="Times New Roman" w:eastAsia="宋体" w:cs="Times New Roman"/>
                <w:iCs/>
                <w:color w:val="000000"/>
                <w:kern w:val="0"/>
                <w:sz w:val="21"/>
                <w:szCs w:val="21"/>
                <w:lang w:val="en-GB" w:eastAsia="en-US"/>
              </w:rPr>
            </w:pPr>
            <w:r>
              <w:rPr>
                <w:rFonts w:ascii="Times New Roman" w:hAnsi="Times New Roman" w:eastAsia="宋体" w:cs="Times New Roman"/>
                <w:iCs/>
                <w:color w:val="000000"/>
                <w:kern w:val="0"/>
                <w:sz w:val="21"/>
                <w:szCs w:val="21"/>
                <w:lang w:val="en-GB" w:eastAsia="en-US"/>
              </w:rPr>
              <w:t>When LP-SS is configured, apply the same agreement as for when LP-SS is not configured</w:t>
            </w:r>
          </w:p>
          <w:p w14:paraId="48690781">
            <w:pPr>
              <w:numPr>
                <w:ilvl w:val="0"/>
                <w:numId w:val="6"/>
              </w:numPr>
              <w:overflowPunct/>
              <w:autoSpaceDE/>
              <w:autoSpaceDN/>
              <w:adjustRightInd/>
              <w:snapToGrid w:val="0"/>
              <w:spacing w:after="120"/>
              <w:ind w:left="420" w:hanging="420" w:firstLineChars="0"/>
              <w:textAlignment w:val="auto"/>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The above agreement applies if LO periodicity is equal to or larger than LP-SS periodicity, FFS if LO periodicity is smaller than LP-SS periodicity.</w:t>
            </w:r>
          </w:p>
          <w:p w14:paraId="4C30BF68">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 xml:space="preserve">Issue 1-2-2-1: </w:t>
            </w:r>
            <w:r>
              <w:rPr>
                <w:rFonts w:hint="eastAsia" w:ascii="Times New Roman" w:hAnsi="Times New Roman" w:eastAsia="宋体" w:cs="Times New Roman"/>
                <w:b/>
                <w:color w:val="000000"/>
                <w:kern w:val="0"/>
                <w:sz w:val="20"/>
                <w:szCs w:val="20"/>
                <w:u w:val="single"/>
                <w:lang w:val="en-GB" w:eastAsia="zh-CN"/>
              </w:rPr>
              <w:t>Lower</w:t>
            </w:r>
            <w:r>
              <w:rPr>
                <w:rFonts w:ascii="Times New Roman" w:hAnsi="Times New Roman" w:eastAsia="宋体" w:cs="Times New Roman"/>
                <w:b/>
                <w:color w:val="000000"/>
                <w:kern w:val="0"/>
                <w:sz w:val="20"/>
                <w:szCs w:val="20"/>
                <w:u w:val="single"/>
                <w:lang w:val="en-GB" w:eastAsia="ko-KR"/>
              </w:rPr>
              <w:t xml:space="preserve"> bound on LP-SS measurement periodicity</w:t>
            </w:r>
          </w:p>
          <w:p w14:paraId="2AD7CB67">
            <w:pPr>
              <w:widowControl w:val="0"/>
              <w:numPr>
                <w:ilvl w:val="0"/>
                <w:numId w:val="7"/>
              </w:numPr>
              <w:overflowPunct/>
              <w:autoSpaceDE/>
              <w:autoSpaceDN/>
              <w:adjustRightInd/>
              <w:spacing w:after="120"/>
              <w:ind w:left="720" w:firstLine="420" w:firstLineChars="0"/>
              <w:jc w:val="both"/>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Proposals </w:t>
            </w:r>
          </w:p>
          <w:p w14:paraId="5E6E3F33">
            <w:pPr>
              <w:widowControl w:val="0"/>
              <w:numPr>
                <w:ilvl w:val="1"/>
                <w:numId w:val="7"/>
              </w:numPr>
              <w:overflowPunct/>
              <w:autoSpaceDE/>
              <w:autoSpaceDN/>
              <w:adjustRightInd/>
              <w:spacing w:after="120"/>
              <w:ind w:left="1656" w:hanging="360" w:firstLineChars="0"/>
              <w:jc w:val="both"/>
              <w:textAlignment w:val="auto"/>
              <w:rPr>
                <w:rFonts w:ascii="Times New Roman" w:hAnsi="Times New Roman" w:eastAsia="宋体" w:cs="Times New Roman"/>
                <w:color w:val="000000"/>
                <w:szCs w:val="24"/>
                <w:lang w:val="en-GB" w:eastAsia="zh-CN" w:bidi="ar-SA"/>
              </w:rPr>
            </w:pPr>
            <w:r>
              <w:rPr>
                <w:rFonts w:ascii="Times New Roman" w:hAnsi="Times New Roman" w:eastAsia="宋体" w:cs="Times New Roman"/>
                <w:color w:val="000000"/>
                <w:szCs w:val="24"/>
                <w:lang w:val="en-GB" w:eastAsia="zh-CN" w:bidi="ar-SA"/>
              </w:rPr>
              <w:t xml:space="preserve">P1: </w:t>
            </w:r>
            <w:r>
              <w:rPr>
                <w:rFonts w:hint="eastAsia" w:ascii="Times New Roman" w:hAnsi="Times New Roman" w:eastAsia="宋体" w:cs="Times New Roman"/>
                <w:color w:val="000000"/>
                <w:szCs w:val="24"/>
                <w:lang w:val="en-GB" w:eastAsia="zh-CN" w:bidi="ar-SA"/>
              </w:rPr>
              <w:t xml:space="preserve">RAN4 to define the lower limit for measurement delay requirements in case the periodicity of LP-SS </w:t>
            </w:r>
            <w:r>
              <w:rPr>
                <w:rFonts w:ascii="Times New Roman" w:hAnsi="Times New Roman" w:eastAsia="宋体" w:cs="Times New Roman"/>
                <w:color w:val="000000"/>
                <w:szCs w:val="24"/>
                <w:lang w:val="en-GB" w:eastAsia="zh-CN" w:bidi="ar-SA"/>
              </w:rPr>
              <w:t>are</w:t>
            </w:r>
            <w:r>
              <w:rPr>
                <w:rFonts w:hint="eastAsia" w:ascii="Times New Roman" w:hAnsi="Times New Roman" w:eastAsia="宋体" w:cs="Times New Roman"/>
                <w:color w:val="000000"/>
                <w:szCs w:val="24"/>
                <w:lang w:val="en-GB" w:eastAsia="zh-CN" w:bidi="ar-SA"/>
              </w:rPr>
              <w:t xml:space="preserve"> 80ms or 160ms.</w:t>
            </w:r>
            <w:r>
              <w:rPr>
                <w:rFonts w:ascii="Times New Roman" w:hAnsi="Times New Roman" w:eastAsia="宋体" w:cs="Times New Roman"/>
                <w:color w:val="000000"/>
                <w:szCs w:val="24"/>
                <w:lang w:val="en-GB" w:eastAsia="zh-CN" w:bidi="ar-SA"/>
              </w:rPr>
              <w:t xml:space="preserve"> (xiaomi)</w:t>
            </w:r>
          </w:p>
          <w:p w14:paraId="4216D713">
            <w:pPr>
              <w:widowControl/>
              <w:spacing w:after="180"/>
              <w:jc w:val="left"/>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Recommendations:</w:t>
            </w:r>
          </w:p>
          <w:p w14:paraId="196E0F60">
            <w:pPr>
              <w:widowControl/>
              <w:spacing w:after="180"/>
              <w:jc w:val="left"/>
              <w:rPr>
                <w:rFonts w:ascii="Times New Roman" w:hAnsi="Times New Roman" w:eastAsia="宋体" w:cs="Times New Roman"/>
                <w:b/>
                <w:color w:val="000000"/>
                <w:kern w:val="0"/>
                <w:sz w:val="20"/>
                <w:szCs w:val="20"/>
                <w:u w:val="single"/>
                <w:lang w:val="en-US" w:eastAsia="ko-KR"/>
              </w:rPr>
            </w:pPr>
            <w:r>
              <w:rPr>
                <w:rFonts w:ascii="Times New Roman" w:hAnsi="Times New Roman" w:eastAsia="等线" w:cs="Times New Roman"/>
                <w:i/>
                <w:color w:val="000000"/>
                <w:kern w:val="0"/>
                <w:sz w:val="20"/>
                <w:szCs w:val="20"/>
                <w:lang w:val="en-US" w:eastAsia="zh-CN"/>
              </w:rPr>
              <w:t xml:space="preserve">Consider whether to define lower bound on periodicity for OOK based LP-WUR requirements when LP-SS periodicity is 80ms or 160ms. </w:t>
            </w:r>
          </w:p>
          <w:p w14:paraId="4D18F392">
            <w:pPr>
              <w:widowControl/>
              <w:snapToGrid w:val="0"/>
              <w:spacing w:after="120"/>
              <w:jc w:val="left"/>
              <w:rPr>
                <w:rFonts w:ascii="Times New Roman" w:hAnsi="Times New Roman" w:eastAsia="宋体" w:cs="Times New Roman"/>
                <w:b/>
                <w:bCs/>
                <w:color w:val="000000"/>
                <w:kern w:val="0"/>
                <w:sz w:val="21"/>
                <w:szCs w:val="21"/>
                <w:u w:val="single"/>
                <w:lang w:val="en-GB" w:eastAsia="en-US"/>
              </w:rPr>
            </w:pPr>
            <w:r>
              <w:rPr>
                <w:rFonts w:ascii="Times New Roman" w:hAnsi="Times New Roman" w:eastAsia="宋体" w:cs="Times New Roman"/>
                <w:b/>
                <w:bCs/>
                <w:color w:val="000000"/>
                <w:kern w:val="0"/>
                <w:sz w:val="21"/>
                <w:szCs w:val="21"/>
                <w:u w:val="single"/>
                <w:lang w:val="en-GB" w:eastAsia="ko-KR"/>
              </w:rPr>
              <w:t xml:space="preserve">Issue 1-2-3: On requirements for LP-WUR for entry/exit criteria(threshold) evaluation </w:t>
            </w:r>
          </w:p>
          <w:p w14:paraId="18D445AB">
            <w:pPr>
              <w:widowControl/>
              <w:snapToGrid w:val="0"/>
              <w:spacing w:after="120"/>
              <w:jc w:val="left"/>
              <w:rPr>
                <w:rFonts w:ascii="Times New Roman" w:hAnsi="Times New Roman" w:eastAsia="宋体" w:cs="Times New Roman"/>
                <w:b/>
                <w:iCs/>
                <w:color w:val="000000"/>
                <w:kern w:val="0"/>
                <w:sz w:val="21"/>
                <w:szCs w:val="21"/>
                <w:lang w:val="en-GB" w:eastAsia="en-US"/>
              </w:rPr>
            </w:pPr>
            <w:r>
              <w:rPr>
                <w:rFonts w:ascii="Times New Roman" w:hAnsi="Times New Roman" w:eastAsia="等线" w:cs="Times New Roman"/>
                <w:i/>
                <w:color w:val="000000"/>
                <w:kern w:val="0"/>
                <w:sz w:val="20"/>
                <w:szCs w:val="20"/>
                <w:lang w:val="en-US" w:eastAsia="zh-CN"/>
              </w:rPr>
              <w:t>Recommendations</w:t>
            </w:r>
            <w:r>
              <w:rPr>
                <w:rFonts w:ascii="Times New Roman" w:hAnsi="Times New Roman" w:eastAsia="宋体" w:cs="Times New Roman"/>
                <w:b/>
                <w:iCs/>
                <w:color w:val="000000"/>
                <w:kern w:val="0"/>
                <w:sz w:val="21"/>
                <w:szCs w:val="21"/>
                <w:lang w:val="en-GB" w:eastAsia="en-US"/>
              </w:rPr>
              <w:t>:</w:t>
            </w:r>
          </w:p>
          <w:p w14:paraId="7BDF9CB0">
            <w:pPr>
              <w:widowControl/>
              <w:snapToGrid w:val="0"/>
              <w:spacing w:after="120"/>
              <w:jc w:val="left"/>
              <w:rPr>
                <w:rFonts w:ascii="Times New Roman" w:hAnsi="Times New Roman" w:eastAsia="等线" w:cs="Times New Roman"/>
                <w:i/>
                <w:color w:val="000000"/>
                <w:kern w:val="0"/>
                <w:sz w:val="20"/>
                <w:szCs w:val="20"/>
                <w:u w:val="single"/>
                <w:lang w:val="en-US" w:eastAsia="zh-CN"/>
              </w:rPr>
            </w:pPr>
            <w:r>
              <w:rPr>
                <w:rFonts w:ascii="Times New Roman" w:hAnsi="Times New Roman" w:eastAsia="等线" w:cs="Times New Roman"/>
                <w:i/>
                <w:color w:val="000000"/>
                <w:kern w:val="0"/>
                <w:sz w:val="20"/>
                <w:szCs w:val="20"/>
                <w:u w:val="single"/>
                <w:lang w:val="en-US" w:eastAsia="zh-CN"/>
              </w:rPr>
              <w:t>Encourage companies firstly to consider whether to differentiate requirements based on cases</w:t>
            </w:r>
          </w:p>
          <w:p w14:paraId="6C96D8AF">
            <w:pPr>
              <w:widowControl/>
              <w:snapToGrid w:val="0"/>
              <w:spacing w:after="120"/>
              <w:jc w:val="left"/>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Note: For entry condition evaluation requirements,</w:t>
            </w:r>
            <w:r>
              <w:rPr>
                <w:rFonts w:hint="eastAsia" w:ascii="Times New Roman" w:hAnsi="Times New Roman" w:eastAsia="等线" w:cs="Times New Roman"/>
                <w:i/>
                <w:color w:val="000000"/>
                <w:kern w:val="0"/>
                <w:sz w:val="20"/>
                <w:szCs w:val="20"/>
                <w:lang w:val="en-US" w:eastAsia="zh-CN"/>
              </w:rPr>
              <w:t xml:space="preserve"> </w:t>
            </w:r>
            <w:r>
              <w:rPr>
                <w:rFonts w:ascii="Times New Roman" w:hAnsi="Times New Roman" w:eastAsia="等线" w:cs="Times New Roman"/>
                <w:i/>
                <w:color w:val="000000"/>
                <w:kern w:val="0"/>
                <w:sz w:val="20"/>
                <w:szCs w:val="20"/>
                <w:lang w:val="en-US" w:eastAsia="zh-CN"/>
              </w:rPr>
              <w:t xml:space="preserve">requirements from legacy state to case 1 or case 3 or LP-WUS monitoring will be discussed separately. </w:t>
            </w:r>
          </w:p>
          <w:p w14:paraId="74B99C9D">
            <w:pPr>
              <w:widowControl/>
              <w:snapToGrid w:val="0"/>
              <w:spacing w:after="120"/>
              <w:jc w:val="left"/>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If</w:t>
            </w:r>
            <w:r>
              <w:rPr>
                <w:rFonts w:hint="eastAsia" w:ascii="Times New Roman" w:hAnsi="Times New Roman" w:eastAsia="等线" w:cs="Times New Roman"/>
                <w:i/>
                <w:color w:val="000000"/>
                <w:kern w:val="0"/>
                <w:sz w:val="20"/>
                <w:szCs w:val="20"/>
                <w:lang w:val="en-US" w:eastAsia="zh-CN"/>
              </w:rPr>
              <w:t xml:space="preserve"> </w:t>
            </w:r>
            <w:r>
              <w:rPr>
                <w:rFonts w:ascii="Times New Roman" w:hAnsi="Times New Roman" w:eastAsia="等线" w:cs="Times New Roman"/>
                <w:i/>
                <w:color w:val="000000"/>
                <w:kern w:val="0"/>
                <w:sz w:val="20"/>
                <w:szCs w:val="20"/>
                <w:lang w:val="en-US" w:eastAsia="zh-CN"/>
              </w:rPr>
              <w:t xml:space="preserve">No </w:t>
            </w:r>
          </w:p>
          <w:p w14:paraId="2A2D9146">
            <w:pPr>
              <w:widowControl/>
              <w:snapToGrid w:val="0"/>
              <w:spacing w:after="120"/>
              <w:ind w:left="284"/>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 xml:space="preserve">Same requirements will be defined on entry criteria(threshold) evaluation from one case to the other case (excluding scenarios in the note). </w:t>
            </w:r>
          </w:p>
          <w:p w14:paraId="5813240E">
            <w:pPr>
              <w:widowControl/>
              <w:snapToGrid w:val="0"/>
              <w:spacing w:after="120"/>
              <w:ind w:left="284"/>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 xml:space="preserve">Same requirements will be defined on exit criteria(threshold) evaluation from one case to the other case. </w:t>
            </w:r>
          </w:p>
          <w:p w14:paraId="3B9BBC07">
            <w:pPr>
              <w:widowControl/>
              <w:snapToGrid w:val="0"/>
              <w:spacing w:after="120"/>
              <w:jc w:val="left"/>
              <w:rPr>
                <w:rFonts w:ascii="Times New Roman" w:hAnsi="Times New Roman" w:eastAsia="宋体" w:cs="Times New Roman"/>
                <w:kern w:val="0"/>
                <w:sz w:val="21"/>
                <w:szCs w:val="21"/>
                <w:lang w:val="en-GB" w:eastAsia="en-US"/>
              </w:rPr>
            </w:pPr>
            <w:r>
              <w:rPr>
                <w:rFonts w:ascii="Times New Roman" w:hAnsi="Times New Roman" w:eastAsia="等线" w:cs="Times New Roman"/>
                <w:i/>
                <w:color w:val="000000"/>
                <w:kern w:val="0"/>
                <w:sz w:val="20"/>
                <w:szCs w:val="20"/>
                <w:lang w:val="en-US" w:eastAsia="zh-CN"/>
              </w:rPr>
              <w:t>If Yes, consider the following cases one by one</w:t>
            </w:r>
          </w:p>
          <w:p w14:paraId="17B47AC9">
            <w:pPr>
              <w:widowControl/>
              <w:snapToGrid w:val="0"/>
              <w:spacing w:after="120"/>
              <w:ind w:left="284"/>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Issue 1-2-3a: On requirements for entry/exit criteria(threshold) evaluation for Case 1</w:t>
            </w:r>
          </w:p>
          <w:p w14:paraId="6034B23E">
            <w:pPr>
              <w:widowControl/>
              <w:snapToGrid w:val="0"/>
              <w:spacing w:after="120"/>
              <w:ind w:left="284"/>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Issue 1-2-3b: On requirements for entry/exit criteria(threshold) evaluation for Case 3</w:t>
            </w:r>
          </w:p>
          <w:p w14:paraId="78EA5C8F">
            <w:pPr>
              <w:widowControl/>
              <w:snapToGrid w:val="0"/>
              <w:spacing w:after="120"/>
              <w:ind w:left="284"/>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Issue 1-2-3c: On requirements for entry/exit criteria(threshold) evaluation for LP-WUS monitoring</w:t>
            </w:r>
          </w:p>
          <w:p w14:paraId="67865E01">
            <w:pPr>
              <w:widowControl/>
              <w:snapToGrid w:val="0"/>
              <w:spacing w:after="120"/>
              <w:ind w:left="284"/>
              <w:jc w:val="left"/>
              <w:rPr>
                <w:rFonts w:ascii="Times New Roman" w:hAnsi="Times New Roman" w:eastAsia="宋体" w:cs="Times New Roman"/>
                <w:bCs/>
                <w:color w:val="000000"/>
                <w:kern w:val="0"/>
                <w:sz w:val="20"/>
                <w:szCs w:val="21"/>
                <w:lang w:val="en-GB" w:eastAsia="ko-KR"/>
              </w:rPr>
            </w:pPr>
          </w:p>
          <w:p w14:paraId="1CD09F97">
            <w:pPr>
              <w:widowControl/>
              <w:snapToGrid w:val="0"/>
              <w:spacing w:after="120"/>
              <w:jc w:val="left"/>
              <w:rPr>
                <w:rFonts w:ascii="Times New Roman" w:hAnsi="Times New Roman" w:eastAsia="宋体" w:cs="Times New Roman"/>
                <w:bCs/>
                <w:color w:val="000000"/>
                <w:kern w:val="0"/>
                <w:sz w:val="20"/>
                <w:szCs w:val="21"/>
                <w:lang w:val="en-GB" w:eastAsia="ko-KR"/>
              </w:rPr>
            </w:pPr>
            <w:r>
              <w:rPr>
                <w:rFonts w:ascii="Times New Roman" w:hAnsi="Times New Roman" w:eastAsia="宋体" w:cs="Times New Roman"/>
                <w:bCs/>
                <w:color w:val="000000"/>
                <w:kern w:val="0"/>
                <w:sz w:val="20"/>
                <w:szCs w:val="21"/>
                <w:lang w:val="en-GB" w:eastAsia="ko-KR"/>
              </w:rPr>
              <w:t>On detailed evaluation requirements, the following options are available</w:t>
            </w:r>
          </w:p>
          <w:p w14:paraId="5A5D4E6B">
            <w:pPr>
              <w:widowControl w:val="0"/>
              <w:numPr>
                <w:ilvl w:val="0"/>
                <w:numId w:val="8"/>
              </w:numPr>
              <w:tabs>
                <w:tab w:val="left" w:pos="851"/>
                <w:tab w:val="clear" w:pos="720"/>
              </w:tabs>
              <w:snapToGrid w:val="0"/>
              <w:spacing w:before="0" w:beforeAutospacing="0" w:after="120" w:afterAutospacing="0"/>
              <w:ind w:left="794" w:hanging="397"/>
              <w:jc w:val="both"/>
              <w:rPr>
                <w:rFonts w:ascii="Times New Roman" w:hAnsi="Times New Roman" w:eastAsia="Arial Unicode MS" w:cs="Times New Roman"/>
                <w:sz w:val="20"/>
                <w:szCs w:val="21"/>
                <w:lang w:val="en-GB" w:eastAsia="en-US" w:bidi="ar-SA"/>
              </w:rPr>
            </w:pPr>
            <w:r>
              <w:rPr>
                <w:rFonts w:ascii="Times New Roman" w:hAnsi="Times New Roman" w:eastAsia="Arial Unicode MS" w:cs="Times New Roman"/>
                <w:sz w:val="20"/>
                <w:szCs w:val="21"/>
                <w:lang w:val="en-GB" w:eastAsia="en-US" w:bidi="ar-SA"/>
              </w:rPr>
              <w:t xml:space="preserve">Option 1: Evaluation requirements for entry/exit evaluation is the same as that of LP-WUR measurement period. </w:t>
            </w:r>
          </w:p>
          <w:p w14:paraId="6DCD39E8">
            <w:pPr>
              <w:widowControl w:val="0"/>
              <w:numPr>
                <w:ilvl w:val="0"/>
                <w:numId w:val="8"/>
              </w:numPr>
              <w:tabs>
                <w:tab w:val="left" w:pos="851"/>
                <w:tab w:val="clear" w:pos="720"/>
              </w:tabs>
              <w:snapToGrid w:val="0"/>
              <w:spacing w:before="0" w:beforeAutospacing="0" w:after="120" w:afterAutospacing="0"/>
              <w:ind w:left="794" w:hanging="397"/>
              <w:jc w:val="both"/>
              <w:rPr>
                <w:rFonts w:ascii="Times New Roman" w:hAnsi="Times New Roman" w:eastAsia="Arial Unicode MS" w:cs="Times New Roman"/>
                <w:sz w:val="20"/>
                <w:szCs w:val="21"/>
                <w:lang w:val="en-GB" w:eastAsia="en-US" w:bidi="ar-SA"/>
              </w:rPr>
            </w:pPr>
            <w:r>
              <w:rPr>
                <w:rFonts w:ascii="Times New Roman" w:hAnsi="Times New Roman" w:eastAsia="Arial Unicode MS" w:cs="Times New Roman"/>
                <w:sz w:val="20"/>
                <w:szCs w:val="21"/>
                <w:lang w:val="en-GB" w:eastAsia="en-US" w:bidi="ar-SA"/>
              </w:rPr>
              <w:t>Option 2: Evaluation requirements for entry/exit conditions is longer than that of LP-WUR measurement period.</w:t>
            </w:r>
          </w:p>
          <w:p w14:paraId="025E0652">
            <w:pPr>
              <w:widowControl w:val="0"/>
              <w:numPr>
                <w:ilvl w:val="0"/>
                <w:numId w:val="8"/>
              </w:numPr>
              <w:tabs>
                <w:tab w:val="left" w:pos="851"/>
                <w:tab w:val="clear" w:pos="720"/>
              </w:tabs>
              <w:snapToGrid w:val="0"/>
              <w:spacing w:before="0" w:beforeAutospacing="0" w:after="120" w:afterAutospacing="0"/>
              <w:ind w:left="794" w:hanging="397"/>
              <w:jc w:val="both"/>
              <w:rPr>
                <w:rFonts w:hint="default" w:ascii="Times New Roman" w:hAnsi="Times New Roman" w:cs="Times New Roman"/>
                <w:b/>
                <w:bCs/>
                <w:sz w:val="20"/>
                <w:szCs w:val="20"/>
                <w:u w:val="single"/>
                <w:vertAlign w:val="baseline"/>
                <w:lang w:val="en-GB"/>
              </w:rPr>
            </w:pPr>
            <w:r>
              <w:rPr>
                <w:rFonts w:ascii="Times New Roman" w:hAnsi="Times New Roman" w:eastAsia="Arial Unicode MS" w:cs="Times New Roman"/>
                <w:sz w:val="20"/>
                <w:szCs w:val="21"/>
                <w:lang w:val="en-GB" w:eastAsia="en-US" w:bidi="ar-SA"/>
              </w:rPr>
              <w:t>Option 3: Evaluation requirements for entry evaluation is longer than that of LP-WUR measurement period; evaluation requirements for exit evaluation is the same as that of the LP-WUR measurement period.</w:t>
            </w:r>
          </w:p>
        </w:tc>
      </w:tr>
    </w:tbl>
    <w:p w14:paraId="443E6B6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previous discussion, the measurement delay requirement in IDLE/Inactive mode for LP-WUR was divided into two cases. One is for LP-WUR based on LP-SS, the other one is for LP-WUR based on SSB. For the former case, agreement was achieved that measurement delay requirements for LP-WUR based on LP-SS shall be defined based on LP-SS periodicity. For the later case, i.e. LP-WUR based on SSB, it was agreed that the measurement delay requirements are defined based on LO periodicity. </w:t>
      </w:r>
    </w:p>
    <w:p w14:paraId="5C77D78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not configured, we understand only OFDM-based LP-WUR can work in this case. The OFDM-based LP-WUR obtains synchronization based on SSB. Basically, we think it is quite similar as MR. Also, the current agreement, i.e. based on LO periodicity, also aligns with measurement delay requirements for MR. As no upper bound has been defined for MR, we prefer not to define upper bound for LR either.</w:t>
      </w:r>
    </w:p>
    <w:p w14:paraId="5E59BFD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7</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0C13191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configured, the agreement was achieved that measurement delay requirements for LP-WUR based on LP-SS shall be defined based on LP-SS periodicity. However, based on the latest RAN1 progress, we can see that the range of LP-SS periodicity is still open. There is possibility that the LP-SS periodicity can be configured to 80ms or 160ms, which is comparable to the periodicity of SSB. We prefer to set a lower limit for the measurement delay requirements in case the periodicity of LP-SS can be configured to small value like 80ms or 160ms. Or, if majority companies can accept, we also support to define the measurement delay requirements based on max(LP-SS, LO periodicity).</w:t>
      </w:r>
    </w:p>
    <w:p w14:paraId="320C8D6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8</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61942A87">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06D1E2CE">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334BE9D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Cs/>
          <w:color w:val="000000"/>
          <w:kern w:val="0"/>
          <w:sz w:val="21"/>
          <w:szCs w:val="21"/>
          <w:lang w:val="en-US" w:eastAsia="zh-CN"/>
        </w:rPr>
      </w:pPr>
      <w:r>
        <w:rPr>
          <w:rFonts w:hint="default" w:ascii="Times New Roman" w:hAnsi="Times New Roman" w:eastAsia="宋体" w:cs="Times New Roman"/>
          <w:b w:val="0"/>
          <w:bCs w:val="0"/>
          <w:kern w:val="0"/>
          <w:sz w:val="21"/>
          <w:szCs w:val="21"/>
          <w:lang w:val="en-US" w:eastAsia="zh-CN"/>
        </w:rPr>
        <w:t>On requirements for LP-WUR for entry/exit criteria(threshold) evaluation</w:t>
      </w:r>
      <w:r>
        <w:rPr>
          <w:rFonts w:hint="eastAsia" w:ascii="Times New Roman" w:hAnsi="Times New Roman" w:eastAsia="宋体" w:cs="Times New Roman"/>
          <w:b w:val="0"/>
          <w:bCs w:val="0"/>
          <w:kern w:val="0"/>
          <w:sz w:val="21"/>
          <w:szCs w:val="21"/>
          <w:lang w:val="en-US" w:eastAsia="zh-CN"/>
        </w:rPr>
        <w:t>, companies</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opinions are diverse. </w:t>
      </w:r>
      <w:r>
        <w:rPr>
          <w:rFonts w:hint="eastAsia" w:ascii="Times New Roman" w:hAnsi="Times New Roman" w:eastAsia="宋体" w:cs="Times New Roman"/>
          <w:bCs/>
          <w:color w:val="000000"/>
          <w:kern w:val="0"/>
          <w:sz w:val="21"/>
          <w:szCs w:val="21"/>
          <w:lang w:val="en-US" w:eastAsia="zh-CN"/>
        </w:rPr>
        <w:t xml:space="preserve">We think it is very likely that the </w:t>
      </w:r>
      <w:r>
        <w:rPr>
          <w:rFonts w:ascii="Times New Roman" w:hAnsi="Times New Roman" w:eastAsia="宋体" w:cs="Times New Roman"/>
          <w:bCs/>
          <w:color w:val="000000"/>
          <w:kern w:val="0"/>
          <w:sz w:val="21"/>
          <w:szCs w:val="21"/>
          <w:lang w:val="en-GB" w:eastAsia="ko-KR"/>
        </w:rPr>
        <w:t>entry/exit criteria(threshold) evaluation for LP-WUS monitoring</w:t>
      </w:r>
      <w:r>
        <w:rPr>
          <w:rFonts w:hint="eastAsia" w:ascii="Times New Roman" w:hAnsi="Times New Roman" w:eastAsia="宋体" w:cs="Times New Roman"/>
          <w:bCs/>
          <w:color w:val="000000"/>
          <w:kern w:val="0"/>
          <w:sz w:val="21"/>
          <w:szCs w:val="21"/>
          <w:lang w:val="en-US" w:eastAsia="zh-CN"/>
        </w:rPr>
        <w:t xml:space="preserve"> would be the same as </w:t>
      </w:r>
      <w:r>
        <w:rPr>
          <w:rFonts w:ascii="Times New Roman" w:hAnsi="Times New Roman" w:eastAsia="宋体" w:cs="Times New Roman"/>
          <w:bCs/>
          <w:color w:val="000000"/>
          <w:kern w:val="0"/>
          <w:sz w:val="21"/>
          <w:szCs w:val="21"/>
          <w:lang w:val="en-GB" w:eastAsia="ko-KR"/>
        </w:rPr>
        <w:t>entry/exit criteria(threshold) evaluation for Case 1</w:t>
      </w:r>
      <w:r>
        <w:rPr>
          <w:rFonts w:hint="eastAsia" w:ascii="Times New Roman" w:hAnsi="Times New Roman" w:eastAsia="宋体" w:cs="Times New Roman"/>
          <w:bCs/>
          <w:color w:val="000000"/>
          <w:kern w:val="0"/>
          <w:sz w:val="21"/>
          <w:szCs w:val="21"/>
          <w:lang w:val="en-US" w:eastAsia="zh-CN"/>
        </w:rPr>
        <w:t xml:space="preserve">. But the final decision depends on RAN2. So, we prefer to focus on MR RRM relaxation cases. </w:t>
      </w:r>
    </w:p>
    <w:p w14:paraId="5E4ECEF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9</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 to focus on discussing requirements for LP-WUR for entry/exit criteria(threshold) evaluation for MR RRM relaxation, whereas the LR-WUS monitoring requirement discussion pending on RAN2</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progress.</w:t>
      </w:r>
    </w:p>
    <w:p w14:paraId="027348C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b w:val="0"/>
          <w:bCs w:val="0"/>
          <w:kern w:val="0"/>
          <w:sz w:val="21"/>
          <w:szCs w:val="21"/>
          <w:lang w:val="en-US" w:eastAsia="zh-CN"/>
        </w:rPr>
        <w:t>Then, for MR RRM relaxation evaluation requirement except for the exit/entry cases from legacy state to case 1 or case 3, the entry condition for case 3 is the exit condition for case 1, and vice versa. From our view, we prefer not to define additional evaluation requirements, i.e. RAN4 to define the e</w:t>
      </w:r>
      <w:r>
        <w:rPr>
          <w:rFonts w:ascii="Times New Roman" w:hAnsi="Times New Roman" w:eastAsia="Arial Unicode MS" w:cs="Times New Roman"/>
          <w:sz w:val="21"/>
          <w:szCs w:val="21"/>
          <w:lang w:val="en-GB" w:eastAsia="en-US" w:bidi="ar-SA"/>
        </w:rPr>
        <w:t xml:space="preserve">valuation requirements for entry/exit evaluation the same as that of </w:t>
      </w:r>
      <w:r>
        <w:rPr>
          <w:rFonts w:hint="eastAsia" w:ascii="Times New Roman" w:hAnsi="Times New Roman" w:eastAsia="宋体" w:cs="Times New Roman"/>
          <w:sz w:val="21"/>
          <w:szCs w:val="21"/>
          <w:lang w:val="en-US" w:eastAsia="zh-CN" w:bidi="ar-SA"/>
        </w:rPr>
        <w:t xml:space="preserve">LR </w:t>
      </w:r>
      <w:r>
        <w:rPr>
          <w:rFonts w:ascii="Times New Roman" w:hAnsi="Times New Roman" w:eastAsia="Arial Unicode MS" w:cs="Times New Roman"/>
          <w:sz w:val="21"/>
          <w:szCs w:val="21"/>
          <w:lang w:val="en-GB" w:eastAsia="en-US" w:bidi="ar-SA"/>
        </w:rPr>
        <w:t>measurement period</w:t>
      </w:r>
      <w:r>
        <w:rPr>
          <w:rFonts w:hint="eastAsia" w:ascii="Times New Roman" w:hAnsi="Times New Roman" w:eastAsia="宋体" w:cs="Times New Roman"/>
          <w:sz w:val="21"/>
          <w:szCs w:val="21"/>
          <w:lang w:val="en-US" w:eastAsia="zh-CN" w:bidi="ar-SA"/>
        </w:rPr>
        <w:t xml:space="preserve"> requirements</w:t>
      </w:r>
      <w:r>
        <w:rPr>
          <w:rFonts w:ascii="Times New Roman" w:hAnsi="Times New Roman" w:eastAsia="Arial Unicode MS" w:cs="Times New Roman"/>
          <w:sz w:val="21"/>
          <w:szCs w:val="21"/>
          <w:lang w:val="en-GB" w:eastAsia="en-US" w:bidi="ar-SA"/>
        </w:rPr>
        <w:t>.</w:t>
      </w:r>
      <w:r>
        <w:rPr>
          <w:rFonts w:hint="eastAsia" w:ascii="Times New Roman" w:hAnsi="Times New Roman" w:eastAsia="宋体" w:cs="Times New Roman"/>
          <w:sz w:val="21"/>
          <w:szCs w:val="21"/>
          <w:lang w:val="en-US" w:eastAsia="zh-CN" w:bidi="ar-SA"/>
        </w:rPr>
        <w:t xml:space="preserve"> </w:t>
      </w:r>
    </w:p>
    <w:p w14:paraId="2ED37B6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10</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When not considering the legacy state (i.e. excluding scenarios in the Note), the e</w:t>
      </w:r>
      <w:r>
        <w:rPr>
          <w:rFonts w:hint="eastAsia" w:ascii="Times New Roman" w:hAnsi="Times New Roman" w:eastAsia="宋体" w:cs="Times New Roman"/>
          <w:b/>
          <w:bCs/>
          <w:kern w:val="0"/>
          <w:sz w:val="21"/>
          <w:szCs w:val="21"/>
        </w:rPr>
        <w:t>valuation requirement for entry/exit evaluation is the same as that of LP-WUR measurement period</w:t>
      </w:r>
      <w:r>
        <w:rPr>
          <w:rFonts w:hint="eastAsia" w:ascii="Times New Roman" w:hAnsi="Times New Roman" w:eastAsia="宋体" w:cs="Times New Roman"/>
          <w:b/>
          <w:bCs/>
          <w:kern w:val="0"/>
          <w:sz w:val="21"/>
          <w:szCs w:val="21"/>
          <w:lang w:val="en-US" w:eastAsia="zh-CN"/>
        </w:rPr>
        <w:t xml:space="preserve"> for both case 1 and case 3.</w:t>
      </w:r>
    </w:p>
    <w:p w14:paraId="482DD3B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If we taking the legacy state into consideration, basically, we prefer the same logic that the e</w:t>
      </w:r>
      <w:r>
        <w:rPr>
          <w:rFonts w:ascii="Times New Roman" w:hAnsi="Times New Roman" w:eastAsia="Arial Unicode MS" w:cs="Times New Roman"/>
          <w:sz w:val="21"/>
          <w:szCs w:val="21"/>
          <w:lang w:val="en-GB" w:eastAsia="en-US" w:bidi="ar-SA"/>
        </w:rPr>
        <w:t>valuation requirements</w:t>
      </w:r>
      <w:r>
        <w:rPr>
          <w:rFonts w:hint="eastAsia" w:ascii="Times New Roman" w:hAnsi="Times New Roman" w:eastAsia="宋体" w:cs="Times New Roman"/>
          <w:sz w:val="21"/>
          <w:szCs w:val="21"/>
          <w:lang w:val="en-US" w:eastAsia="zh-CN" w:bidi="ar-SA"/>
        </w:rPr>
        <w:t xml:space="preserve"> is the same as the measurement requirements. For case 1 to legacy state, and case 3 to legacy state, </w:t>
      </w:r>
      <w:r>
        <w:rPr>
          <w:rFonts w:hint="eastAsia" w:ascii="Times New Roman" w:hAnsi="Times New Roman" w:eastAsia="宋体" w:cs="Times New Roman"/>
          <w:b w:val="0"/>
          <w:bCs w:val="0"/>
          <w:kern w:val="0"/>
          <w:sz w:val="21"/>
          <w:szCs w:val="21"/>
          <w:lang w:val="en-US" w:eastAsia="zh-CN"/>
        </w:rPr>
        <w:t>the e</w:t>
      </w:r>
      <w:r>
        <w:rPr>
          <w:rFonts w:ascii="Times New Roman" w:hAnsi="Times New Roman" w:eastAsia="Arial Unicode MS" w:cs="Times New Roman"/>
          <w:sz w:val="21"/>
          <w:szCs w:val="21"/>
          <w:lang w:val="en-GB" w:eastAsia="en-US" w:bidi="ar-SA"/>
        </w:rPr>
        <w:t>valuation requirements</w:t>
      </w:r>
      <w:r>
        <w:rPr>
          <w:rFonts w:hint="eastAsia" w:ascii="Times New Roman" w:hAnsi="Times New Roman" w:eastAsia="宋体" w:cs="Times New Roman"/>
          <w:sz w:val="21"/>
          <w:szCs w:val="21"/>
          <w:lang w:val="en-US" w:eastAsia="zh-CN" w:bidi="ar-SA"/>
        </w:rPr>
        <w:t xml:space="preserve"> is the same as the LP-WUR measurement requirements. For legacy state to case1 or case3, the evalution requirements is the same as the MR serving cell measurement requirements.</w:t>
      </w:r>
    </w:p>
    <w:p w14:paraId="0652788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When considering the legacy state (i.e. considering the scenarios in the Note), </w:t>
      </w:r>
    </w:p>
    <w:p w14:paraId="5273EE46">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For case 1</w:t>
      </w:r>
      <w:r>
        <w:rPr>
          <w:rFonts w:hint="eastAsia" w:ascii="Times New Roman" w:hAnsi="Times New Roman" w:eastAsia="宋体" w:cs="Times New Roman"/>
          <w:b/>
          <w:bCs/>
          <w:kern w:val="0"/>
          <w:sz w:val="21"/>
          <w:szCs w:val="21"/>
          <w:lang w:val="en-US" w:eastAsia="zh-CN"/>
        </w:rPr>
        <w:t xml:space="preserve">/ case 3 </w:t>
      </w:r>
      <w:r>
        <w:rPr>
          <w:rFonts w:hint="default" w:ascii="Times New Roman" w:hAnsi="Times New Roman" w:eastAsia="宋体" w:cs="Times New Roman"/>
          <w:b/>
          <w:bCs/>
          <w:kern w:val="0"/>
          <w:sz w:val="21"/>
          <w:szCs w:val="21"/>
          <w:lang w:val="en-US" w:eastAsia="zh-CN"/>
        </w:rPr>
        <w:t>to legacy state, the evaluation requirement is the same as the LP-WUR measurement requirements</w:t>
      </w:r>
      <w:r>
        <w:rPr>
          <w:rFonts w:hint="eastAsia" w:ascii="Times New Roman" w:hAnsi="Times New Roman" w:eastAsia="宋体" w:cs="Times New Roman"/>
          <w:b/>
          <w:bCs/>
          <w:kern w:val="0"/>
          <w:sz w:val="21"/>
          <w:szCs w:val="21"/>
          <w:lang w:val="en-US" w:eastAsia="zh-CN"/>
        </w:rPr>
        <w:t>;</w:t>
      </w:r>
      <w:r>
        <w:rPr>
          <w:rFonts w:hint="default" w:ascii="Times New Roman" w:hAnsi="Times New Roman" w:eastAsia="宋体" w:cs="Times New Roman"/>
          <w:b/>
          <w:bCs/>
          <w:kern w:val="0"/>
          <w:sz w:val="21"/>
          <w:szCs w:val="21"/>
          <w:lang w:val="en-US" w:eastAsia="zh-CN"/>
        </w:rPr>
        <w:t xml:space="preserve"> </w:t>
      </w:r>
    </w:p>
    <w:p w14:paraId="3FE6911F">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For legacy state to case1 or case3, the </w:t>
      </w:r>
      <w:r>
        <w:rPr>
          <w:rFonts w:hint="eastAsia" w:ascii="Times New Roman" w:hAnsi="Times New Roman" w:eastAsia="宋体" w:cs="Times New Roman"/>
          <w:b/>
          <w:bCs/>
          <w:kern w:val="0"/>
          <w:sz w:val="21"/>
          <w:szCs w:val="21"/>
          <w:lang w:val="en-US" w:eastAsia="zh-CN"/>
        </w:rPr>
        <w:t>evaluation</w:t>
      </w:r>
      <w:r>
        <w:rPr>
          <w:rFonts w:hint="default" w:ascii="Times New Roman" w:hAnsi="Times New Roman" w:eastAsia="宋体" w:cs="Times New Roman"/>
          <w:b/>
          <w:bCs/>
          <w:kern w:val="0"/>
          <w:sz w:val="21"/>
          <w:szCs w:val="21"/>
          <w:lang w:val="en-US" w:eastAsia="zh-CN"/>
        </w:rPr>
        <w:t xml:space="preserve"> requirement is the same as the MR serving cell measurement requirements.</w:t>
      </w:r>
    </w:p>
    <w:p w14:paraId="29298095">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1"/>
          <w:szCs w:val="21"/>
          <w:u w:val="single"/>
          <w:lang w:val="en-GB"/>
        </w:rPr>
      </w:pPr>
      <w:r>
        <w:rPr>
          <w:rFonts w:hint="default" w:ascii="Times New Roman" w:hAnsi="Times New Roman" w:cs="Times New Roman"/>
          <w:b/>
          <w:bCs/>
          <w:sz w:val="21"/>
          <w:szCs w:val="21"/>
          <w:u w:val="single"/>
          <w:lang w:val="en-GB"/>
        </w:rPr>
        <w:t>MR RRM relaxation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C8E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C56B0F6">
            <w:pPr>
              <w:widowControl/>
              <w:snapToGrid w:val="0"/>
              <w:spacing w:after="120"/>
              <w:jc w:val="left"/>
              <w:rPr>
                <w:rFonts w:ascii="Times New Roman" w:hAnsi="Times New Roman" w:eastAsia="宋体" w:cs="Times New Roman"/>
                <w:b/>
                <w:bCs/>
                <w:color w:val="000000"/>
                <w:kern w:val="0"/>
                <w:sz w:val="21"/>
                <w:szCs w:val="21"/>
                <w:u w:val="single"/>
                <w:lang w:val="en-GB" w:eastAsia="ko-KR"/>
              </w:rPr>
            </w:pPr>
            <w:r>
              <w:rPr>
                <w:rFonts w:ascii="Times New Roman" w:hAnsi="Times New Roman" w:eastAsia="宋体" w:cs="Times New Roman"/>
                <w:b/>
                <w:bCs/>
                <w:color w:val="000000"/>
                <w:kern w:val="0"/>
                <w:sz w:val="21"/>
                <w:szCs w:val="21"/>
                <w:u w:val="single"/>
                <w:lang w:val="en-GB" w:eastAsia="ko-KR"/>
              </w:rPr>
              <w:t>Issue 1-3-1: MR RRM relaxation for serving cell/neighbour cell for case 3</w:t>
            </w:r>
          </w:p>
          <w:p w14:paraId="3F1359FF">
            <w:pPr>
              <w:widowControl/>
              <w:spacing w:after="180"/>
              <w:jc w:val="left"/>
              <w:rPr>
                <w:rFonts w:ascii="Times New Roman" w:hAnsi="Times New Roman" w:eastAsia="宋体" w:cs="Times New Roman"/>
                <w:iCs/>
                <w:color w:val="000000"/>
                <w:kern w:val="0"/>
                <w:sz w:val="21"/>
                <w:szCs w:val="21"/>
                <w:lang w:val="en-GB" w:eastAsia="en-US"/>
              </w:rPr>
            </w:pPr>
            <w:r>
              <w:rPr>
                <w:rFonts w:ascii="Times New Roman" w:hAnsi="Times New Roman" w:eastAsia="宋体" w:cs="Times New Roman"/>
                <w:iCs/>
                <w:color w:val="000000"/>
                <w:kern w:val="0"/>
                <w:sz w:val="21"/>
                <w:szCs w:val="21"/>
                <w:lang w:val="en-GB" w:eastAsia="en-US"/>
              </w:rPr>
              <w:t>Agreement:</w:t>
            </w:r>
          </w:p>
          <w:p w14:paraId="7E94F979">
            <w:pPr>
              <w:widowControl/>
              <w:spacing w:after="180"/>
              <w:jc w:val="left"/>
              <w:rPr>
                <w:rFonts w:ascii="Times New Roman" w:hAnsi="Times New Roman" w:eastAsia="MS Mincho" w:cs="Times New Roman"/>
                <w:kern w:val="0"/>
                <w:sz w:val="21"/>
                <w:szCs w:val="21"/>
                <w:lang w:val="en-GB" w:eastAsia="en-US"/>
              </w:rPr>
            </w:pPr>
            <w:r>
              <w:rPr>
                <w:rFonts w:ascii="Times New Roman" w:hAnsi="Times New Roman" w:eastAsia="MS Mincho" w:cs="Times New Roman"/>
                <w:kern w:val="0"/>
                <w:sz w:val="21"/>
                <w:szCs w:val="21"/>
                <w:lang w:val="en-GB" w:eastAsia="en-US"/>
              </w:rPr>
              <w:t>Scaling factor</w:t>
            </w:r>
            <w:r>
              <w:rPr>
                <w:rFonts w:hint="eastAsia" w:ascii="Times New Roman" w:hAnsi="Times New Roman" w:eastAsia="MS Mincho" w:cs="Times New Roman"/>
                <w:kern w:val="0"/>
                <w:sz w:val="21"/>
                <w:szCs w:val="21"/>
                <w:lang w:val="en-GB" w:eastAsia="en-US"/>
              </w:rPr>
              <w:t>(</w:t>
            </w:r>
            <w:r>
              <w:rPr>
                <w:rFonts w:ascii="Times New Roman" w:hAnsi="Times New Roman" w:eastAsia="MS Mincho" w:cs="Times New Roman"/>
                <w:kern w:val="0"/>
                <w:sz w:val="21"/>
                <w:szCs w:val="21"/>
                <w:lang w:val="en-GB" w:eastAsia="en-US"/>
              </w:rPr>
              <w:t xml:space="preserve">s) is/are &gt;= 4. Further down-select from </w:t>
            </w:r>
          </w:p>
          <w:p w14:paraId="53C82509">
            <w:pPr>
              <w:widowControl w:val="0"/>
              <w:numPr>
                <w:ilvl w:val="0"/>
                <w:numId w:val="10"/>
              </w:numPr>
              <w:overflowPunct w:val="0"/>
              <w:autoSpaceDE w:val="0"/>
              <w:autoSpaceDN w:val="0"/>
              <w:adjustRightInd w:val="0"/>
              <w:snapToGrid w:val="0"/>
              <w:spacing w:after="120"/>
              <w:ind w:left="644" w:hanging="360" w:firstLineChars="0"/>
              <w:jc w:val="both"/>
              <w:textAlignment w:val="baseline"/>
              <w:rPr>
                <w:rFonts w:ascii="Times New Roman" w:hAnsi="Times New Roman" w:eastAsia="MS Mincho" w:cs="Times New Roman"/>
                <w:sz w:val="21"/>
                <w:szCs w:val="21"/>
                <w:lang w:val="en-GB" w:eastAsia="en-US" w:bidi="ar-SA"/>
              </w:rPr>
            </w:pPr>
            <w:r>
              <w:rPr>
                <w:rFonts w:ascii="Times New Roman" w:hAnsi="Times New Roman" w:eastAsia="MS Mincho" w:cs="Times New Roman"/>
                <w:sz w:val="21"/>
                <w:szCs w:val="21"/>
                <w:lang w:val="en-GB" w:eastAsia="en-US" w:bidi="ar-SA"/>
              </w:rPr>
              <w:t>Option 1:</w:t>
            </w:r>
            <w:r>
              <w:rPr>
                <w:rFonts w:hint="eastAsia" w:ascii="Times New Roman" w:hAnsi="Times New Roman" w:eastAsia="宋体" w:cs="Times New Roman"/>
                <w:sz w:val="21"/>
                <w:szCs w:val="21"/>
                <w:lang w:val="en-US" w:eastAsia="zh-CN" w:bidi="ar-SA"/>
              </w:rPr>
              <w:t xml:space="preserve"> </w:t>
            </w:r>
            <w:r>
              <w:rPr>
                <w:rFonts w:ascii="Times New Roman" w:hAnsi="Times New Roman" w:eastAsia="MS Mincho" w:cs="Times New Roman"/>
                <w:sz w:val="21"/>
                <w:szCs w:val="21"/>
                <w:lang w:val="en-GB" w:eastAsia="en-US" w:bidi="ar-SA"/>
              </w:rPr>
              <w:t>1 fixed scaling factor</w:t>
            </w:r>
          </w:p>
          <w:p w14:paraId="4E987AAA">
            <w:pPr>
              <w:widowControl w:val="0"/>
              <w:numPr>
                <w:ilvl w:val="0"/>
                <w:numId w:val="10"/>
              </w:numPr>
              <w:overflowPunct w:val="0"/>
              <w:autoSpaceDE w:val="0"/>
              <w:autoSpaceDN w:val="0"/>
              <w:adjustRightInd w:val="0"/>
              <w:snapToGrid w:val="0"/>
              <w:spacing w:after="120"/>
              <w:ind w:left="644" w:hanging="360" w:firstLineChars="0"/>
              <w:jc w:val="both"/>
              <w:textAlignment w:val="baseline"/>
              <w:rPr>
                <w:rFonts w:ascii="Times New Roman" w:hAnsi="Times New Roman" w:eastAsia="MS Mincho" w:cs="Times New Roman"/>
                <w:sz w:val="21"/>
                <w:szCs w:val="21"/>
                <w:lang w:val="en-GB" w:eastAsia="en-US" w:bidi="ar-SA"/>
              </w:rPr>
            </w:pPr>
            <w:r>
              <w:rPr>
                <w:rFonts w:ascii="Times New Roman" w:hAnsi="Times New Roman" w:eastAsia="MS Mincho" w:cs="Times New Roman"/>
                <w:sz w:val="21"/>
                <w:szCs w:val="21"/>
                <w:lang w:val="en-GB" w:eastAsia="en-US" w:bidi="ar-SA"/>
              </w:rPr>
              <w:t xml:space="preserve">Option 2: multiple values configured by NW </w:t>
            </w:r>
          </w:p>
          <w:p w14:paraId="06E93B2A">
            <w:pPr>
              <w:widowControl w:val="0"/>
              <w:numPr>
                <w:ilvl w:val="0"/>
                <w:numId w:val="10"/>
              </w:numPr>
              <w:overflowPunct w:val="0"/>
              <w:autoSpaceDE w:val="0"/>
              <w:autoSpaceDN w:val="0"/>
              <w:adjustRightInd w:val="0"/>
              <w:snapToGrid w:val="0"/>
              <w:spacing w:after="120"/>
              <w:ind w:left="644" w:hanging="360" w:firstLineChars="0"/>
              <w:jc w:val="both"/>
              <w:textAlignment w:val="baseline"/>
              <w:rPr>
                <w:rFonts w:ascii="Times New Roman" w:hAnsi="Times New Roman" w:eastAsia="MS Mincho" w:cs="Times New Roman"/>
                <w:sz w:val="21"/>
                <w:szCs w:val="21"/>
                <w:lang w:val="en-GB" w:eastAsia="en-US" w:bidi="ar-SA"/>
              </w:rPr>
            </w:pPr>
            <w:r>
              <w:rPr>
                <w:rFonts w:ascii="Times New Roman" w:hAnsi="Times New Roman" w:eastAsia="MS Mincho" w:cs="Times New Roman"/>
                <w:sz w:val="21"/>
                <w:szCs w:val="21"/>
                <w:lang w:val="en-GB" w:eastAsia="en-US" w:bidi="ar-SA"/>
              </w:rPr>
              <w:t>Option 3: multiple values, scaling factor value depends on DRX cycle length (QC MTK apple xiaomi vivo)</w:t>
            </w:r>
          </w:p>
          <w:tbl>
            <w:tblPr>
              <w:tblStyle w:val="16"/>
              <w:tblW w:w="0" w:type="auto"/>
              <w:tblInd w:w="6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0"/>
              <w:gridCol w:w="4112"/>
            </w:tblGrid>
            <w:tr w14:paraId="1FCC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5423EC19">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0"/>
                      <w:szCs w:val="20"/>
                      <w:lang w:val="en-GB" w:eastAsia="en-US"/>
                    </w:rPr>
                    <w:t>DRX cycle length [s]</w:t>
                  </w:r>
                </w:p>
              </w:tc>
              <w:tc>
                <w:tcPr>
                  <w:tcW w:w="4112" w:type="dxa"/>
                </w:tcPr>
                <w:p w14:paraId="6B210ACB">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1"/>
                      <w:szCs w:val="21"/>
                      <w:lang w:val="en-GB" w:eastAsia="en-US"/>
                    </w:rPr>
                    <w:t>Scaling factor</w:t>
                  </w:r>
                </w:p>
              </w:tc>
            </w:tr>
            <w:tr w14:paraId="11000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7F2F3418">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0"/>
                      <w:szCs w:val="20"/>
                      <w:lang w:val="en-GB" w:eastAsia="en-US"/>
                    </w:rPr>
                    <w:t>0.32</w:t>
                  </w:r>
                </w:p>
              </w:tc>
              <w:tc>
                <w:tcPr>
                  <w:tcW w:w="4112" w:type="dxa"/>
                </w:tcPr>
                <w:p w14:paraId="4BFD7A37">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Yu Mincho" w:cs="Times New Roman"/>
                      <w:kern w:val="0"/>
                      <w:sz w:val="21"/>
                      <w:szCs w:val="21"/>
                      <w:lang w:val="en-GB" w:eastAsia="en-US"/>
                    </w:rPr>
                    <w:t xml:space="preserve">TBD </w:t>
                  </w:r>
                </w:p>
              </w:tc>
            </w:tr>
            <w:tr w14:paraId="1A5B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472A7D7B">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0"/>
                      <w:szCs w:val="20"/>
                      <w:lang w:val="en-GB" w:eastAsia="en-US"/>
                    </w:rPr>
                    <w:t>0.64</w:t>
                  </w:r>
                </w:p>
              </w:tc>
              <w:tc>
                <w:tcPr>
                  <w:tcW w:w="4112" w:type="dxa"/>
                </w:tcPr>
                <w:p w14:paraId="31B9592E">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Yu Mincho" w:cs="Times New Roman"/>
                      <w:kern w:val="0"/>
                      <w:sz w:val="21"/>
                      <w:szCs w:val="21"/>
                      <w:lang w:val="en-GB" w:eastAsia="en-US"/>
                    </w:rPr>
                    <w:t>TBD</w:t>
                  </w:r>
                </w:p>
              </w:tc>
            </w:tr>
            <w:tr w14:paraId="71A4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0" w:type="dxa"/>
                </w:tcPr>
                <w:p w14:paraId="4C00ABF7">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0"/>
                      <w:szCs w:val="20"/>
                      <w:lang w:val="en-GB" w:eastAsia="en-US"/>
                    </w:rPr>
                    <w:t>1.28</w:t>
                  </w:r>
                </w:p>
              </w:tc>
              <w:tc>
                <w:tcPr>
                  <w:tcW w:w="4112" w:type="dxa"/>
                </w:tcPr>
                <w:p w14:paraId="361C392E">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Yu Mincho" w:cs="Times New Roman"/>
                      <w:kern w:val="0"/>
                      <w:sz w:val="21"/>
                      <w:szCs w:val="21"/>
                      <w:lang w:val="en-GB" w:eastAsia="en-US"/>
                    </w:rPr>
                    <w:t>TBD</w:t>
                  </w:r>
                </w:p>
              </w:tc>
            </w:tr>
            <w:tr w14:paraId="2B8D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4100" w:type="dxa"/>
                </w:tcPr>
                <w:p w14:paraId="1717BE55">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Yu Mincho" w:cs="Times New Roman"/>
                      <w:kern w:val="0"/>
                      <w:sz w:val="21"/>
                      <w:szCs w:val="21"/>
                      <w:lang w:val="en-GB" w:eastAsia="en-US"/>
                    </w:rPr>
                  </w:pPr>
                  <w:r>
                    <w:rPr>
                      <w:rFonts w:hint="eastAsia" w:ascii="Times New Roman" w:hAnsi="Times New Roman" w:eastAsia="Yu Mincho" w:cs="Times New Roman"/>
                      <w:kern w:val="0"/>
                      <w:sz w:val="20"/>
                      <w:szCs w:val="20"/>
                      <w:lang w:val="en-GB" w:eastAsia="en-US"/>
                    </w:rPr>
                    <w:t>2.56</w:t>
                  </w:r>
                </w:p>
              </w:tc>
              <w:tc>
                <w:tcPr>
                  <w:tcW w:w="4112" w:type="dxa"/>
                </w:tcPr>
                <w:p w14:paraId="3B0932BF">
                  <w:pPr>
                    <w:keepNext w:val="0"/>
                    <w:keepLines w:val="0"/>
                    <w:widowControl/>
                    <w:suppressLineNumbers w:val="0"/>
                    <w:overflowPunct w:val="0"/>
                    <w:autoSpaceDE w:val="0"/>
                    <w:autoSpaceDN w:val="0"/>
                    <w:adjustRightInd w:val="0"/>
                    <w:snapToGrid w:val="0"/>
                    <w:spacing w:before="0" w:beforeAutospacing="0" w:after="120" w:afterAutospacing="0"/>
                    <w:ind w:left="0" w:right="0"/>
                    <w:jc w:val="left"/>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Yu Mincho" w:cs="Times New Roman"/>
                      <w:kern w:val="0"/>
                      <w:sz w:val="21"/>
                      <w:szCs w:val="21"/>
                      <w:lang w:val="en-GB" w:eastAsia="en-US"/>
                    </w:rPr>
                    <w:t xml:space="preserve">TBD </w:t>
                  </w:r>
                </w:p>
              </w:tc>
            </w:tr>
          </w:tbl>
          <w:p w14:paraId="66922D74">
            <w:pPr>
              <w:widowControl/>
              <w:snapToGrid w:val="0"/>
              <w:spacing w:after="120"/>
              <w:jc w:val="left"/>
              <w:rPr>
                <w:rFonts w:ascii="Times New Roman" w:hAnsi="Times New Roman" w:eastAsia="宋体" w:cs="Times New Roman"/>
                <w:b/>
                <w:bCs/>
                <w:color w:val="000000"/>
                <w:kern w:val="0"/>
                <w:sz w:val="21"/>
                <w:szCs w:val="21"/>
                <w:u w:val="single"/>
                <w:lang w:val="en-GB" w:eastAsia="ko-KR"/>
              </w:rPr>
            </w:pPr>
          </w:p>
          <w:p w14:paraId="354899A3">
            <w:pPr>
              <w:widowControl/>
              <w:snapToGrid w:val="0"/>
              <w:spacing w:after="120"/>
              <w:jc w:val="left"/>
              <w:rPr>
                <w:rFonts w:ascii="Times New Roman" w:hAnsi="Times New Roman" w:eastAsia="宋体" w:cs="Times New Roman"/>
                <w:b/>
                <w:bCs/>
                <w:color w:val="000000"/>
                <w:kern w:val="0"/>
                <w:sz w:val="21"/>
                <w:szCs w:val="21"/>
                <w:u w:val="single"/>
                <w:lang w:val="en-GB" w:eastAsia="ko-KR"/>
              </w:rPr>
            </w:pPr>
            <w:r>
              <w:rPr>
                <w:rFonts w:ascii="Times New Roman" w:hAnsi="Times New Roman" w:eastAsia="宋体" w:cs="Times New Roman"/>
                <w:b/>
                <w:bCs/>
                <w:color w:val="000000"/>
                <w:kern w:val="0"/>
                <w:sz w:val="21"/>
                <w:szCs w:val="21"/>
                <w:u w:val="single"/>
                <w:lang w:val="en-GB" w:eastAsia="ko-KR"/>
              </w:rPr>
              <w:t>Issue 1-3-2: On Neighbour cell and serving cell relaxation factor</w:t>
            </w:r>
          </w:p>
          <w:p w14:paraId="44D16302">
            <w:pPr>
              <w:widowControl/>
              <w:spacing w:after="180"/>
              <w:jc w:val="left"/>
              <w:rPr>
                <w:rFonts w:ascii="Times New Roman" w:hAnsi="Times New Roman" w:eastAsia="宋体" w:cs="Times New Roman"/>
                <w:iCs/>
                <w:color w:val="000000"/>
                <w:kern w:val="0"/>
                <w:sz w:val="21"/>
                <w:szCs w:val="21"/>
                <w:lang w:val="en-GB" w:eastAsia="en-US"/>
              </w:rPr>
            </w:pPr>
            <w:r>
              <w:rPr>
                <w:rFonts w:ascii="Times New Roman" w:hAnsi="Times New Roman" w:eastAsia="宋体" w:cs="Times New Roman"/>
                <w:iCs/>
                <w:color w:val="000000"/>
                <w:kern w:val="0"/>
                <w:sz w:val="21"/>
                <w:szCs w:val="21"/>
                <w:lang w:val="en-GB" w:eastAsia="en-US"/>
              </w:rPr>
              <w:t>Agreement:</w:t>
            </w:r>
          </w:p>
          <w:p w14:paraId="26126A3F">
            <w:pPr>
              <w:widowControl/>
              <w:spacing w:after="180"/>
              <w:jc w:val="left"/>
              <w:rPr>
                <w:rFonts w:ascii="Times New Roman" w:hAnsi="Times New Roman" w:eastAsia="MS Mincho" w:cs="Times New Roman"/>
                <w:kern w:val="0"/>
                <w:sz w:val="21"/>
                <w:szCs w:val="21"/>
                <w:lang w:val="en-GB" w:eastAsia="en-US"/>
              </w:rPr>
            </w:pPr>
            <w:r>
              <w:rPr>
                <w:rFonts w:ascii="Times New Roman" w:hAnsi="Times New Roman" w:eastAsia="MS Mincho" w:cs="Times New Roman"/>
                <w:kern w:val="0"/>
                <w:sz w:val="21"/>
                <w:szCs w:val="21"/>
                <w:lang w:val="en-GB" w:eastAsia="en-US"/>
              </w:rPr>
              <w:t>Same relaxation factor(s) applies to serving and neighbour cell measurements in idle/inactivate state.</w:t>
            </w:r>
          </w:p>
          <w:p w14:paraId="1A9E9153">
            <w:pPr>
              <w:numPr>
                <w:ilvl w:val="0"/>
                <w:numId w:val="0"/>
              </w:numPr>
              <w:spacing w:before="60"/>
              <w:ind w:leftChars="-227"/>
              <w:rPr>
                <w:rFonts w:hint="eastAsia" w:ascii="Times New Roman" w:hAnsi="Times New Roman" w:cs="Times New Roman"/>
                <w:b/>
                <w:bCs/>
                <w:sz w:val="20"/>
                <w:szCs w:val="20"/>
                <w:u w:val="single"/>
                <w:vertAlign w:val="baseline"/>
                <w:lang w:val="en-US" w:eastAsia="zh-CN"/>
              </w:rPr>
            </w:pPr>
          </w:p>
        </w:tc>
      </w:tr>
    </w:tbl>
    <w:p w14:paraId="303ED20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For MR RRM relaxation in Case3, RAN4 has agreed to apply the same relaxation factors for serving cell measurements and neighbor cell measurements. The main issue left is about the exact number of relaxation factor(s). As this is the scaling factor for UE in RRC_IDLE mode, our initial preference is to define one fixed scaling factor. But considering the big concern from NW side, we can comprise to fixed multiple values, i.e. option3.</w:t>
      </w:r>
    </w:p>
    <w:p w14:paraId="2C7F233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12</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 to define </w:t>
      </w:r>
      <w:r>
        <w:rPr>
          <w:rFonts w:hint="eastAsia" w:ascii="Times New Roman" w:hAnsi="Times New Roman" w:eastAsia="宋体" w:cs="Times New Roman"/>
          <w:b/>
          <w:bCs/>
          <w:kern w:val="0"/>
          <w:sz w:val="21"/>
          <w:szCs w:val="21"/>
        </w:rPr>
        <w:t>multiple scaling factor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values</w:t>
      </w:r>
      <w:r>
        <w:rPr>
          <w:rFonts w:hint="eastAsia" w:ascii="Times New Roman" w:hAnsi="Times New Roman" w:eastAsia="宋体" w:cs="Times New Roman"/>
          <w:b/>
          <w:bCs/>
          <w:kern w:val="0"/>
          <w:sz w:val="21"/>
          <w:szCs w:val="21"/>
          <w:lang w:val="en-US" w:eastAsia="zh-CN"/>
        </w:rPr>
        <w:t xml:space="preserve"> for MR RRM relaxation in case3</w:t>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while the</w:t>
      </w:r>
      <w:r>
        <w:rPr>
          <w:rFonts w:hint="eastAsia" w:ascii="Times New Roman" w:hAnsi="Times New Roman" w:eastAsia="宋体" w:cs="Times New Roman"/>
          <w:b/>
          <w:bCs/>
          <w:kern w:val="0"/>
          <w:sz w:val="21"/>
          <w:szCs w:val="21"/>
        </w:rPr>
        <w:t xml:space="preserve"> value depends on DRX cycle length</w:t>
      </w:r>
      <w:r>
        <w:rPr>
          <w:rFonts w:hint="eastAsia" w:ascii="Times New Roman" w:hAnsi="Times New Roman" w:eastAsia="宋体" w:cs="Times New Roman"/>
          <w:b/>
          <w:bCs/>
          <w:kern w:val="0"/>
          <w:sz w:val="21"/>
          <w:szCs w:val="21"/>
          <w:lang w:val="en-US" w:eastAsia="zh-CN"/>
        </w:rPr>
        <w:t>.</w:t>
      </w:r>
    </w:p>
    <w:p w14:paraId="7843CA5D">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cs="Times New Roman"/>
          <w:b/>
          <w:bCs/>
          <w:sz w:val="21"/>
          <w:szCs w:val="21"/>
          <w:u w:val="single"/>
          <w:lang w:val="en-US" w:eastAsia="zh-CN"/>
        </w:rPr>
      </w:pPr>
      <w:bookmarkStart w:id="14" w:name="OLE_LINK12"/>
      <w:r>
        <w:rPr>
          <w:rFonts w:hint="eastAsia" w:ascii="Times New Roman" w:hAnsi="Times New Roman" w:cs="Times New Roman"/>
          <w:b/>
          <w:bCs/>
          <w:sz w:val="21"/>
          <w:szCs w:val="21"/>
          <w:u w:val="single"/>
          <w:lang w:val="en-US" w:eastAsia="zh-CN"/>
        </w:rPr>
        <w:t>Accuracy</w:t>
      </w:r>
    </w:p>
    <w:bookmarkEnd w:id="14"/>
    <w:p w14:paraId="4E82D4B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discussion in previous meeting, it was agreed to wait RAN1 progress in target SNR/SINR and use the RAN1 agreed target SNR/SINR as baseline for RRM simulation assumption. Meanwhile, companies still have different understanding on whether/how to define the accuracy. From our perspective, we support the idea that the accuracy discussed here is for simulation assumption and no need to define dedicated accuracy requirement in performance section. As per the existing serving cell measurement requirements defined in RRC_IDLE/INACTIVE state, no corresponding measurement accuracy requirement introduced. Since we are discussing RRM requirements for LP-WUR in RRC_IDLE/INACTIVE state, we prefer to follow the same logic as for MR. </w:t>
      </w:r>
    </w:p>
    <w:p w14:paraId="6C82F96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13</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 xml:space="preserve">RAN4 to </w:t>
      </w:r>
      <w:bookmarkStart w:id="15" w:name="OLE_LINK14"/>
      <w:r>
        <w:rPr>
          <w:rFonts w:hint="eastAsia" w:ascii="Times New Roman" w:hAnsi="Times New Roman" w:eastAsia="宋体" w:cs="Times New Roman"/>
          <w:b/>
          <w:bCs/>
          <w:kern w:val="0"/>
          <w:sz w:val="21"/>
          <w:szCs w:val="21"/>
        </w:rPr>
        <w:t>determine the measurement accuracy in RRC_IDLE/INACTIVE state</w:t>
      </w:r>
      <w:bookmarkEnd w:id="15"/>
      <w:r>
        <w:rPr>
          <w:rFonts w:hint="eastAsia" w:ascii="Times New Roman" w:hAnsi="Times New Roman" w:eastAsia="宋体" w:cs="Times New Roman"/>
          <w:b/>
          <w:bCs/>
          <w:kern w:val="0"/>
          <w:sz w:val="21"/>
          <w:szCs w:val="21"/>
        </w:rPr>
        <w:t xml:space="preserve"> for simulation purpose, and NO need to define dedicated accuracy requirement in the performance section.</w:t>
      </w:r>
    </w:p>
    <w:p w14:paraId="765B40BF">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 xml:space="preserve">LP-WUR requirements at </w:t>
      </w:r>
      <w:r>
        <w:rPr>
          <w:rFonts w:hint="default" w:ascii="Times New Roman" w:hAnsi="Times New Roman" w:cs="Times New Roman"/>
          <w:b/>
          <w:bCs/>
          <w:sz w:val="21"/>
          <w:szCs w:val="21"/>
          <w:u w:val="single"/>
          <w:lang w:val="en-GB"/>
        </w:rPr>
        <w:t>RRC_CONNECTED mode</w:t>
      </w:r>
    </w:p>
    <w:p w14:paraId="56EC053A">
      <w:pPr>
        <w:pStyle w:val="57"/>
        <w:spacing w:line="288" w:lineRule="auto"/>
        <w:rPr>
          <w:rFonts w:hint="default" w:eastAsia="宋体"/>
          <w:b w:val="0"/>
          <w:bCs/>
          <w:kern w:val="0"/>
          <w:sz w:val="21"/>
          <w:szCs w:val="21"/>
          <w:lang w:val="en-US" w:eastAsia="zh-CN"/>
        </w:rPr>
      </w:pPr>
      <w:r>
        <w:rPr>
          <w:rFonts w:hint="eastAsia" w:eastAsia="宋体"/>
          <w:b w:val="0"/>
          <w:bCs/>
          <w:kern w:val="0"/>
          <w:sz w:val="21"/>
          <w:szCs w:val="21"/>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14:paraId="31DE2383">
      <w:pPr>
        <w:pStyle w:val="57"/>
        <w:spacing w:line="288" w:lineRule="auto"/>
        <w:rPr>
          <w:rFonts w:hint="default" w:eastAsia="宋体"/>
          <w:b/>
          <w:bCs w:val="0"/>
          <w:kern w:val="0"/>
          <w:sz w:val="21"/>
          <w:szCs w:val="21"/>
          <w:lang w:val="en-US" w:eastAsia="zh-CN"/>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14</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No RAN4 impact of LP-WUS/WUR features in RRC_CONNECTED mode is expected.</w:t>
      </w:r>
    </w:p>
    <w:p w14:paraId="49FA64DC">
      <w:pPr>
        <w:pStyle w:val="57"/>
        <w:spacing w:line="288" w:lineRule="auto"/>
        <w:rPr>
          <w:rFonts w:hint="eastAsia" w:eastAsia="宋体"/>
          <w:b w:val="0"/>
          <w:bCs/>
          <w:kern w:val="0"/>
          <w:lang w:val="en-US" w:eastAsia="zh-CN"/>
        </w:rPr>
      </w:pPr>
    </w:p>
    <w:p w14:paraId="14686674">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2CDB655C">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3CC2F9E3">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 is suggested to de-prioritize RRM relaxation case 2.</w:t>
      </w:r>
    </w:p>
    <w:p w14:paraId="6160FC4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3</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discussion on entry/exit conditions for LP-WUS monitoring can be triggered by RAN1/2 if needed.</w:t>
      </w:r>
    </w:p>
    <w:p w14:paraId="1D512D9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discussing relaxation cases, while the entry/exit criteria should be based on RAN2 design.</w:t>
      </w:r>
    </w:p>
    <w:p w14:paraId="7177E8D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5</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t>
      </w:r>
      <w:r>
        <w:rPr>
          <w:rFonts w:hint="default" w:ascii="Times New Roman" w:hAnsi="Times New Roman" w:eastAsia="宋体" w:cs="Times New Roman"/>
          <w:b/>
          <w:bCs/>
          <w:kern w:val="0"/>
          <w:sz w:val="21"/>
          <w:szCs w:val="21"/>
          <w:lang w:val="en-US" w:eastAsia="zh-CN"/>
        </w:rPr>
        <w:t>LP-WUR</w:t>
      </w:r>
      <w:r>
        <w:rPr>
          <w:rFonts w:hint="eastAsia" w:ascii="Times New Roman" w:hAnsi="Times New Roman" w:eastAsia="宋体" w:cs="Times New Roman"/>
          <w:b/>
          <w:bCs/>
          <w:kern w:val="0"/>
          <w:sz w:val="21"/>
          <w:szCs w:val="21"/>
          <w:lang w:val="en-US" w:eastAsia="zh-CN"/>
        </w:rPr>
        <w:t xml:space="preserve"> status</w:t>
      </w:r>
      <w:r>
        <w:rPr>
          <w:rFonts w:hint="default" w:ascii="Times New Roman" w:hAnsi="Times New Roman" w:eastAsia="宋体" w:cs="Times New Roman"/>
          <w:b/>
          <w:bCs/>
          <w:kern w:val="0"/>
          <w:sz w:val="21"/>
          <w:szCs w:val="21"/>
          <w:lang w:val="en-US" w:eastAsia="zh-CN"/>
        </w:rPr>
        <w:t xml:space="preserve"> is ON for serving cell measurement, but when</w:t>
      </w:r>
      <w:r>
        <w:rPr>
          <w:rFonts w:hint="eastAsia" w:ascii="Times New Roman" w:hAnsi="Times New Roman" w:eastAsia="宋体" w:cs="Times New Roman"/>
          <w:b/>
          <w:bCs/>
          <w:kern w:val="0"/>
          <w:sz w:val="21"/>
          <w:szCs w:val="21"/>
          <w:lang w:val="en-US" w:eastAsia="zh-CN"/>
        </w:rPr>
        <w:t xml:space="preserve"> and</w:t>
      </w:r>
      <w:r>
        <w:rPr>
          <w:rFonts w:hint="default" w:ascii="Times New Roman" w:hAnsi="Times New Roman" w:eastAsia="宋体" w:cs="Times New Roman"/>
          <w:b/>
          <w:bCs/>
          <w:kern w:val="0"/>
          <w:sz w:val="21"/>
          <w:szCs w:val="21"/>
          <w:lang w:val="en-US" w:eastAsia="zh-CN"/>
        </w:rPr>
        <w:t xml:space="preserve"> how to turn on LR and the duration of “ON” for serving cell measurement is up to UE implementation, and no LP-WUR requirement will be applied.</w:t>
      </w:r>
    </w:p>
    <w:p w14:paraId="04C19BF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Observation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Observation \* MERGEFORMAT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According to existing cell selection/re-selection procedure:</w:t>
      </w:r>
    </w:p>
    <w:p w14:paraId="23AB65C0">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initiation of intra-frequency measurements, as well as NR inter-frequency or inter-RAT frequency measurements with equal or lower priority, depends on the serving cell measurement results from the MR;</w:t>
      </w:r>
    </w:p>
    <w:p w14:paraId="650724AD">
      <w:pPr>
        <w:keepNext w:val="0"/>
        <w:keepLines w:val="0"/>
        <w:pageBreakBefore w:val="0"/>
        <w:widowControl/>
        <w:numPr>
          <w:ilvl w:val="0"/>
          <w:numId w:val="4"/>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GB" w:eastAsia="zh-CN"/>
        </w:rPr>
      </w:pPr>
      <w:r>
        <w:rPr>
          <w:rFonts w:hint="eastAsia" w:ascii="Times New Roman" w:hAnsi="Times New Roman" w:eastAsia="宋体" w:cs="Times New Roman"/>
          <w:b/>
          <w:bCs/>
          <w:kern w:val="0"/>
          <w:sz w:val="21"/>
          <w:szCs w:val="21"/>
          <w:lang w:val="en-US" w:eastAsia="zh-CN"/>
        </w:rPr>
        <w:t>The initiation of NR inter-frequency or inter-RAT frequencies measurements with higher priority depends on NW configuration.</w:t>
      </w:r>
    </w:p>
    <w:p w14:paraId="58390977">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6</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When NR inter-frequency or inter-RAT frequencies measurements with higher priority are configured by NW, MR perform relaxed higher priority frequency layer search in RRM relaxation case 1 and case 3.</w:t>
      </w:r>
    </w:p>
    <w:p w14:paraId="42E76F5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7</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2369ECB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8</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3DB35BAA">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0F7AEA04">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678BC15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9</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 to focus on discussing requirements for LP-WUR for entry/exit criteria(threshold) evaluation for MR RRM relaxation, whereas the LR-WUS monitoring requirement discussion pending on RAN2</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progress.</w:t>
      </w:r>
    </w:p>
    <w:p w14:paraId="70AA257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10</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When not considering the legacy state (i.e. excluding scenarios in the Note), the e</w:t>
      </w:r>
      <w:r>
        <w:rPr>
          <w:rFonts w:hint="eastAsia" w:ascii="Times New Roman" w:hAnsi="Times New Roman" w:eastAsia="宋体" w:cs="Times New Roman"/>
          <w:b/>
          <w:bCs/>
          <w:kern w:val="0"/>
          <w:sz w:val="21"/>
          <w:szCs w:val="21"/>
        </w:rPr>
        <w:t>valuation requirement for entry/exit evaluation is the same as that of LP-WUR measurement period</w:t>
      </w:r>
      <w:r>
        <w:rPr>
          <w:rFonts w:hint="eastAsia" w:ascii="Times New Roman" w:hAnsi="Times New Roman" w:eastAsia="宋体" w:cs="Times New Roman"/>
          <w:b/>
          <w:bCs/>
          <w:kern w:val="0"/>
          <w:sz w:val="21"/>
          <w:szCs w:val="21"/>
          <w:lang w:val="en-US" w:eastAsia="zh-CN"/>
        </w:rPr>
        <w:t xml:space="preserve"> for both case 1 and case 3.</w:t>
      </w:r>
    </w:p>
    <w:p w14:paraId="289A3F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When considering the legacy state (i.e. considering the scenarios in the Note), </w:t>
      </w:r>
    </w:p>
    <w:p w14:paraId="6EF546BC">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For case 1</w:t>
      </w:r>
      <w:r>
        <w:rPr>
          <w:rFonts w:hint="eastAsia" w:ascii="Times New Roman" w:hAnsi="Times New Roman" w:eastAsia="宋体" w:cs="Times New Roman"/>
          <w:b/>
          <w:bCs/>
          <w:kern w:val="0"/>
          <w:sz w:val="21"/>
          <w:szCs w:val="21"/>
          <w:lang w:val="en-US" w:eastAsia="zh-CN"/>
        </w:rPr>
        <w:t xml:space="preserve">/ case 3 </w:t>
      </w:r>
      <w:r>
        <w:rPr>
          <w:rFonts w:hint="default" w:ascii="Times New Roman" w:hAnsi="Times New Roman" w:eastAsia="宋体" w:cs="Times New Roman"/>
          <w:b/>
          <w:bCs/>
          <w:kern w:val="0"/>
          <w:sz w:val="21"/>
          <w:szCs w:val="21"/>
          <w:lang w:val="en-US" w:eastAsia="zh-CN"/>
        </w:rPr>
        <w:t>to legacy state, the evaluation requirement is the same as the LP-WUR measurement requirements</w:t>
      </w:r>
      <w:r>
        <w:rPr>
          <w:rFonts w:hint="eastAsia" w:ascii="Times New Roman" w:hAnsi="Times New Roman" w:eastAsia="宋体" w:cs="Times New Roman"/>
          <w:b/>
          <w:bCs/>
          <w:kern w:val="0"/>
          <w:sz w:val="21"/>
          <w:szCs w:val="21"/>
          <w:lang w:val="en-US" w:eastAsia="zh-CN"/>
        </w:rPr>
        <w:t>;</w:t>
      </w:r>
      <w:r>
        <w:rPr>
          <w:rFonts w:hint="default" w:ascii="Times New Roman" w:hAnsi="Times New Roman" w:eastAsia="宋体" w:cs="Times New Roman"/>
          <w:b/>
          <w:bCs/>
          <w:kern w:val="0"/>
          <w:sz w:val="21"/>
          <w:szCs w:val="21"/>
          <w:lang w:val="en-US" w:eastAsia="zh-CN"/>
        </w:rPr>
        <w:t xml:space="preserve"> </w:t>
      </w:r>
    </w:p>
    <w:p w14:paraId="5188D02A">
      <w:pPr>
        <w:keepNext w:val="0"/>
        <w:keepLines w:val="0"/>
        <w:pageBreakBefore w:val="0"/>
        <w:widowControl/>
        <w:numPr>
          <w:ilvl w:val="0"/>
          <w:numId w:val="9"/>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For legacy state to case1 or case3, the </w:t>
      </w:r>
      <w:r>
        <w:rPr>
          <w:rFonts w:hint="eastAsia" w:ascii="Times New Roman" w:hAnsi="Times New Roman" w:eastAsia="宋体" w:cs="Times New Roman"/>
          <w:b/>
          <w:bCs/>
          <w:kern w:val="0"/>
          <w:sz w:val="21"/>
          <w:szCs w:val="21"/>
          <w:lang w:val="en-US" w:eastAsia="zh-CN"/>
        </w:rPr>
        <w:t>evaluation</w:t>
      </w:r>
      <w:r>
        <w:rPr>
          <w:rFonts w:hint="default" w:ascii="Times New Roman" w:hAnsi="Times New Roman" w:eastAsia="宋体" w:cs="Times New Roman"/>
          <w:b/>
          <w:bCs/>
          <w:kern w:val="0"/>
          <w:sz w:val="21"/>
          <w:szCs w:val="21"/>
          <w:lang w:val="en-US" w:eastAsia="zh-CN"/>
        </w:rPr>
        <w:t xml:space="preserve"> requirement is the same as the MR serving cell measurement requirements.</w:t>
      </w:r>
    </w:p>
    <w:p w14:paraId="2155D9F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12</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 to define </w:t>
      </w:r>
      <w:r>
        <w:rPr>
          <w:rFonts w:hint="eastAsia" w:ascii="Times New Roman" w:hAnsi="Times New Roman" w:eastAsia="宋体" w:cs="Times New Roman"/>
          <w:b/>
          <w:bCs/>
          <w:kern w:val="0"/>
          <w:sz w:val="21"/>
          <w:szCs w:val="21"/>
        </w:rPr>
        <w:t>multiple scaling factor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values</w:t>
      </w:r>
      <w:r>
        <w:rPr>
          <w:rFonts w:hint="eastAsia" w:ascii="Times New Roman" w:hAnsi="Times New Roman" w:eastAsia="宋体" w:cs="Times New Roman"/>
          <w:b/>
          <w:bCs/>
          <w:kern w:val="0"/>
          <w:sz w:val="21"/>
          <w:szCs w:val="21"/>
          <w:lang w:val="en-US" w:eastAsia="zh-CN"/>
        </w:rPr>
        <w:t xml:space="preserve"> for MR RRM relaxation in case3</w:t>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while the</w:t>
      </w:r>
      <w:r>
        <w:rPr>
          <w:rFonts w:hint="eastAsia" w:ascii="Times New Roman" w:hAnsi="Times New Roman" w:eastAsia="宋体" w:cs="Times New Roman"/>
          <w:b/>
          <w:bCs/>
          <w:kern w:val="0"/>
          <w:sz w:val="21"/>
          <w:szCs w:val="21"/>
        </w:rPr>
        <w:t xml:space="preserve"> value depends on DRX cycle length</w:t>
      </w:r>
      <w:r>
        <w:rPr>
          <w:rFonts w:hint="eastAsia" w:ascii="Times New Roman" w:hAnsi="Times New Roman" w:eastAsia="宋体" w:cs="Times New Roman"/>
          <w:b/>
          <w:bCs/>
          <w:kern w:val="0"/>
          <w:sz w:val="21"/>
          <w:szCs w:val="21"/>
          <w:lang w:val="en-US" w:eastAsia="zh-CN"/>
        </w:rPr>
        <w:t>.</w:t>
      </w:r>
    </w:p>
    <w:p w14:paraId="66FB7C4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13</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RAN4 to determine the measurement accuracy in RRC_IDLE/INACTIVE state for simulation purpose, and NO need to define dedicated accuracy requirement in the performance section.</w:t>
      </w:r>
    </w:p>
    <w:p w14:paraId="20B8321D">
      <w:pPr>
        <w:pStyle w:val="57"/>
        <w:spacing w:line="288" w:lineRule="auto"/>
        <w:rPr>
          <w:rFonts w:eastAsia="宋体"/>
          <w:b/>
          <w:bCs/>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14</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No RAN4 impact of LP-WUS/WUR features in RRC_CONNECTED mode is expected.</w:t>
      </w:r>
    </w:p>
    <w:p w14:paraId="4994A3B8">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24EBF5EB">
      <w:pPr>
        <w:numPr>
          <w:ilvl w:val="0"/>
          <w:numId w:val="11"/>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R4-2420100</w:t>
      </w:r>
      <w:r>
        <w:rPr>
          <w:rFonts w:hint="eastAsia" w:ascii="Times New Roman" w:hAnsi="Times New Roman" w:eastAsia="宋体" w:cs="Times New Roman"/>
          <w:kern w:val="0"/>
          <w:sz w:val="20"/>
          <w:szCs w:val="20"/>
          <w:lang w:val="en-US" w:eastAsia="zh-CN"/>
        </w:rPr>
        <w:t>, WF on RRM requirements for NR_LPWUS</w:t>
      </w:r>
      <w:r>
        <w:rPr>
          <w:rFonts w:ascii="Times New Roman" w:hAnsi="Times New Roman" w:eastAsia="宋体" w:cs="Times New Roman"/>
          <w:kern w:val="0"/>
          <w:sz w:val="20"/>
          <w:szCs w:val="20"/>
          <w:lang w:val="en-GB"/>
        </w:rPr>
        <w:t>, Vivo</w:t>
      </w:r>
    </w:p>
    <w:p w14:paraId="0463970C">
      <w:pPr>
        <w:numPr>
          <w:ilvl w:val="0"/>
          <w:numId w:val="11"/>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R4-2414909</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LP-WUS operation in IDLE/INACTIVE mode</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RAN1</w:t>
      </w:r>
    </w:p>
    <w:p w14:paraId="2687270D">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0"/>
        <w:rPr>
          <w:rFonts w:hint="default" w:ascii="Times New Roman" w:hAnsi="Times New Roman"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53C8D"/>
    <w:multiLevelType w:val="multilevel"/>
    <w:tmpl w:val="11453C8D"/>
    <w:lvl w:ilvl="0" w:tentative="0">
      <w:start w:val="1"/>
      <w:numFmt w:val="bullet"/>
      <w:lvlText w:val="o"/>
      <w:lvlJc w:val="left"/>
      <w:pPr>
        <w:tabs>
          <w:tab w:val="left" w:pos="720"/>
        </w:tabs>
        <w:ind w:left="720" w:hanging="360"/>
      </w:pPr>
      <w:rPr>
        <w:rFonts w:hint="default" w:ascii="Courier New" w:hAnsi="Courier New" w:cs="Courier New"/>
        <w:sz w:val="20"/>
      </w:rPr>
    </w:lvl>
    <w:lvl w:ilvl="1" w:tentative="0">
      <w:start w:val="1"/>
      <w:numFmt w:val="bullet"/>
      <w:lvlText w:val="o"/>
      <w:lvlJc w:val="left"/>
      <w:pPr>
        <w:tabs>
          <w:tab w:val="left" w:pos="1440"/>
        </w:tabs>
        <w:ind w:left="1477"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917"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77" w:hanging="360"/>
      </w:pPr>
      <w:rPr>
        <w:rFonts w:hint="default" w:ascii="Wingdings" w:hAnsi="Wingdings"/>
        <w:sz w:val="20"/>
      </w:rPr>
    </w:lvl>
    <w:lvl w:ilvl="7" w:tentative="0">
      <w:start w:val="1"/>
      <w:numFmt w:val="bullet"/>
      <w:lvlText w:val=""/>
      <w:lvlJc w:val="left"/>
      <w:pPr>
        <w:tabs>
          <w:tab w:val="left" w:pos="5760"/>
        </w:tabs>
        <w:ind w:left="5797" w:hanging="360"/>
      </w:pPr>
      <w:rPr>
        <w:rFonts w:hint="default" w:ascii="Wingdings" w:hAnsi="Wingdings"/>
        <w:sz w:val="20"/>
      </w:rPr>
    </w:lvl>
    <w:lvl w:ilvl="8" w:tentative="0">
      <w:start w:val="1"/>
      <w:numFmt w:val="bullet"/>
      <w:lvlText w:val=""/>
      <w:lvlJc w:val="left"/>
      <w:pPr>
        <w:tabs>
          <w:tab w:val="left" w:pos="6480"/>
        </w:tabs>
        <w:ind w:left="6517" w:hanging="360"/>
      </w:pPr>
      <w:rPr>
        <w:rFonts w:hint="default" w:ascii="Wingdings" w:hAnsi="Wingdings"/>
        <w:sz w:val="20"/>
      </w:rPr>
    </w:lvl>
  </w:abstractNum>
  <w:abstractNum w:abstractNumId="1">
    <w:nsid w:val="2DDC3A81"/>
    <w:multiLevelType w:val="singleLevel"/>
    <w:tmpl w:val="2DDC3A81"/>
    <w:lvl w:ilvl="0" w:tentative="0">
      <w:start w:val="1"/>
      <w:numFmt w:val="bullet"/>
      <w:lvlText w:val=""/>
      <w:lvlJc w:val="left"/>
      <w:pPr>
        <w:ind w:left="420" w:hanging="420"/>
      </w:pPr>
      <w:rPr>
        <w:rFonts w:hint="default" w:ascii="Wingdings" w:hAnsi="Wingdings"/>
      </w:rPr>
    </w:lvl>
  </w:abstractNum>
  <w:abstractNum w:abstractNumId="2">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E8B4C0"/>
    <w:multiLevelType w:val="singleLevel"/>
    <w:tmpl w:val="41E8B4C0"/>
    <w:lvl w:ilvl="0" w:tentative="0">
      <w:start w:val="1"/>
      <w:numFmt w:val="bullet"/>
      <w:lvlText w:val=""/>
      <w:lvlJc w:val="left"/>
      <w:pPr>
        <w:ind w:left="420" w:leftChars="0" w:hanging="420" w:firstLineChars="0"/>
      </w:pPr>
      <w:rPr>
        <w:rFonts w:hint="default" w:ascii="Wingdings" w:hAnsi="Wingdings" w:cs="Wingdings"/>
      </w:rPr>
    </w:lvl>
  </w:abstractNum>
  <w:abstractNum w:abstractNumId="5">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trike w:val="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2E33A1"/>
    <w:multiLevelType w:val="multilevel"/>
    <w:tmpl w:val="5B2E33A1"/>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6BEBA"/>
    <w:multiLevelType w:val="singleLevel"/>
    <w:tmpl w:val="7606BEBA"/>
    <w:lvl w:ilvl="0" w:tentative="0">
      <w:start w:val="1"/>
      <w:numFmt w:val="decimal"/>
      <w:suff w:val="space"/>
      <w:lvlText w:val="[%1]"/>
      <w:lvlJc w:val="left"/>
    </w:lvl>
  </w:abstractNum>
  <w:abstractNum w:abstractNumId="10">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8"/>
  </w:num>
  <w:num w:numId="3">
    <w:abstractNumId w:val="3"/>
  </w:num>
  <w:num w:numId="4">
    <w:abstractNumId w:val="1"/>
  </w:num>
  <w:num w:numId="5">
    <w:abstractNumId w:val="2"/>
  </w:num>
  <w:num w:numId="6">
    <w:abstractNumId w:val="10"/>
  </w:num>
  <w:num w:numId="7">
    <w:abstractNumId w:val="6"/>
  </w:num>
  <w:num w:numId="8">
    <w:abstractNumId w:val="0"/>
  </w:num>
  <w:num w:numId="9">
    <w:abstractNumId w:val="4"/>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037B"/>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1ADD"/>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2F7"/>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3B4944"/>
    <w:rsid w:val="015554A4"/>
    <w:rsid w:val="01675739"/>
    <w:rsid w:val="018D0F17"/>
    <w:rsid w:val="019424BE"/>
    <w:rsid w:val="01992300"/>
    <w:rsid w:val="01AB3C8D"/>
    <w:rsid w:val="01AF7682"/>
    <w:rsid w:val="01CA216C"/>
    <w:rsid w:val="021F7DC1"/>
    <w:rsid w:val="02317AF5"/>
    <w:rsid w:val="0232479F"/>
    <w:rsid w:val="024A4392"/>
    <w:rsid w:val="024C1B2A"/>
    <w:rsid w:val="025A704C"/>
    <w:rsid w:val="02751A20"/>
    <w:rsid w:val="027C4921"/>
    <w:rsid w:val="028440C8"/>
    <w:rsid w:val="02847158"/>
    <w:rsid w:val="0286604A"/>
    <w:rsid w:val="02906164"/>
    <w:rsid w:val="02932DBE"/>
    <w:rsid w:val="02987B74"/>
    <w:rsid w:val="02D06700"/>
    <w:rsid w:val="02D44AE2"/>
    <w:rsid w:val="03365100"/>
    <w:rsid w:val="035E700F"/>
    <w:rsid w:val="03913E39"/>
    <w:rsid w:val="039651F2"/>
    <w:rsid w:val="03B15391"/>
    <w:rsid w:val="03C2588D"/>
    <w:rsid w:val="03D50B20"/>
    <w:rsid w:val="040D42FA"/>
    <w:rsid w:val="04194A97"/>
    <w:rsid w:val="04912ACD"/>
    <w:rsid w:val="04A22E57"/>
    <w:rsid w:val="04E83035"/>
    <w:rsid w:val="0511629C"/>
    <w:rsid w:val="05312E47"/>
    <w:rsid w:val="053A445F"/>
    <w:rsid w:val="058E038E"/>
    <w:rsid w:val="0591353A"/>
    <w:rsid w:val="05A827C4"/>
    <w:rsid w:val="05CC64B2"/>
    <w:rsid w:val="05D43646"/>
    <w:rsid w:val="05D9200B"/>
    <w:rsid w:val="05E82BC0"/>
    <w:rsid w:val="06251C12"/>
    <w:rsid w:val="063B3638"/>
    <w:rsid w:val="06437F8E"/>
    <w:rsid w:val="065B3392"/>
    <w:rsid w:val="06AA3860"/>
    <w:rsid w:val="06C802DE"/>
    <w:rsid w:val="06D03D80"/>
    <w:rsid w:val="06E51FA0"/>
    <w:rsid w:val="071A0439"/>
    <w:rsid w:val="072C7CBE"/>
    <w:rsid w:val="07466F91"/>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EC29C7"/>
    <w:rsid w:val="08F43C68"/>
    <w:rsid w:val="092B4153"/>
    <w:rsid w:val="094674BE"/>
    <w:rsid w:val="09851C55"/>
    <w:rsid w:val="09A84B40"/>
    <w:rsid w:val="0A021F2E"/>
    <w:rsid w:val="0A0C7595"/>
    <w:rsid w:val="0A404F63"/>
    <w:rsid w:val="0A4B46A5"/>
    <w:rsid w:val="0A673EF3"/>
    <w:rsid w:val="0A6A4914"/>
    <w:rsid w:val="0A8607D0"/>
    <w:rsid w:val="0AA0435D"/>
    <w:rsid w:val="0AA678D8"/>
    <w:rsid w:val="0ABA0FCF"/>
    <w:rsid w:val="0AE24082"/>
    <w:rsid w:val="0AF33A92"/>
    <w:rsid w:val="0B1245E8"/>
    <w:rsid w:val="0B1A7CC0"/>
    <w:rsid w:val="0B3F3282"/>
    <w:rsid w:val="0B454EBC"/>
    <w:rsid w:val="0B792C38"/>
    <w:rsid w:val="0B901D30"/>
    <w:rsid w:val="0C060244"/>
    <w:rsid w:val="0C5228E6"/>
    <w:rsid w:val="0C646A30"/>
    <w:rsid w:val="0CB657C6"/>
    <w:rsid w:val="0CCB7EBA"/>
    <w:rsid w:val="0CF31220"/>
    <w:rsid w:val="0D0E5602"/>
    <w:rsid w:val="0D2E1801"/>
    <w:rsid w:val="0D636733"/>
    <w:rsid w:val="0D9A50E8"/>
    <w:rsid w:val="0DE63E89"/>
    <w:rsid w:val="0DF30354"/>
    <w:rsid w:val="0E157954"/>
    <w:rsid w:val="0E9C279A"/>
    <w:rsid w:val="0EA3649A"/>
    <w:rsid w:val="0EC5388C"/>
    <w:rsid w:val="0ECE1FF2"/>
    <w:rsid w:val="0ED13166"/>
    <w:rsid w:val="0EDD4F42"/>
    <w:rsid w:val="0EDE4A54"/>
    <w:rsid w:val="0EE96F6A"/>
    <w:rsid w:val="0F411287"/>
    <w:rsid w:val="0F4277E5"/>
    <w:rsid w:val="0F4D3059"/>
    <w:rsid w:val="0F5721C2"/>
    <w:rsid w:val="0F917DE8"/>
    <w:rsid w:val="0F98794A"/>
    <w:rsid w:val="0FE67F22"/>
    <w:rsid w:val="0FFE157A"/>
    <w:rsid w:val="0FFF1232"/>
    <w:rsid w:val="101C3B92"/>
    <w:rsid w:val="10472434"/>
    <w:rsid w:val="105F7F23"/>
    <w:rsid w:val="10695DE3"/>
    <w:rsid w:val="10E072B6"/>
    <w:rsid w:val="10FC65BF"/>
    <w:rsid w:val="1102255C"/>
    <w:rsid w:val="1102722C"/>
    <w:rsid w:val="113A1FFC"/>
    <w:rsid w:val="114137A5"/>
    <w:rsid w:val="11765524"/>
    <w:rsid w:val="117A279C"/>
    <w:rsid w:val="11812847"/>
    <w:rsid w:val="119C1380"/>
    <w:rsid w:val="11BA012C"/>
    <w:rsid w:val="11F56B6F"/>
    <w:rsid w:val="11FF38A7"/>
    <w:rsid w:val="124473CE"/>
    <w:rsid w:val="12BB5C75"/>
    <w:rsid w:val="12C97B2F"/>
    <w:rsid w:val="12FE3A23"/>
    <w:rsid w:val="13BB36C2"/>
    <w:rsid w:val="13F605DA"/>
    <w:rsid w:val="14410B0B"/>
    <w:rsid w:val="144933C4"/>
    <w:rsid w:val="145F04F1"/>
    <w:rsid w:val="14670F3B"/>
    <w:rsid w:val="146A15A7"/>
    <w:rsid w:val="14A2292A"/>
    <w:rsid w:val="14A5684C"/>
    <w:rsid w:val="14BC1DE8"/>
    <w:rsid w:val="14C30A80"/>
    <w:rsid w:val="14E153AA"/>
    <w:rsid w:val="14ED01F3"/>
    <w:rsid w:val="150F6DF8"/>
    <w:rsid w:val="15227E9D"/>
    <w:rsid w:val="157E6A6B"/>
    <w:rsid w:val="15E05AE5"/>
    <w:rsid w:val="15E07B35"/>
    <w:rsid w:val="15FA088E"/>
    <w:rsid w:val="15FA2BC8"/>
    <w:rsid w:val="166149F5"/>
    <w:rsid w:val="16B378B2"/>
    <w:rsid w:val="16B81BF6"/>
    <w:rsid w:val="16EF3DAF"/>
    <w:rsid w:val="170A0BE8"/>
    <w:rsid w:val="17A728DB"/>
    <w:rsid w:val="17C658F7"/>
    <w:rsid w:val="184B5853"/>
    <w:rsid w:val="185B4B6F"/>
    <w:rsid w:val="18814EDA"/>
    <w:rsid w:val="18B8156E"/>
    <w:rsid w:val="190B6E9A"/>
    <w:rsid w:val="19670F1B"/>
    <w:rsid w:val="196F3DDF"/>
    <w:rsid w:val="197113F3"/>
    <w:rsid w:val="199F2C6B"/>
    <w:rsid w:val="19A87536"/>
    <w:rsid w:val="1A425A24"/>
    <w:rsid w:val="1A633E8C"/>
    <w:rsid w:val="1A640659"/>
    <w:rsid w:val="1A6515CA"/>
    <w:rsid w:val="1A712403"/>
    <w:rsid w:val="1A8011C2"/>
    <w:rsid w:val="1AA2738A"/>
    <w:rsid w:val="1AB23A71"/>
    <w:rsid w:val="1AB72134"/>
    <w:rsid w:val="1AB8095B"/>
    <w:rsid w:val="1ABF2F84"/>
    <w:rsid w:val="1AF54531"/>
    <w:rsid w:val="1B0C144B"/>
    <w:rsid w:val="1B401473"/>
    <w:rsid w:val="1B446693"/>
    <w:rsid w:val="1B701236"/>
    <w:rsid w:val="1BC02022"/>
    <w:rsid w:val="1BCA6B98"/>
    <w:rsid w:val="1BEB72C3"/>
    <w:rsid w:val="1C0876C1"/>
    <w:rsid w:val="1C454471"/>
    <w:rsid w:val="1C533C31"/>
    <w:rsid w:val="1C6610B9"/>
    <w:rsid w:val="1C6629EC"/>
    <w:rsid w:val="1CA04129"/>
    <w:rsid w:val="1CAA195F"/>
    <w:rsid w:val="1D272240"/>
    <w:rsid w:val="1D28626C"/>
    <w:rsid w:val="1D46765C"/>
    <w:rsid w:val="1D993B3A"/>
    <w:rsid w:val="1DD575F8"/>
    <w:rsid w:val="1E0B5246"/>
    <w:rsid w:val="1E875D40"/>
    <w:rsid w:val="1EBB7F97"/>
    <w:rsid w:val="1ED41491"/>
    <w:rsid w:val="1EDB5E25"/>
    <w:rsid w:val="1EE91A2B"/>
    <w:rsid w:val="1F176423"/>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7393A"/>
    <w:rsid w:val="20DE15FA"/>
    <w:rsid w:val="21052421"/>
    <w:rsid w:val="21185B88"/>
    <w:rsid w:val="21464CF5"/>
    <w:rsid w:val="217001E2"/>
    <w:rsid w:val="218B501C"/>
    <w:rsid w:val="21971062"/>
    <w:rsid w:val="2198240B"/>
    <w:rsid w:val="21F26E49"/>
    <w:rsid w:val="22AC524A"/>
    <w:rsid w:val="22B937E1"/>
    <w:rsid w:val="22C97BAA"/>
    <w:rsid w:val="22D14E7D"/>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E45468"/>
    <w:rsid w:val="24F07BEB"/>
    <w:rsid w:val="24F41CD4"/>
    <w:rsid w:val="252D58FF"/>
    <w:rsid w:val="254554E2"/>
    <w:rsid w:val="25487AEF"/>
    <w:rsid w:val="25B368EF"/>
    <w:rsid w:val="25C428AA"/>
    <w:rsid w:val="265359DC"/>
    <w:rsid w:val="267714EA"/>
    <w:rsid w:val="267E514F"/>
    <w:rsid w:val="267F67D1"/>
    <w:rsid w:val="2680013C"/>
    <w:rsid w:val="26C27851"/>
    <w:rsid w:val="27233601"/>
    <w:rsid w:val="2725381D"/>
    <w:rsid w:val="27271343"/>
    <w:rsid w:val="272730F1"/>
    <w:rsid w:val="272B46EB"/>
    <w:rsid w:val="27627DA1"/>
    <w:rsid w:val="278B7B24"/>
    <w:rsid w:val="27B801ED"/>
    <w:rsid w:val="27D84E93"/>
    <w:rsid w:val="27E26502"/>
    <w:rsid w:val="28013942"/>
    <w:rsid w:val="280A144A"/>
    <w:rsid w:val="282201FE"/>
    <w:rsid w:val="28417D61"/>
    <w:rsid w:val="28506677"/>
    <w:rsid w:val="28564FB5"/>
    <w:rsid w:val="28625E43"/>
    <w:rsid w:val="28687E65"/>
    <w:rsid w:val="288144C0"/>
    <w:rsid w:val="291853E7"/>
    <w:rsid w:val="2919115F"/>
    <w:rsid w:val="291E0523"/>
    <w:rsid w:val="2931267D"/>
    <w:rsid w:val="296F6B21"/>
    <w:rsid w:val="297206B2"/>
    <w:rsid w:val="298A635B"/>
    <w:rsid w:val="29AF078E"/>
    <w:rsid w:val="29CA4207"/>
    <w:rsid w:val="29D7493D"/>
    <w:rsid w:val="29DE24E2"/>
    <w:rsid w:val="2A1025F9"/>
    <w:rsid w:val="2A286F0C"/>
    <w:rsid w:val="2ABB0FF3"/>
    <w:rsid w:val="2B006133"/>
    <w:rsid w:val="2B17347C"/>
    <w:rsid w:val="2B27367F"/>
    <w:rsid w:val="2B2C6A15"/>
    <w:rsid w:val="2B415FA0"/>
    <w:rsid w:val="2B4A5600"/>
    <w:rsid w:val="2B4C75CA"/>
    <w:rsid w:val="2B744BDD"/>
    <w:rsid w:val="2B8A00F2"/>
    <w:rsid w:val="2B966A97"/>
    <w:rsid w:val="2BB32A71"/>
    <w:rsid w:val="2BB95357"/>
    <w:rsid w:val="2BE31145"/>
    <w:rsid w:val="2BE321D0"/>
    <w:rsid w:val="2BE710A1"/>
    <w:rsid w:val="2C057779"/>
    <w:rsid w:val="2C1874AC"/>
    <w:rsid w:val="2C1B0D4A"/>
    <w:rsid w:val="2C307EA2"/>
    <w:rsid w:val="2C3D10A4"/>
    <w:rsid w:val="2C4924BF"/>
    <w:rsid w:val="2C74691D"/>
    <w:rsid w:val="2CA70830"/>
    <w:rsid w:val="2CEB492D"/>
    <w:rsid w:val="2D3622E0"/>
    <w:rsid w:val="2D572256"/>
    <w:rsid w:val="2D5725D5"/>
    <w:rsid w:val="2D9A0C84"/>
    <w:rsid w:val="2DC36921"/>
    <w:rsid w:val="2DCA7799"/>
    <w:rsid w:val="2DD107CA"/>
    <w:rsid w:val="2E3177EF"/>
    <w:rsid w:val="2E4C739F"/>
    <w:rsid w:val="2E5A3DAC"/>
    <w:rsid w:val="2E7330BF"/>
    <w:rsid w:val="2E8261B4"/>
    <w:rsid w:val="2EB8678E"/>
    <w:rsid w:val="2F1946CF"/>
    <w:rsid w:val="2F1B2E6A"/>
    <w:rsid w:val="2F257B78"/>
    <w:rsid w:val="2F260139"/>
    <w:rsid w:val="2F2D0284"/>
    <w:rsid w:val="2F57653D"/>
    <w:rsid w:val="2F6C3452"/>
    <w:rsid w:val="2F8379E0"/>
    <w:rsid w:val="2F862D95"/>
    <w:rsid w:val="2FA66A7B"/>
    <w:rsid w:val="2FAA1397"/>
    <w:rsid w:val="2FC21B1A"/>
    <w:rsid w:val="2FDA78F1"/>
    <w:rsid w:val="30002935"/>
    <w:rsid w:val="30087664"/>
    <w:rsid w:val="301A5EE8"/>
    <w:rsid w:val="301D445D"/>
    <w:rsid w:val="306B6443"/>
    <w:rsid w:val="306D64D8"/>
    <w:rsid w:val="308D6684"/>
    <w:rsid w:val="30B4631B"/>
    <w:rsid w:val="30B654E5"/>
    <w:rsid w:val="30F54260"/>
    <w:rsid w:val="30FD7822"/>
    <w:rsid w:val="31565442"/>
    <w:rsid w:val="318C0CAF"/>
    <w:rsid w:val="3199108F"/>
    <w:rsid w:val="31EA18EB"/>
    <w:rsid w:val="31F70BA5"/>
    <w:rsid w:val="321E144D"/>
    <w:rsid w:val="321E57AE"/>
    <w:rsid w:val="3252386D"/>
    <w:rsid w:val="3268280F"/>
    <w:rsid w:val="327613D0"/>
    <w:rsid w:val="327B6CC5"/>
    <w:rsid w:val="328B4E7C"/>
    <w:rsid w:val="32C24615"/>
    <w:rsid w:val="32D50E1D"/>
    <w:rsid w:val="32F171E0"/>
    <w:rsid w:val="32F64767"/>
    <w:rsid w:val="33135238"/>
    <w:rsid w:val="33437E6D"/>
    <w:rsid w:val="335F1862"/>
    <w:rsid w:val="336D27D3"/>
    <w:rsid w:val="33707BCD"/>
    <w:rsid w:val="337C4CB1"/>
    <w:rsid w:val="338A4613"/>
    <w:rsid w:val="33906854"/>
    <w:rsid w:val="339607A9"/>
    <w:rsid w:val="33B32D68"/>
    <w:rsid w:val="33B76D89"/>
    <w:rsid w:val="33CA653C"/>
    <w:rsid w:val="33F76957"/>
    <w:rsid w:val="34164C19"/>
    <w:rsid w:val="343246A5"/>
    <w:rsid w:val="344003D4"/>
    <w:rsid w:val="344F3C87"/>
    <w:rsid w:val="346516FC"/>
    <w:rsid w:val="347C1ADD"/>
    <w:rsid w:val="34853B4C"/>
    <w:rsid w:val="34A41356"/>
    <w:rsid w:val="35026F4B"/>
    <w:rsid w:val="350B7168"/>
    <w:rsid w:val="35202C81"/>
    <w:rsid w:val="3563768A"/>
    <w:rsid w:val="356B0126"/>
    <w:rsid w:val="356B4AF0"/>
    <w:rsid w:val="35763E83"/>
    <w:rsid w:val="35CD7559"/>
    <w:rsid w:val="36021581"/>
    <w:rsid w:val="364041CF"/>
    <w:rsid w:val="365C044F"/>
    <w:rsid w:val="36810E01"/>
    <w:rsid w:val="36D93CDC"/>
    <w:rsid w:val="36DF3AA7"/>
    <w:rsid w:val="36F570EA"/>
    <w:rsid w:val="36FA26E2"/>
    <w:rsid w:val="370C1A14"/>
    <w:rsid w:val="3732773C"/>
    <w:rsid w:val="377834F5"/>
    <w:rsid w:val="37933EE8"/>
    <w:rsid w:val="37B704C1"/>
    <w:rsid w:val="37F012DD"/>
    <w:rsid w:val="382471D8"/>
    <w:rsid w:val="389735C6"/>
    <w:rsid w:val="38BF6164"/>
    <w:rsid w:val="38E50D7D"/>
    <w:rsid w:val="38F06C9A"/>
    <w:rsid w:val="391334A5"/>
    <w:rsid w:val="39361575"/>
    <w:rsid w:val="393C5B33"/>
    <w:rsid w:val="3951224F"/>
    <w:rsid w:val="396C7089"/>
    <w:rsid w:val="39B27192"/>
    <w:rsid w:val="39B5032A"/>
    <w:rsid w:val="39CF05D0"/>
    <w:rsid w:val="3A1219DE"/>
    <w:rsid w:val="3A1570EE"/>
    <w:rsid w:val="3A685AA2"/>
    <w:rsid w:val="3A746BF3"/>
    <w:rsid w:val="3A8F302F"/>
    <w:rsid w:val="3A96260F"/>
    <w:rsid w:val="3AE0388B"/>
    <w:rsid w:val="3B1A1C29"/>
    <w:rsid w:val="3B2C6AD0"/>
    <w:rsid w:val="3B554563"/>
    <w:rsid w:val="3B831115"/>
    <w:rsid w:val="3B8765B4"/>
    <w:rsid w:val="3B8C4E0F"/>
    <w:rsid w:val="3B9D177C"/>
    <w:rsid w:val="3BAE1BDB"/>
    <w:rsid w:val="3BBF16F2"/>
    <w:rsid w:val="3BC1190E"/>
    <w:rsid w:val="3C1974AA"/>
    <w:rsid w:val="3C33231E"/>
    <w:rsid w:val="3C5B03D9"/>
    <w:rsid w:val="3CC82EE6"/>
    <w:rsid w:val="3CE64768"/>
    <w:rsid w:val="3CE917DC"/>
    <w:rsid w:val="3CFA7B97"/>
    <w:rsid w:val="3D0F2205"/>
    <w:rsid w:val="3D404AB5"/>
    <w:rsid w:val="3D482C92"/>
    <w:rsid w:val="3D540560"/>
    <w:rsid w:val="3D557755"/>
    <w:rsid w:val="3D626340"/>
    <w:rsid w:val="3D6822D8"/>
    <w:rsid w:val="3D693C6C"/>
    <w:rsid w:val="3D8F3346"/>
    <w:rsid w:val="3DE6565C"/>
    <w:rsid w:val="3E1E2514"/>
    <w:rsid w:val="3E2241BA"/>
    <w:rsid w:val="3E410AE4"/>
    <w:rsid w:val="3E412892"/>
    <w:rsid w:val="3E4F1453"/>
    <w:rsid w:val="3E6F7B87"/>
    <w:rsid w:val="3E907376"/>
    <w:rsid w:val="3ED7645B"/>
    <w:rsid w:val="3ED86102"/>
    <w:rsid w:val="3EF913BF"/>
    <w:rsid w:val="3F051B12"/>
    <w:rsid w:val="3F0B7E50"/>
    <w:rsid w:val="3F1538A4"/>
    <w:rsid w:val="3F275F2C"/>
    <w:rsid w:val="3F7877A9"/>
    <w:rsid w:val="3FC96FE3"/>
    <w:rsid w:val="3FD339BE"/>
    <w:rsid w:val="3FE26F6C"/>
    <w:rsid w:val="3FE94F8F"/>
    <w:rsid w:val="401D4517"/>
    <w:rsid w:val="4046336F"/>
    <w:rsid w:val="404B5C4A"/>
    <w:rsid w:val="4055509E"/>
    <w:rsid w:val="409C0597"/>
    <w:rsid w:val="40AA3C0C"/>
    <w:rsid w:val="40D439F8"/>
    <w:rsid w:val="40D54F73"/>
    <w:rsid w:val="40F736DC"/>
    <w:rsid w:val="40FA41D3"/>
    <w:rsid w:val="4114110C"/>
    <w:rsid w:val="412A78D1"/>
    <w:rsid w:val="413B1D38"/>
    <w:rsid w:val="41676AB4"/>
    <w:rsid w:val="417D58F7"/>
    <w:rsid w:val="41DF73B7"/>
    <w:rsid w:val="41FE630B"/>
    <w:rsid w:val="421A3B26"/>
    <w:rsid w:val="42215E43"/>
    <w:rsid w:val="42362E92"/>
    <w:rsid w:val="423B423F"/>
    <w:rsid w:val="42532B34"/>
    <w:rsid w:val="427A6373"/>
    <w:rsid w:val="427E23AB"/>
    <w:rsid w:val="42C770F1"/>
    <w:rsid w:val="432C269E"/>
    <w:rsid w:val="436A4639"/>
    <w:rsid w:val="439B3F9B"/>
    <w:rsid w:val="43B97970"/>
    <w:rsid w:val="43D33214"/>
    <w:rsid w:val="43D558A5"/>
    <w:rsid w:val="43E50164"/>
    <w:rsid w:val="441909AD"/>
    <w:rsid w:val="4442271D"/>
    <w:rsid w:val="444A4E9B"/>
    <w:rsid w:val="44911538"/>
    <w:rsid w:val="44A65137"/>
    <w:rsid w:val="44AF21C8"/>
    <w:rsid w:val="44CE5425"/>
    <w:rsid w:val="44E25ED9"/>
    <w:rsid w:val="45476DEF"/>
    <w:rsid w:val="45594965"/>
    <w:rsid w:val="45832219"/>
    <w:rsid w:val="45B80FBE"/>
    <w:rsid w:val="45C81AEB"/>
    <w:rsid w:val="45DF1F1C"/>
    <w:rsid w:val="460A43BB"/>
    <w:rsid w:val="460B5316"/>
    <w:rsid w:val="463A4797"/>
    <w:rsid w:val="46412B93"/>
    <w:rsid w:val="464C0B8F"/>
    <w:rsid w:val="468E6891"/>
    <w:rsid w:val="4693757A"/>
    <w:rsid w:val="46DD15C6"/>
    <w:rsid w:val="46E464B1"/>
    <w:rsid w:val="47060B1D"/>
    <w:rsid w:val="473311E6"/>
    <w:rsid w:val="479F7290"/>
    <w:rsid w:val="47A01169"/>
    <w:rsid w:val="47B74AF5"/>
    <w:rsid w:val="47CD5C3B"/>
    <w:rsid w:val="47D30184"/>
    <w:rsid w:val="47D56E67"/>
    <w:rsid w:val="47F25C04"/>
    <w:rsid w:val="47FD7017"/>
    <w:rsid w:val="48030563"/>
    <w:rsid w:val="480E05ED"/>
    <w:rsid w:val="48141018"/>
    <w:rsid w:val="482466C7"/>
    <w:rsid w:val="48256920"/>
    <w:rsid w:val="48417653"/>
    <w:rsid w:val="48757D08"/>
    <w:rsid w:val="487853DA"/>
    <w:rsid w:val="48790E7B"/>
    <w:rsid w:val="48813B83"/>
    <w:rsid w:val="48B3768C"/>
    <w:rsid w:val="48D013E2"/>
    <w:rsid w:val="48E534F9"/>
    <w:rsid w:val="49262DB0"/>
    <w:rsid w:val="49291733"/>
    <w:rsid w:val="493B09DC"/>
    <w:rsid w:val="495262D2"/>
    <w:rsid w:val="49596459"/>
    <w:rsid w:val="49604537"/>
    <w:rsid w:val="498D2E30"/>
    <w:rsid w:val="49C34AA3"/>
    <w:rsid w:val="49D10E80"/>
    <w:rsid w:val="49EF4246"/>
    <w:rsid w:val="4A30453E"/>
    <w:rsid w:val="4A6B407C"/>
    <w:rsid w:val="4A7464D6"/>
    <w:rsid w:val="4A7C7060"/>
    <w:rsid w:val="4A8E6E5F"/>
    <w:rsid w:val="4A9C1109"/>
    <w:rsid w:val="4B0E0E54"/>
    <w:rsid w:val="4B517E8D"/>
    <w:rsid w:val="4BCD39B7"/>
    <w:rsid w:val="4BD313E0"/>
    <w:rsid w:val="4BEB02E1"/>
    <w:rsid w:val="4BFE00D6"/>
    <w:rsid w:val="4C2D252F"/>
    <w:rsid w:val="4C40062D"/>
    <w:rsid w:val="4C5238CB"/>
    <w:rsid w:val="4C59524B"/>
    <w:rsid w:val="4C6F1CFA"/>
    <w:rsid w:val="4C7C718B"/>
    <w:rsid w:val="4C950865"/>
    <w:rsid w:val="4CA2749F"/>
    <w:rsid w:val="4CF966F1"/>
    <w:rsid w:val="4D2E492A"/>
    <w:rsid w:val="4D4203D5"/>
    <w:rsid w:val="4D48035B"/>
    <w:rsid w:val="4D4C2C93"/>
    <w:rsid w:val="4D6B3488"/>
    <w:rsid w:val="4D844549"/>
    <w:rsid w:val="4DE52170"/>
    <w:rsid w:val="4DF41807"/>
    <w:rsid w:val="4E05556E"/>
    <w:rsid w:val="4E1458CD"/>
    <w:rsid w:val="4E3E562F"/>
    <w:rsid w:val="4E451F2B"/>
    <w:rsid w:val="4EA54FDB"/>
    <w:rsid w:val="4EBD3AB8"/>
    <w:rsid w:val="4EC138D9"/>
    <w:rsid w:val="4EC56BC8"/>
    <w:rsid w:val="4EC67822"/>
    <w:rsid w:val="4F036055"/>
    <w:rsid w:val="4F3B332E"/>
    <w:rsid w:val="4F4E005F"/>
    <w:rsid w:val="4F6C798B"/>
    <w:rsid w:val="4F894099"/>
    <w:rsid w:val="4FED36EF"/>
    <w:rsid w:val="4FF12BA5"/>
    <w:rsid w:val="4FF83CE5"/>
    <w:rsid w:val="50192F9D"/>
    <w:rsid w:val="509B2AE5"/>
    <w:rsid w:val="50A40D66"/>
    <w:rsid w:val="50A410CE"/>
    <w:rsid w:val="50C3571D"/>
    <w:rsid w:val="50FF5CC6"/>
    <w:rsid w:val="51055641"/>
    <w:rsid w:val="517329AF"/>
    <w:rsid w:val="5177331C"/>
    <w:rsid w:val="51992F95"/>
    <w:rsid w:val="51DB4734"/>
    <w:rsid w:val="51F55A16"/>
    <w:rsid w:val="5240491E"/>
    <w:rsid w:val="524810E8"/>
    <w:rsid w:val="525C76C9"/>
    <w:rsid w:val="52971FC1"/>
    <w:rsid w:val="52B81B37"/>
    <w:rsid w:val="52C80068"/>
    <w:rsid w:val="52E96A4D"/>
    <w:rsid w:val="52F34C55"/>
    <w:rsid w:val="5310681A"/>
    <w:rsid w:val="53143F28"/>
    <w:rsid w:val="535128C9"/>
    <w:rsid w:val="53567FA8"/>
    <w:rsid w:val="53647EC7"/>
    <w:rsid w:val="536B70CD"/>
    <w:rsid w:val="537137C2"/>
    <w:rsid w:val="537A4340"/>
    <w:rsid w:val="53D252D2"/>
    <w:rsid w:val="53E45BE4"/>
    <w:rsid w:val="53F57F4F"/>
    <w:rsid w:val="540D7877"/>
    <w:rsid w:val="5415414D"/>
    <w:rsid w:val="541D74A6"/>
    <w:rsid w:val="54256D18"/>
    <w:rsid w:val="544467E1"/>
    <w:rsid w:val="54513D62"/>
    <w:rsid w:val="545A24A8"/>
    <w:rsid w:val="54691B5D"/>
    <w:rsid w:val="54696247"/>
    <w:rsid w:val="548931AE"/>
    <w:rsid w:val="54A07216"/>
    <w:rsid w:val="54C13DF7"/>
    <w:rsid w:val="55256495"/>
    <w:rsid w:val="552770F4"/>
    <w:rsid w:val="555657AC"/>
    <w:rsid w:val="55752DD3"/>
    <w:rsid w:val="55807CE7"/>
    <w:rsid w:val="5588094F"/>
    <w:rsid w:val="559B68D4"/>
    <w:rsid w:val="55A541B8"/>
    <w:rsid w:val="55D45328"/>
    <w:rsid w:val="56935B78"/>
    <w:rsid w:val="570D5C67"/>
    <w:rsid w:val="57967DD5"/>
    <w:rsid w:val="57A45728"/>
    <w:rsid w:val="57E41016"/>
    <w:rsid w:val="57F31B4D"/>
    <w:rsid w:val="580E7831"/>
    <w:rsid w:val="58397D2F"/>
    <w:rsid w:val="5842572D"/>
    <w:rsid w:val="589549C1"/>
    <w:rsid w:val="58A41F44"/>
    <w:rsid w:val="58E5406A"/>
    <w:rsid w:val="58E862D4"/>
    <w:rsid w:val="58FF18EE"/>
    <w:rsid w:val="590058FE"/>
    <w:rsid w:val="59012EF2"/>
    <w:rsid w:val="59065400"/>
    <w:rsid w:val="59617081"/>
    <w:rsid w:val="59691E36"/>
    <w:rsid w:val="5988716F"/>
    <w:rsid w:val="599205A1"/>
    <w:rsid w:val="59961CEE"/>
    <w:rsid w:val="59C75EEA"/>
    <w:rsid w:val="59FE267A"/>
    <w:rsid w:val="5A0A4142"/>
    <w:rsid w:val="5A1949F4"/>
    <w:rsid w:val="5A2E5F69"/>
    <w:rsid w:val="5A382944"/>
    <w:rsid w:val="5A554575"/>
    <w:rsid w:val="5A84202D"/>
    <w:rsid w:val="5A970AC8"/>
    <w:rsid w:val="5AC32448"/>
    <w:rsid w:val="5AC843D2"/>
    <w:rsid w:val="5ACC12DE"/>
    <w:rsid w:val="5AE35EFA"/>
    <w:rsid w:val="5AEA4E4D"/>
    <w:rsid w:val="5AF32C10"/>
    <w:rsid w:val="5B0311A3"/>
    <w:rsid w:val="5B3A26EB"/>
    <w:rsid w:val="5B9D1D5D"/>
    <w:rsid w:val="5C071976"/>
    <w:rsid w:val="5C9C18B0"/>
    <w:rsid w:val="5CA95D7B"/>
    <w:rsid w:val="5CFA0384"/>
    <w:rsid w:val="5CFE3F53"/>
    <w:rsid w:val="5D2E2574"/>
    <w:rsid w:val="5D521F6E"/>
    <w:rsid w:val="5D550132"/>
    <w:rsid w:val="5D5615C2"/>
    <w:rsid w:val="5D6A65F1"/>
    <w:rsid w:val="5D710C83"/>
    <w:rsid w:val="5DB9023F"/>
    <w:rsid w:val="5DBA34FE"/>
    <w:rsid w:val="5DBC45AF"/>
    <w:rsid w:val="5DC01EC6"/>
    <w:rsid w:val="5DC276CB"/>
    <w:rsid w:val="5DC82230"/>
    <w:rsid w:val="5DD63AC6"/>
    <w:rsid w:val="5E37288A"/>
    <w:rsid w:val="5E3C65CD"/>
    <w:rsid w:val="5E550DDF"/>
    <w:rsid w:val="5E7C4D34"/>
    <w:rsid w:val="5E960581"/>
    <w:rsid w:val="5EAF0B96"/>
    <w:rsid w:val="5ECB022A"/>
    <w:rsid w:val="5EDA1068"/>
    <w:rsid w:val="5EF63418"/>
    <w:rsid w:val="5F2913F5"/>
    <w:rsid w:val="5F772160"/>
    <w:rsid w:val="5F8328B3"/>
    <w:rsid w:val="5FBB48E4"/>
    <w:rsid w:val="5FEA69EB"/>
    <w:rsid w:val="5FFC2711"/>
    <w:rsid w:val="60673735"/>
    <w:rsid w:val="608C5797"/>
    <w:rsid w:val="60A06A72"/>
    <w:rsid w:val="60AA20C1"/>
    <w:rsid w:val="60E2732E"/>
    <w:rsid w:val="60E77D61"/>
    <w:rsid w:val="60FD5EC0"/>
    <w:rsid w:val="613B5427"/>
    <w:rsid w:val="61483465"/>
    <w:rsid w:val="61572621"/>
    <w:rsid w:val="61695AD8"/>
    <w:rsid w:val="616E494E"/>
    <w:rsid w:val="61736957"/>
    <w:rsid w:val="618735E9"/>
    <w:rsid w:val="62165C60"/>
    <w:rsid w:val="62314848"/>
    <w:rsid w:val="62851A7B"/>
    <w:rsid w:val="62A34DA8"/>
    <w:rsid w:val="62B0343B"/>
    <w:rsid w:val="62BC7E8A"/>
    <w:rsid w:val="62DB6162"/>
    <w:rsid w:val="63247F09"/>
    <w:rsid w:val="63533835"/>
    <w:rsid w:val="635A3CF1"/>
    <w:rsid w:val="637E751D"/>
    <w:rsid w:val="638C00E4"/>
    <w:rsid w:val="638C3D00"/>
    <w:rsid w:val="63A31776"/>
    <w:rsid w:val="63B97678"/>
    <w:rsid w:val="64095351"/>
    <w:rsid w:val="64354398"/>
    <w:rsid w:val="64730B57"/>
    <w:rsid w:val="64874BF3"/>
    <w:rsid w:val="64A77A42"/>
    <w:rsid w:val="64D57D88"/>
    <w:rsid w:val="64D709C5"/>
    <w:rsid w:val="65036133"/>
    <w:rsid w:val="65362BDA"/>
    <w:rsid w:val="65AC068A"/>
    <w:rsid w:val="65EB11B2"/>
    <w:rsid w:val="6632293D"/>
    <w:rsid w:val="666947EC"/>
    <w:rsid w:val="669015B7"/>
    <w:rsid w:val="669C1F39"/>
    <w:rsid w:val="66C043ED"/>
    <w:rsid w:val="66D772C4"/>
    <w:rsid w:val="66EE7979"/>
    <w:rsid w:val="66EF5AF8"/>
    <w:rsid w:val="673953EB"/>
    <w:rsid w:val="674A094A"/>
    <w:rsid w:val="675D03D3"/>
    <w:rsid w:val="6770036D"/>
    <w:rsid w:val="677B0314"/>
    <w:rsid w:val="6793337A"/>
    <w:rsid w:val="67996BF6"/>
    <w:rsid w:val="67B00EEE"/>
    <w:rsid w:val="67DB0DB2"/>
    <w:rsid w:val="67FC76A6"/>
    <w:rsid w:val="67FE7EF6"/>
    <w:rsid w:val="68543E5E"/>
    <w:rsid w:val="685E5C6B"/>
    <w:rsid w:val="68764F65"/>
    <w:rsid w:val="68826ACC"/>
    <w:rsid w:val="68863414"/>
    <w:rsid w:val="691737EF"/>
    <w:rsid w:val="692D19C3"/>
    <w:rsid w:val="69554A42"/>
    <w:rsid w:val="69643755"/>
    <w:rsid w:val="69894F6A"/>
    <w:rsid w:val="699509B7"/>
    <w:rsid w:val="69E46644"/>
    <w:rsid w:val="6A0F1D94"/>
    <w:rsid w:val="6A160DFD"/>
    <w:rsid w:val="6A1C2F60"/>
    <w:rsid w:val="6A2912F9"/>
    <w:rsid w:val="6A4946F9"/>
    <w:rsid w:val="6A841BD5"/>
    <w:rsid w:val="6B045519"/>
    <w:rsid w:val="6B0F628A"/>
    <w:rsid w:val="6B2C262A"/>
    <w:rsid w:val="6B2E5B70"/>
    <w:rsid w:val="6B3C2787"/>
    <w:rsid w:val="6B4B0599"/>
    <w:rsid w:val="6B4E646B"/>
    <w:rsid w:val="6B9320D0"/>
    <w:rsid w:val="6BE95765"/>
    <w:rsid w:val="6BF6265F"/>
    <w:rsid w:val="6C475B83"/>
    <w:rsid w:val="6C6E7319"/>
    <w:rsid w:val="6C8934D3"/>
    <w:rsid w:val="6C8D3B4B"/>
    <w:rsid w:val="6CCF6157"/>
    <w:rsid w:val="6CD55F5A"/>
    <w:rsid w:val="6CDA49F8"/>
    <w:rsid w:val="6D21370B"/>
    <w:rsid w:val="6D255D0D"/>
    <w:rsid w:val="6D2B6338"/>
    <w:rsid w:val="6D8A6691"/>
    <w:rsid w:val="6D9D3EFA"/>
    <w:rsid w:val="6DC62913"/>
    <w:rsid w:val="6DE81093"/>
    <w:rsid w:val="6E1B45FE"/>
    <w:rsid w:val="6E25722B"/>
    <w:rsid w:val="6E296DAE"/>
    <w:rsid w:val="6EA40B4C"/>
    <w:rsid w:val="6EBF7433"/>
    <w:rsid w:val="6EDF7C07"/>
    <w:rsid w:val="6EE7296D"/>
    <w:rsid w:val="6F0D111A"/>
    <w:rsid w:val="6F276F30"/>
    <w:rsid w:val="6F5C3995"/>
    <w:rsid w:val="6FB10D76"/>
    <w:rsid w:val="6FB749F9"/>
    <w:rsid w:val="6FE23626"/>
    <w:rsid w:val="6FE23C3A"/>
    <w:rsid w:val="6FF13869"/>
    <w:rsid w:val="6FFD3FBC"/>
    <w:rsid w:val="704E017A"/>
    <w:rsid w:val="705B2369"/>
    <w:rsid w:val="705F3922"/>
    <w:rsid w:val="7073468A"/>
    <w:rsid w:val="70853FB1"/>
    <w:rsid w:val="70B12FF8"/>
    <w:rsid w:val="70B64CD9"/>
    <w:rsid w:val="70CE1F7A"/>
    <w:rsid w:val="70DE6FFB"/>
    <w:rsid w:val="70EB650A"/>
    <w:rsid w:val="71161F56"/>
    <w:rsid w:val="71750972"/>
    <w:rsid w:val="7185561A"/>
    <w:rsid w:val="71A548A6"/>
    <w:rsid w:val="71F820D6"/>
    <w:rsid w:val="720859CE"/>
    <w:rsid w:val="72211B44"/>
    <w:rsid w:val="724C4250"/>
    <w:rsid w:val="72772727"/>
    <w:rsid w:val="72A36E41"/>
    <w:rsid w:val="72B1518D"/>
    <w:rsid w:val="72DB610A"/>
    <w:rsid w:val="72FE14BF"/>
    <w:rsid w:val="731A007D"/>
    <w:rsid w:val="73497518"/>
    <w:rsid w:val="7363682B"/>
    <w:rsid w:val="73691968"/>
    <w:rsid w:val="738467A2"/>
    <w:rsid w:val="73A915E0"/>
    <w:rsid w:val="73C70629"/>
    <w:rsid w:val="73E159A2"/>
    <w:rsid w:val="74230FF4"/>
    <w:rsid w:val="744568C7"/>
    <w:rsid w:val="744A3547"/>
    <w:rsid w:val="74506A0E"/>
    <w:rsid w:val="74510C07"/>
    <w:rsid w:val="745E0F4B"/>
    <w:rsid w:val="747B454C"/>
    <w:rsid w:val="749A6E45"/>
    <w:rsid w:val="74A302A1"/>
    <w:rsid w:val="74B46920"/>
    <w:rsid w:val="74DB52F2"/>
    <w:rsid w:val="74DD3870"/>
    <w:rsid w:val="74DE5DD9"/>
    <w:rsid w:val="74EE4F33"/>
    <w:rsid w:val="7503420D"/>
    <w:rsid w:val="750B4E14"/>
    <w:rsid w:val="750E0A19"/>
    <w:rsid w:val="751F6782"/>
    <w:rsid w:val="75306BE1"/>
    <w:rsid w:val="753A45A6"/>
    <w:rsid w:val="754B3A1B"/>
    <w:rsid w:val="75570F9C"/>
    <w:rsid w:val="7582336F"/>
    <w:rsid w:val="75951C00"/>
    <w:rsid w:val="75D7705D"/>
    <w:rsid w:val="75E55F4D"/>
    <w:rsid w:val="75F53987"/>
    <w:rsid w:val="766A4BBD"/>
    <w:rsid w:val="766E79D6"/>
    <w:rsid w:val="7671125F"/>
    <w:rsid w:val="768076F4"/>
    <w:rsid w:val="76880357"/>
    <w:rsid w:val="76AB57A0"/>
    <w:rsid w:val="76D53B6A"/>
    <w:rsid w:val="772D5D69"/>
    <w:rsid w:val="7763329E"/>
    <w:rsid w:val="778356EE"/>
    <w:rsid w:val="778B071D"/>
    <w:rsid w:val="77985FBE"/>
    <w:rsid w:val="77A92529"/>
    <w:rsid w:val="77C16217"/>
    <w:rsid w:val="77C677ED"/>
    <w:rsid w:val="77DC2E72"/>
    <w:rsid w:val="77DE46D3"/>
    <w:rsid w:val="77F710EB"/>
    <w:rsid w:val="783A44AD"/>
    <w:rsid w:val="7848178C"/>
    <w:rsid w:val="78C6353E"/>
    <w:rsid w:val="791349A0"/>
    <w:rsid w:val="792A3948"/>
    <w:rsid w:val="792D4479"/>
    <w:rsid w:val="79563CE2"/>
    <w:rsid w:val="796230E1"/>
    <w:rsid w:val="79825532"/>
    <w:rsid w:val="79894B12"/>
    <w:rsid w:val="79B25E17"/>
    <w:rsid w:val="79C432CC"/>
    <w:rsid w:val="7A120583"/>
    <w:rsid w:val="7A131A5F"/>
    <w:rsid w:val="7A7C34D8"/>
    <w:rsid w:val="7ABE6A3D"/>
    <w:rsid w:val="7AFB1A3F"/>
    <w:rsid w:val="7AFD7566"/>
    <w:rsid w:val="7B014857"/>
    <w:rsid w:val="7B2811A6"/>
    <w:rsid w:val="7B37054A"/>
    <w:rsid w:val="7B3F373C"/>
    <w:rsid w:val="7BBC11CF"/>
    <w:rsid w:val="7BCA5ED4"/>
    <w:rsid w:val="7C0121E8"/>
    <w:rsid w:val="7C1C6A9B"/>
    <w:rsid w:val="7C3E7E36"/>
    <w:rsid w:val="7C6F0276"/>
    <w:rsid w:val="7C717CE9"/>
    <w:rsid w:val="7C867AF4"/>
    <w:rsid w:val="7C947A56"/>
    <w:rsid w:val="7CA83CEA"/>
    <w:rsid w:val="7CCC5441"/>
    <w:rsid w:val="7CD87B19"/>
    <w:rsid w:val="7D1E37C3"/>
    <w:rsid w:val="7D2F491B"/>
    <w:rsid w:val="7D642E2E"/>
    <w:rsid w:val="7D6E4B7A"/>
    <w:rsid w:val="7D7B08DA"/>
    <w:rsid w:val="7DCF1A52"/>
    <w:rsid w:val="7DD32800"/>
    <w:rsid w:val="7DEB53FA"/>
    <w:rsid w:val="7DF96991"/>
    <w:rsid w:val="7E044E1C"/>
    <w:rsid w:val="7E140B0F"/>
    <w:rsid w:val="7E2552E0"/>
    <w:rsid w:val="7E296EED"/>
    <w:rsid w:val="7E2E3EDA"/>
    <w:rsid w:val="7E491FC4"/>
    <w:rsid w:val="7E4C369D"/>
    <w:rsid w:val="7E717FD1"/>
    <w:rsid w:val="7E816FD2"/>
    <w:rsid w:val="7E835FD4"/>
    <w:rsid w:val="7E8C5F3C"/>
    <w:rsid w:val="7E910487"/>
    <w:rsid w:val="7E927FC5"/>
    <w:rsid w:val="7EB4630C"/>
    <w:rsid w:val="7EEB65CE"/>
    <w:rsid w:val="7EEC1DCB"/>
    <w:rsid w:val="7EF85774"/>
    <w:rsid w:val="7F364DF4"/>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 w:type="paragraph" w:customStyle="1" w:styleId="67">
    <w:name w:val="Doc-title"/>
    <w:basedOn w:val="1"/>
    <w:next w:val="37"/>
    <w:qFormat/>
    <w:uiPriority w:val="0"/>
    <w:pPr>
      <w:spacing w:before="60"/>
      <w:ind w:left="1259" w:hanging="125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2922</Words>
  <Characters>16150</Characters>
  <Lines>66</Lines>
  <Paragraphs>18</Paragraphs>
  <TotalTime>0</TotalTime>
  <ScaleCrop>false</ScaleCrop>
  <LinksUpToDate>false</LinksUpToDate>
  <CharactersWithSpaces>18970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2025-02-07T07:45:38Z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2052-12.1.0.19770</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y fmtid="{D5CDD505-2E9C-101B-9397-08002B2CF9AE}" pid="31" name="KSOTemplateDocerSaveRecord">
    <vt:lpwstr>eyJoZGlkIjoiMDkxZTNkYTE4MzcwZjBiNTE3ZTU5YTYxZWM3NjgzODMiLCJ1c2VySWQiOiIzMTI1MzA4NTYifQ==</vt:lpwstr>
  </property>
</Properties>
</file>