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8150B7" w14:textId="62306066"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111</w:t>
      </w:r>
      <w:r w:rsidRPr="005E5BB3">
        <w:rPr>
          <w:rFonts w:ascii="Arial" w:hAnsi="Arial" w:cs="Arial"/>
          <w:b/>
          <w:i/>
          <w:sz w:val="24"/>
          <w:lang w:eastAsia="zh-CN"/>
        </w:rPr>
        <w:tab/>
      </w:r>
      <w:r w:rsidR="00C836BD" w:rsidRPr="00C836BD">
        <w:rPr>
          <w:rFonts w:ascii="Arial" w:hAnsi="Arial" w:cs="Arial"/>
          <w:b/>
          <w:sz w:val="24"/>
          <w:lang w:val="en-US" w:eastAsia="zh-CN"/>
        </w:rPr>
        <w:t>R4-2409252</w:t>
      </w:r>
    </w:p>
    <w:p w14:paraId="1A599841" w14:textId="02024923" w:rsidR="00A3046A" w:rsidRPr="00A3046A" w:rsidRDefault="00115716" w:rsidP="00115716">
      <w:pPr>
        <w:pStyle w:val="a3"/>
        <w:tabs>
          <w:tab w:val="left" w:pos="2160"/>
        </w:tabs>
        <w:ind w:left="2127" w:hanging="2127"/>
        <w:jc w:val="both"/>
        <w:rPr>
          <w:rFonts w:eastAsiaTheme="minorEastAsia" w:cs="Arial"/>
          <w:noProof w:val="0"/>
          <w:sz w:val="24"/>
          <w:lang w:val="en-GB"/>
        </w:rPr>
      </w:pPr>
      <w:r>
        <w:rPr>
          <w:sz w:val="24"/>
        </w:rPr>
        <w:t>Fukuoka</w:t>
      </w:r>
      <w:r w:rsidRPr="0024284D">
        <w:rPr>
          <w:sz w:val="24"/>
        </w:rPr>
        <w:t xml:space="preserve">, </w:t>
      </w:r>
      <w:r>
        <w:rPr>
          <w:sz w:val="24"/>
        </w:rPr>
        <w:t>Japan</w:t>
      </w:r>
      <w:r w:rsidRPr="0024284D">
        <w:rPr>
          <w:sz w:val="24"/>
        </w:rPr>
        <w:t xml:space="preserve">, </w:t>
      </w:r>
      <w:r>
        <w:rPr>
          <w:sz w:val="24"/>
        </w:rPr>
        <w:t>20</w:t>
      </w:r>
      <w:r w:rsidRPr="0024284D">
        <w:rPr>
          <w:sz w:val="24"/>
        </w:rPr>
        <w:t xml:space="preserve"> – </w:t>
      </w:r>
      <w:r>
        <w:rPr>
          <w:sz w:val="24"/>
        </w:rPr>
        <w:t>24</w:t>
      </w:r>
      <w:r w:rsidRPr="0024284D">
        <w:rPr>
          <w:sz w:val="24"/>
        </w:rPr>
        <w:t xml:space="preserve"> </w:t>
      </w:r>
      <w:r>
        <w:rPr>
          <w:sz w:val="24"/>
        </w:rPr>
        <w:t>May</w:t>
      </w:r>
      <w:r w:rsidRPr="0024284D">
        <w:rPr>
          <w:sz w:val="24"/>
        </w:rPr>
        <w:t>, 2024</w:t>
      </w:r>
    </w:p>
    <w:p w14:paraId="7A32AE55" w14:textId="77777777" w:rsidR="00070561" w:rsidRPr="00FE6037" w:rsidRDefault="00587D21" w:rsidP="00587D21">
      <w:pPr>
        <w:pStyle w:val="a5"/>
        <w:tabs>
          <w:tab w:val="left" w:pos="632"/>
        </w:tabs>
        <w:jc w:val="both"/>
        <w:rPr>
          <w:noProof w:val="0"/>
        </w:rPr>
      </w:pPr>
      <w:r>
        <w:rPr>
          <w:noProof w:val="0"/>
        </w:rPr>
        <w:tab/>
      </w:r>
    </w:p>
    <w:p w14:paraId="0556DFFA" w14:textId="4675E4A8"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B6604" w:rsidRPr="006B6604">
        <w:rPr>
          <w:rFonts w:ascii="Arial" w:eastAsia="宋体" w:hAnsi="Arial"/>
          <w:b/>
          <w:sz w:val="24"/>
          <w:lang w:val="en-US" w:eastAsia="zh-CN"/>
        </w:rPr>
        <w:t>Discussion on test cases for Case 1 and Case 2</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14:paraId="26176F3F" w14:textId="129E8784"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322B8">
        <w:rPr>
          <w:rFonts w:ascii="Arial" w:eastAsia="宋体" w:hAnsi="Arial"/>
          <w:b/>
          <w:sz w:val="24"/>
          <w:lang w:val="en-US" w:eastAsia="zh-CN"/>
        </w:rPr>
        <w:t>7.</w:t>
      </w:r>
      <w:r w:rsidR="002C1D5B">
        <w:rPr>
          <w:rFonts w:ascii="Arial" w:eastAsia="宋体" w:hAnsi="Arial"/>
          <w:b/>
          <w:sz w:val="24"/>
          <w:lang w:val="en-US" w:eastAsia="zh-CN"/>
        </w:rPr>
        <w:t>5</w:t>
      </w:r>
      <w:r w:rsidR="00196F9D">
        <w:rPr>
          <w:rFonts w:ascii="Arial" w:eastAsia="宋体" w:hAnsi="Arial"/>
          <w:b/>
          <w:sz w:val="24"/>
          <w:lang w:val="en-US" w:eastAsia="zh-CN"/>
        </w:rPr>
        <w:t>.</w:t>
      </w:r>
      <w:r w:rsidR="006B6604">
        <w:rPr>
          <w:rFonts w:ascii="Arial" w:eastAsia="宋体" w:hAnsi="Arial"/>
          <w:b/>
          <w:sz w:val="24"/>
          <w:lang w:val="en-US" w:eastAsia="zh-CN"/>
        </w:rPr>
        <w:t>3</w:t>
      </w:r>
    </w:p>
    <w:p w14:paraId="6C137F74" w14:textId="77777777"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7A462E">
        <w:rPr>
          <w:rFonts w:ascii="Arial" w:eastAsia="宋体" w:hAnsi="Arial"/>
          <w:b/>
          <w:sz w:val="24"/>
          <w:lang w:val="en-US" w:eastAsia="zh-CN"/>
        </w:rPr>
        <w:t>Discussion</w:t>
      </w:r>
    </w:p>
    <w:p w14:paraId="430D6E7D" w14:textId="77777777" w:rsidR="00114F4F" w:rsidRDefault="00114F4F" w:rsidP="00114F4F">
      <w:pPr>
        <w:pStyle w:val="1"/>
        <w:jc w:val="both"/>
        <w:rPr>
          <w:lang w:val="en-US"/>
        </w:rPr>
      </w:pPr>
      <w:r>
        <w:rPr>
          <w:lang w:val="en-US"/>
        </w:rPr>
        <w:t>Introduction</w:t>
      </w:r>
    </w:p>
    <w:p w14:paraId="00CA6026" w14:textId="137134EE" w:rsidR="006B6604" w:rsidRDefault="006B6604" w:rsidP="006B660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 for objective #1 of MG enhancement are discussed in RAN4#110-bis, and the outcomes are captured in [1]. Based on [1], further discussions are needed to finalize the test case list and test setup for the following two cases in WID.</w:t>
      </w:r>
    </w:p>
    <w:p w14:paraId="6ED74E6B" w14:textId="77777777" w:rsidR="006B6604" w:rsidRDefault="006B6604" w:rsidP="006B6604">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1: joint operation of con-MG and pre-MG</w:t>
      </w:r>
    </w:p>
    <w:p w14:paraId="54E85D0D" w14:textId="77777777" w:rsidR="006B6604" w:rsidRDefault="006B6604" w:rsidP="006B6604">
      <w:pPr>
        <w:pStyle w:val="afe"/>
        <w:numPr>
          <w:ilvl w:val="0"/>
          <w:numId w:val="13"/>
        </w:num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C</w:t>
      </w:r>
      <w:r>
        <w:rPr>
          <w:rFonts w:eastAsia="宋体"/>
          <w:lang w:eastAsia="zh-CN"/>
        </w:rPr>
        <w:t>ase 2: joint operation of con-MG and NCSG</w:t>
      </w:r>
    </w:p>
    <w:p w14:paraId="49ADCE0E" w14:textId="71469C9A" w:rsidR="007E7A02" w:rsidRPr="00D12E24" w:rsidRDefault="006B6604" w:rsidP="006B6604">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In this paper, we will provide our views on remaining issues for </w:t>
      </w:r>
      <w:r w:rsidRPr="00667489">
        <w:rPr>
          <w:rFonts w:eastAsia="宋体"/>
          <w:lang w:eastAsia="zh-CN"/>
        </w:rPr>
        <w:t>test cases for Case 1 and Case 2</w:t>
      </w:r>
      <w:r>
        <w:rPr>
          <w:rFonts w:eastAsia="宋体"/>
          <w:lang w:eastAsia="zh-CN"/>
        </w:rPr>
        <w:t>.</w:t>
      </w:r>
    </w:p>
    <w:p w14:paraId="2BC6DC68" w14:textId="2BC66D10" w:rsidR="00B719B0" w:rsidRDefault="00FA0C0C" w:rsidP="00E4186F">
      <w:pPr>
        <w:pStyle w:val="1"/>
        <w:jc w:val="both"/>
        <w:rPr>
          <w:lang w:val="en-US"/>
        </w:rPr>
      </w:pPr>
      <w:r>
        <w:rPr>
          <w:lang w:val="en-US"/>
        </w:rPr>
        <w:t>Discussion</w:t>
      </w:r>
    </w:p>
    <w:p w14:paraId="69DDBE78" w14:textId="3E34D045" w:rsidR="006E78BB" w:rsidRDefault="006E78BB" w:rsidP="006E78BB">
      <w:pPr>
        <w:pStyle w:val="2"/>
        <w:rPr>
          <w:lang w:eastAsia="zh-CN"/>
        </w:rPr>
      </w:pPr>
      <w:r>
        <w:rPr>
          <w:rFonts w:hint="eastAsia"/>
          <w:lang w:eastAsia="zh-CN"/>
        </w:rPr>
        <w:t>C</w:t>
      </w:r>
      <w:r>
        <w:rPr>
          <w:lang w:eastAsia="zh-CN"/>
        </w:rPr>
        <w:t>ase 1</w:t>
      </w:r>
    </w:p>
    <w:tbl>
      <w:tblPr>
        <w:tblStyle w:val="afa"/>
        <w:tblW w:w="0" w:type="auto"/>
        <w:tblLook w:val="04A0" w:firstRow="1" w:lastRow="0" w:firstColumn="1" w:lastColumn="0" w:noHBand="0" w:noVBand="1"/>
      </w:tblPr>
      <w:tblGrid>
        <w:gridCol w:w="9621"/>
      </w:tblGrid>
      <w:tr w:rsidR="00D161F9" w14:paraId="05C6B6CE" w14:textId="77777777" w:rsidTr="00D161F9">
        <w:tc>
          <w:tcPr>
            <w:tcW w:w="9621" w:type="dxa"/>
          </w:tcPr>
          <w:p w14:paraId="335FB841" w14:textId="77777777" w:rsidR="00D161F9" w:rsidRPr="00D161F9" w:rsidRDefault="00D161F9" w:rsidP="00D161F9">
            <w:pPr>
              <w:spacing w:beforeLines="0" w:before="0" w:afterLines="0" w:after="180"/>
              <w:rPr>
                <w:rFonts w:eastAsia="宋体"/>
                <w:b/>
                <w:color w:val="0070C0"/>
                <w:sz w:val="20"/>
                <w:u w:val="single"/>
                <w:lang w:eastAsia="ko-KR"/>
              </w:rPr>
            </w:pPr>
            <w:r w:rsidRPr="00D161F9">
              <w:rPr>
                <w:rFonts w:eastAsia="宋体"/>
                <w:b/>
                <w:color w:val="0070C0"/>
                <w:sz w:val="20"/>
                <w:u w:val="single"/>
                <w:lang w:eastAsia="ko-KR"/>
              </w:rPr>
              <w:t>Issue 4-2-3: [Case 1] Test cases list for Case 1: whether to do further setting changes to the agreed TCs</w:t>
            </w:r>
          </w:p>
          <w:p w14:paraId="7A2C7106" w14:textId="77777777" w:rsidR="00D161F9" w:rsidRPr="00D161F9" w:rsidRDefault="00D161F9" w:rsidP="00D161F9">
            <w:pPr>
              <w:spacing w:beforeLines="0" w:before="0" w:afterLines="0" w:after="180"/>
              <w:rPr>
                <w:rFonts w:eastAsia="PMingLiU"/>
                <w:b/>
                <w:bCs/>
                <w:sz w:val="20"/>
                <w:u w:val="single"/>
                <w:lang w:val="en-US" w:eastAsia="zh-TW"/>
              </w:rPr>
            </w:pPr>
            <w:r w:rsidRPr="00D161F9">
              <w:rPr>
                <w:rFonts w:eastAsia="PMingLiU"/>
                <w:b/>
                <w:bCs/>
                <w:sz w:val="20"/>
                <w:u w:val="single"/>
                <w:lang w:val="en-US" w:eastAsia="zh-TW"/>
              </w:rPr>
              <w:t>Agreement:</w:t>
            </w:r>
          </w:p>
          <w:p w14:paraId="15F8E419" w14:textId="77777777" w:rsidR="00D161F9" w:rsidRPr="00D161F9" w:rsidRDefault="00D161F9" w:rsidP="00D161F9">
            <w:pPr>
              <w:numPr>
                <w:ilvl w:val="0"/>
                <w:numId w:val="15"/>
              </w:numPr>
              <w:overflowPunct w:val="0"/>
              <w:autoSpaceDE w:val="0"/>
              <w:autoSpaceDN w:val="0"/>
              <w:adjustRightInd w:val="0"/>
              <w:spacing w:beforeLines="0" w:before="0" w:afterLines="0" w:after="180"/>
              <w:rPr>
                <w:rFonts w:eastAsia="PMingLiU"/>
                <w:sz w:val="20"/>
                <w:lang w:val="en-US" w:eastAsia="zh-TW"/>
              </w:rPr>
            </w:pPr>
            <w:r w:rsidRPr="00D161F9">
              <w:rPr>
                <w:rFonts w:eastAsia="PMingLiU"/>
                <w:sz w:val="20"/>
                <w:lang w:val="en-US" w:eastAsia="zh-TW"/>
              </w:rPr>
              <w:t>Modify TC1 and TC2 for dynamic collision to additionally verify gap collision behavior and pre-MG activation delay.</w:t>
            </w:r>
          </w:p>
          <w:p w14:paraId="085362BC" w14:textId="77777777" w:rsidR="00D161F9" w:rsidRPr="00D161F9" w:rsidRDefault="00D161F9" w:rsidP="00D161F9">
            <w:pPr>
              <w:numPr>
                <w:ilvl w:val="1"/>
                <w:numId w:val="15"/>
              </w:numPr>
              <w:overflowPunct w:val="0"/>
              <w:autoSpaceDE w:val="0"/>
              <w:autoSpaceDN w:val="0"/>
              <w:adjustRightInd w:val="0"/>
              <w:spacing w:beforeLines="0" w:before="0" w:afterLines="0" w:after="180"/>
              <w:rPr>
                <w:rFonts w:eastAsia="PMingLiU"/>
                <w:sz w:val="20"/>
                <w:lang w:val="en-US" w:eastAsia="zh-TW"/>
              </w:rPr>
            </w:pPr>
            <w:r w:rsidRPr="00D161F9">
              <w:rPr>
                <w:rFonts w:eastAsia="PMingLiU"/>
                <w:sz w:val="20"/>
                <w:lang w:val="en-US" w:eastAsia="zh-TW"/>
              </w:rPr>
              <w:t>FFS whether to apply to TC3 and TC4</w:t>
            </w:r>
          </w:p>
          <w:p w14:paraId="16102E23" w14:textId="78883F87" w:rsidR="00D161F9" w:rsidRPr="00D161F9" w:rsidRDefault="00D161F9" w:rsidP="00D161F9">
            <w:pPr>
              <w:numPr>
                <w:ilvl w:val="0"/>
                <w:numId w:val="15"/>
              </w:numPr>
              <w:overflowPunct w:val="0"/>
              <w:autoSpaceDE w:val="0"/>
              <w:autoSpaceDN w:val="0"/>
              <w:adjustRightInd w:val="0"/>
              <w:spacing w:beforeLines="0" w:before="0" w:afterLines="0" w:after="180"/>
              <w:rPr>
                <w:rFonts w:eastAsia="PMingLiU"/>
                <w:sz w:val="20"/>
                <w:lang w:val="en-US" w:eastAsia="zh-TW"/>
              </w:rPr>
            </w:pPr>
            <w:r w:rsidRPr="00D161F9">
              <w:rPr>
                <w:rFonts w:eastAsia="PMingLiU"/>
                <w:sz w:val="20"/>
                <w:lang w:val="en-US" w:eastAsia="zh-TW"/>
              </w:rPr>
              <w:t>TC5 and TC6 are not needed.</w:t>
            </w:r>
          </w:p>
        </w:tc>
      </w:tr>
    </w:tbl>
    <w:p w14:paraId="7C2C373B" w14:textId="0F4DD43E" w:rsidR="00685D50" w:rsidRDefault="00AB4C5B" w:rsidP="00685D50">
      <w:pPr>
        <w:spacing w:before="120" w:after="120"/>
        <w:rPr>
          <w:rFonts w:eastAsiaTheme="minorEastAsia"/>
          <w:lang w:eastAsia="zh-CN"/>
        </w:rPr>
      </w:pPr>
      <w:r>
        <w:rPr>
          <w:rFonts w:eastAsiaTheme="minorEastAsia"/>
          <w:lang w:eastAsia="zh-CN"/>
        </w:rPr>
        <w:t xml:space="preserve">In core part discussion, RAN4 introduced FG 32-2 on support of dynamic collision. The UE behaviour and requirements are still under discussion when it does not support FG 32-2. </w:t>
      </w:r>
    </w:p>
    <w:p w14:paraId="37D41A5A" w14:textId="5D79D373" w:rsidR="00AB4C5B" w:rsidRDefault="00AB4C5B" w:rsidP="00AB4C5B">
      <w:pPr>
        <w:pStyle w:val="afe"/>
        <w:numPr>
          <w:ilvl w:val="0"/>
          <w:numId w:val="13"/>
        </w:numPr>
        <w:spacing w:before="120" w:after="120"/>
        <w:rPr>
          <w:rFonts w:eastAsiaTheme="minorEastAsia"/>
          <w:lang w:eastAsia="zh-CN"/>
        </w:rPr>
      </w:pPr>
      <w:r>
        <w:rPr>
          <w:rFonts w:eastAsiaTheme="minorEastAsia"/>
          <w:lang w:eastAsia="zh-CN"/>
        </w:rPr>
        <w:t>If no requirements are specified, it should be clarified that TC1 and TC2 are only applicable for UE supporting FG 32-2 as they involve dynamic collision.</w:t>
      </w:r>
    </w:p>
    <w:p w14:paraId="25B1C409" w14:textId="2F600FA3" w:rsidR="00AB4C5B" w:rsidRDefault="00AB4C5B" w:rsidP="00AB4C5B">
      <w:pPr>
        <w:pStyle w:val="afe"/>
        <w:numPr>
          <w:ilvl w:val="0"/>
          <w:numId w:val="13"/>
        </w:num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f semi-static collision handling is required, the test requirements for TC1 and TC2 should be separately defined for UE </w:t>
      </w:r>
      <w:r w:rsidRPr="00AB4C5B">
        <w:rPr>
          <w:rFonts w:eastAsiaTheme="minorEastAsia"/>
          <w:lang w:eastAsia="zh-CN"/>
        </w:rPr>
        <w:t>capable and incapable of FG 32-2</w:t>
      </w:r>
      <w:r>
        <w:rPr>
          <w:rFonts w:eastAsiaTheme="minorEastAsia"/>
          <w:lang w:eastAsia="zh-CN"/>
        </w:rPr>
        <w:t>.</w:t>
      </w:r>
    </w:p>
    <w:p w14:paraId="1344BCE7" w14:textId="31D12C31" w:rsidR="00576674" w:rsidRPr="00576674" w:rsidRDefault="00576674" w:rsidP="00576674">
      <w:pPr>
        <w:spacing w:before="120" w:after="120"/>
        <w:rPr>
          <w:rFonts w:eastAsiaTheme="minorEastAsia"/>
          <w:lang w:eastAsia="zh-CN"/>
        </w:rPr>
      </w:pPr>
      <w:r>
        <w:rPr>
          <w:rFonts w:eastAsiaTheme="minorEastAsia" w:hint="eastAsia"/>
          <w:lang w:eastAsia="zh-CN"/>
        </w:rPr>
        <w:t>B</w:t>
      </w:r>
      <w:r>
        <w:rPr>
          <w:rFonts w:eastAsiaTheme="minorEastAsia"/>
          <w:lang w:eastAsia="zh-CN"/>
        </w:rPr>
        <w:t xml:space="preserve">ased on our Proposal for the core part, we support the second option. </w:t>
      </w:r>
    </w:p>
    <w:p w14:paraId="60A0E71B" w14:textId="23C05888" w:rsidR="00D161F9" w:rsidRPr="00AB4C5B" w:rsidRDefault="00576674" w:rsidP="00685D50">
      <w:pPr>
        <w:spacing w:before="120" w:after="120"/>
        <w:rPr>
          <w:rFonts w:eastAsiaTheme="minorEastAsia"/>
          <w:lang w:eastAsia="zh-CN"/>
        </w:rPr>
      </w:pPr>
      <w:r>
        <w:rPr>
          <w:rFonts w:eastAsiaTheme="minorEastAsia" w:hint="eastAsia"/>
          <w:lang w:eastAsia="zh-CN"/>
        </w:rPr>
        <w:t>T</w:t>
      </w:r>
      <w:r>
        <w:rPr>
          <w:rFonts w:eastAsiaTheme="minorEastAsia"/>
          <w:lang w:eastAsia="zh-CN"/>
        </w:rPr>
        <w:t>here is also an FFS whether to apply dynamic collision to TC3 and TC4. Based on the endorsed draftCRs for TC3 and TC4, they are for non-overlapping case, and we believe the focus is on the (de)activation delay but not the collision handling. We support to keep the current test coverage instead of making the TCs more complex by introducing collision.</w:t>
      </w:r>
    </w:p>
    <w:p w14:paraId="758BB1F0" w14:textId="454864D7" w:rsidR="00D161F9" w:rsidRPr="00AB4C5B" w:rsidRDefault="00AB4C5B" w:rsidP="00685D50">
      <w:pPr>
        <w:spacing w:before="120" w:after="120"/>
        <w:rPr>
          <w:rFonts w:eastAsiaTheme="minorEastAsia"/>
          <w:b/>
          <w:bCs/>
          <w:lang w:eastAsia="zh-CN"/>
        </w:rPr>
      </w:pPr>
      <w:r w:rsidRPr="00AB4C5B">
        <w:rPr>
          <w:rFonts w:eastAsiaTheme="minorEastAsia" w:hint="eastAsia"/>
          <w:b/>
          <w:bCs/>
          <w:lang w:eastAsia="zh-CN"/>
        </w:rPr>
        <w:t>P</w:t>
      </w:r>
      <w:r w:rsidRPr="00AB4C5B">
        <w:rPr>
          <w:rFonts w:eastAsiaTheme="minorEastAsia"/>
          <w:b/>
          <w:bCs/>
          <w:lang w:eastAsia="zh-CN"/>
        </w:rPr>
        <w:t>roposal 1</w:t>
      </w:r>
      <w:r>
        <w:rPr>
          <w:rFonts w:eastAsiaTheme="minorEastAsia"/>
          <w:b/>
          <w:bCs/>
          <w:lang w:eastAsia="zh-CN"/>
        </w:rPr>
        <w:t xml:space="preserve"> (for Case 1)</w:t>
      </w:r>
      <w:r w:rsidRPr="00AB4C5B">
        <w:rPr>
          <w:rFonts w:eastAsiaTheme="minorEastAsia"/>
          <w:b/>
          <w:bCs/>
          <w:lang w:eastAsia="zh-CN"/>
        </w:rPr>
        <w:t>: For TC1 and TC2, define separate test requirements for UE capable and incapable of FG 32-2.</w:t>
      </w:r>
      <w:r>
        <w:rPr>
          <w:rFonts w:eastAsiaTheme="minorEastAsia"/>
          <w:b/>
          <w:bCs/>
          <w:lang w:eastAsia="zh-CN"/>
        </w:rPr>
        <w:t xml:space="preserve"> </w:t>
      </w:r>
      <w:r>
        <w:rPr>
          <w:rFonts w:eastAsiaTheme="minorEastAsia" w:hint="eastAsia"/>
          <w:b/>
          <w:bCs/>
          <w:lang w:eastAsia="zh-CN"/>
        </w:rPr>
        <w:t>Fo</w:t>
      </w:r>
      <w:r>
        <w:rPr>
          <w:rFonts w:eastAsiaTheme="minorEastAsia"/>
          <w:b/>
          <w:bCs/>
          <w:lang w:eastAsia="zh-CN"/>
        </w:rPr>
        <w:t xml:space="preserve">r TC3 and TC4, do not verify dynamic collision handling behaviour. </w:t>
      </w:r>
    </w:p>
    <w:p w14:paraId="7AE0EE76" w14:textId="0B3637A8" w:rsidR="006E78BB" w:rsidRDefault="006E78BB" w:rsidP="006E78BB">
      <w:pPr>
        <w:pStyle w:val="2"/>
        <w:rPr>
          <w:lang w:eastAsia="zh-CN"/>
        </w:rPr>
      </w:pPr>
      <w:r>
        <w:rPr>
          <w:rFonts w:hint="eastAsia"/>
          <w:lang w:eastAsia="zh-CN"/>
        </w:rPr>
        <w:t>C</w:t>
      </w:r>
      <w:r>
        <w:rPr>
          <w:lang w:eastAsia="zh-CN"/>
        </w:rPr>
        <w:t>ase 2</w:t>
      </w:r>
    </w:p>
    <w:tbl>
      <w:tblPr>
        <w:tblStyle w:val="afa"/>
        <w:tblW w:w="0" w:type="auto"/>
        <w:tblLook w:val="04A0" w:firstRow="1" w:lastRow="0" w:firstColumn="1" w:lastColumn="0" w:noHBand="0" w:noVBand="1"/>
      </w:tblPr>
      <w:tblGrid>
        <w:gridCol w:w="9621"/>
      </w:tblGrid>
      <w:tr w:rsidR="00AB4C5B" w14:paraId="76432D00" w14:textId="77777777" w:rsidTr="00AB4C5B">
        <w:tc>
          <w:tcPr>
            <w:tcW w:w="9621" w:type="dxa"/>
          </w:tcPr>
          <w:p w14:paraId="4630CC8F" w14:textId="77777777" w:rsidR="00AB4C5B" w:rsidRPr="00AB4C5B" w:rsidRDefault="00AB4C5B" w:rsidP="00AB4C5B">
            <w:pPr>
              <w:spacing w:beforeLines="0" w:before="0" w:afterLines="0" w:after="180"/>
              <w:rPr>
                <w:rFonts w:eastAsia="宋体"/>
                <w:b/>
                <w:color w:val="0070C0"/>
                <w:sz w:val="20"/>
                <w:u w:val="single"/>
                <w:lang w:eastAsia="ko-KR"/>
              </w:rPr>
            </w:pPr>
            <w:r w:rsidRPr="00AB4C5B">
              <w:rPr>
                <w:rFonts w:eastAsia="宋体"/>
                <w:b/>
                <w:color w:val="0070C0"/>
                <w:sz w:val="20"/>
                <w:u w:val="single"/>
                <w:lang w:eastAsia="ko-KR"/>
              </w:rPr>
              <w:t>Issue 4-3-2: [Case 2] Test cases list for Case 2</w:t>
            </w:r>
          </w:p>
          <w:p w14:paraId="59246463" w14:textId="77777777" w:rsidR="00AB4C5B" w:rsidRPr="00AB4C5B" w:rsidRDefault="00AB4C5B" w:rsidP="00AB4C5B">
            <w:pPr>
              <w:spacing w:beforeLines="0" w:before="0" w:afterLines="0" w:after="180"/>
              <w:rPr>
                <w:rFonts w:eastAsia="PMingLiU"/>
                <w:sz w:val="20"/>
                <w:u w:val="single"/>
                <w:lang w:val="en-US" w:eastAsia="zh-TW"/>
              </w:rPr>
            </w:pPr>
            <w:r w:rsidRPr="00AB4C5B">
              <w:rPr>
                <w:rFonts w:eastAsia="PMingLiU"/>
                <w:sz w:val="20"/>
                <w:u w:val="single"/>
                <w:lang w:val="en-US" w:eastAsia="zh-TW"/>
              </w:rPr>
              <w:lastRenderedPageBreak/>
              <w:t>Agreement:</w:t>
            </w:r>
          </w:p>
          <w:p w14:paraId="642C0D05" w14:textId="77777777" w:rsidR="00AB4C5B" w:rsidRPr="00AB4C5B" w:rsidRDefault="00AB4C5B" w:rsidP="00AB4C5B">
            <w:pPr>
              <w:numPr>
                <w:ilvl w:val="0"/>
                <w:numId w:val="16"/>
              </w:numPr>
              <w:spacing w:beforeLines="0" w:before="0" w:afterLines="0" w:after="120"/>
              <w:rPr>
                <w:rFonts w:eastAsia="PMingLiU"/>
                <w:sz w:val="20"/>
                <w:lang w:val="en-US" w:eastAsia="zh-TW"/>
              </w:rPr>
            </w:pPr>
            <w:r w:rsidRPr="00AB4C5B">
              <w:rPr>
                <w:rFonts w:eastAsia="PMingLiU"/>
                <w:sz w:val="20"/>
                <w:lang w:val="en-US" w:eastAsia="zh-TW"/>
              </w:rPr>
              <w:t xml:space="preserve">FFS </w:t>
            </w:r>
            <w:r w:rsidRPr="00AB4C5B">
              <w:rPr>
                <w:rFonts w:eastAsia="微软雅黑"/>
                <w:color w:val="000000"/>
                <w:sz w:val="20"/>
                <w:lang w:val="en-US"/>
              </w:rPr>
              <w:t xml:space="preserve">Con-NCSG </w:t>
            </w:r>
            <w:r w:rsidRPr="00AB4C5B">
              <w:rPr>
                <w:rFonts w:eastAsia="PMingLiU"/>
                <w:sz w:val="20"/>
                <w:lang w:val="en-US" w:eastAsia="zh-TW"/>
              </w:rPr>
              <w:t>TC4, pending on the core part maintenance conclusions.</w:t>
            </w:r>
          </w:p>
          <w:p w14:paraId="0E8D761B" w14:textId="77777777" w:rsidR="00AB4C5B" w:rsidRPr="00AB4C5B" w:rsidRDefault="00AB4C5B" w:rsidP="00AB4C5B">
            <w:pPr>
              <w:numPr>
                <w:ilvl w:val="0"/>
                <w:numId w:val="16"/>
              </w:numPr>
              <w:spacing w:beforeLines="0" w:before="0" w:afterLines="0" w:after="120"/>
              <w:rPr>
                <w:rFonts w:eastAsia="PMingLiU"/>
                <w:sz w:val="20"/>
                <w:lang w:val="en-US" w:eastAsia="zh-TW"/>
              </w:rPr>
            </w:pPr>
            <w:r w:rsidRPr="00AB4C5B">
              <w:rPr>
                <w:rFonts w:eastAsia="PMingLiU"/>
                <w:sz w:val="20"/>
                <w:lang w:val="en-US" w:eastAsia="zh-TW"/>
              </w:rPr>
              <w:t xml:space="preserve">Agree to add </w:t>
            </w:r>
            <w:r w:rsidRPr="00AB4C5B">
              <w:rPr>
                <w:rFonts w:eastAsia="微软雅黑"/>
                <w:color w:val="000000"/>
                <w:sz w:val="20"/>
                <w:lang w:val="en-US"/>
              </w:rPr>
              <w:t>Con-NCSG TC3</w:t>
            </w:r>
          </w:p>
          <w:tbl>
            <w:tblPr>
              <w:tblW w:w="0" w:type="auto"/>
              <w:tblCellMar>
                <w:left w:w="0" w:type="dxa"/>
                <w:right w:w="0" w:type="dxa"/>
              </w:tblCellMar>
              <w:tblLook w:val="04A0" w:firstRow="1" w:lastRow="0" w:firstColumn="1" w:lastColumn="0" w:noHBand="0" w:noVBand="1"/>
            </w:tblPr>
            <w:tblGrid>
              <w:gridCol w:w="1155"/>
              <w:gridCol w:w="2634"/>
              <w:gridCol w:w="4050"/>
              <w:gridCol w:w="1546"/>
            </w:tblGrid>
            <w:tr w:rsidR="00AB4C5B" w14:paraId="75F13BC1" w14:textId="77777777" w:rsidTr="00AB4C5B">
              <w:trPr>
                <w:trHeight w:val="1753"/>
              </w:trPr>
              <w:tc>
                <w:tcPr>
                  <w:tcW w:w="1155" w:type="dxa"/>
                  <w:tcBorders>
                    <w:top w:val="nil"/>
                    <w:left w:val="single" w:sz="8" w:space="0" w:color="A3A3A3"/>
                    <w:bottom w:val="single" w:sz="8" w:space="0" w:color="A3A3A3"/>
                    <w:right w:val="single" w:sz="8" w:space="0" w:color="A3A3A3"/>
                  </w:tcBorders>
                  <w:shd w:val="clear" w:color="auto" w:fill="FBE4D5" w:themeFill="accent2" w:themeFillTint="33"/>
                  <w:tcMar>
                    <w:top w:w="80" w:type="dxa"/>
                    <w:left w:w="80" w:type="dxa"/>
                    <w:bottom w:w="80" w:type="dxa"/>
                    <w:right w:w="80" w:type="dxa"/>
                  </w:tcMar>
                </w:tcPr>
                <w:p w14:paraId="228633FB" w14:textId="77777777" w:rsidR="00AB4C5B" w:rsidRPr="00AB4C5B" w:rsidRDefault="00AB4C5B" w:rsidP="00AB4C5B">
                  <w:pPr>
                    <w:spacing w:before="120" w:after="120"/>
                    <w:rPr>
                      <w:rFonts w:eastAsia="微软雅黑"/>
                      <w:color w:val="000000"/>
                      <w:sz w:val="18"/>
                      <w:szCs w:val="15"/>
                      <w:lang w:val="en-US"/>
                    </w:rPr>
                  </w:pPr>
                  <w:r w:rsidRPr="00AB4C5B">
                    <w:rPr>
                      <w:rFonts w:eastAsia="Microsoft YaHei UI"/>
                      <w:color w:val="0070C0"/>
                      <w:sz w:val="18"/>
                      <w:szCs w:val="15"/>
                      <w:lang w:val="en-US"/>
                    </w:rPr>
                    <w:t>Con-NCSG TC4</w:t>
                  </w:r>
                </w:p>
              </w:tc>
              <w:tc>
                <w:tcPr>
                  <w:tcW w:w="2634" w:type="dxa"/>
                  <w:tcBorders>
                    <w:top w:val="nil"/>
                    <w:left w:val="nil"/>
                    <w:bottom w:val="single" w:sz="8" w:space="0" w:color="A3A3A3"/>
                    <w:right w:val="single" w:sz="8" w:space="0" w:color="A3A3A3"/>
                  </w:tcBorders>
                  <w:shd w:val="clear" w:color="auto" w:fill="FBE4D5" w:themeFill="accent2" w:themeFillTint="33"/>
                  <w:tcMar>
                    <w:top w:w="80" w:type="dxa"/>
                    <w:left w:w="80" w:type="dxa"/>
                    <w:bottom w:w="80" w:type="dxa"/>
                    <w:right w:w="80" w:type="dxa"/>
                  </w:tcMar>
                </w:tcPr>
                <w:p w14:paraId="1184F75B" w14:textId="77777777" w:rsidR="00AB4C5B" w:rsidRPr="00AB4C5B" w:rsidRDefault="00AB4C5B" w:rsidP="00AB4C5B">
                  <w:pPr>
                    <w:spacing w:before="120" w:after="120"/>
                    <w:rPr>
                      <w:rFonts w:eastAsia="微软雅黑"/>
                      <w:color w:val="000000"/>
                      <w:sz w:val="18"/>
                      <w:szCs w:val="15"/>
                      <w:lang w:val="en-US"/>
                    </w:rPr>
                  </w:pPr>
                  <w:r w:rsidRPr="00AB4C5B">
                    <w:rPr>
                      <w:rFonts w:eastAsia="Microsoft YaHei UI"/>
                      <w:color w:val="000000"/>
                      <w:sz w:val="18"/>
                      <w:szCs w:val="15"/>
                      <w:lang w:val="en-US"/>
                    </w:rPr>
                    <w:t>Event triggered reporting test on </w:t>
                  </w:r>
                  <w:r w:rsidRPr="00AB4C5B">
                    <w:rPr>
                      <w:rFonts w:eastAsia="Microsoft YaHei UI"/>
                      <w:color w:val="0000FF"/>
                      <w:sz w:val="18"/>
                      <w:szCs w:val="15"/>
                      <w:lang w:val="en-US"/>
                    </w:rPr>
                    <w:t>deactivated SCell</w:t>
                  </w:r>
                  <w:r w:rsidRPr="00AB4C5B">
                    <w:rPr>
                      <w:rFonts w:eastAsia="Microsoft YaHei UI"/>
                      <w:color w:val="0070C0"/>
                      <w:sz w:val="18"/>
                      <w:szCs w:val="15"/>
                      <w:lang w:val="en-US"/>
                    </w:rPr>
                    <w:t> </w:t>
                  </w:r>
                  <w:r w:rsidRPr="00AB4C5B">
                    <w:rPr>
                      <w:rFonts w:eastAsia="Microsoft YaHei UI"/>
                      <w:color w:val="000000"/>
                      <w:sz w:val="18"/>
                      <w:szCs w:val="15"/>
                      <w:lang w:val="en-US"/>
                    </w:rPr>
                    <w:t xml:space="preserve">in </w:t>
                  </w:r>
                  <w:r w:rsidRPr="00AB4C5B">
                    <w:rPr>
                      <w:rFonts w:eastAsia="Microsoft YaHei UI"/>
                      <w:b/>
                      <w:bCs/>
                      <w:color w:val="000000"/>
                      <w:sz w:val="18"/>
                      <w:szCs w:val="15"/>
                      <w:lang w:val="en-US"/>
                    </w:rPr>
                    <w:t>FR1</w:t>
                  </w:r>
                  <w:r w:rsidRPr="00AB4C5B">
                    <w:rPr>
                      <w:rFonts w:eastAsia="Microsoft YaHei UI"/>
                      <w:color w:val="000000"/>
                      <w:sz w:val="18"/>
                      <w:szCs w:val="15"/>
                      <w:lang w:val="en-US"/>
                    </w:rPr>
                    <w:t xml:space="preserve"> with concurrent gap and NCSG</w:t>
                  </w:r>
                </w:p>
              </w:tc>
              <w:tc>
                <w:tcPr>
                  <w:tcW w:w="4050" w:type="dxa"/>
                  <w:tcBorders>
                    <w:top w:val="nil"/>
                    <w:left w:val="nil"/>
                    <w:bottom w:val="single" w:sz="8" w:space="0" w:color="A3A3A3"/>
                    <w:right w:val="single" w:sz="8" w:space="0" w:color="A3A3A3"/>
                  </w:tcBorders>
                  <w:shd w:val="clear" w:color="auto" w:fill="FBE4D5" w:themeFill="accent2" w:themeFillTint="33"/>
                  <w:tcMar>
                    <w:top w:w="80" w:type="dxa"/>
                    <w:left w:w="80" w:type="dxa"/>
                    <w:bottom w:w="80" w:type="dxa"/>
                    <w:right w:w="80" w:type="dxa"/>
                  </w:tcMar>
                </w:tcPr>
                <w:p w14:paraId="3512295D" w14:textId="77777777" w:rsidR="00AB4C5B" w:rsidRPr="00AB4C5B" w:rsidRDefault="00AB4C5B" w:rsidP="00AB4C5B">
                  <w:pPr>
                    <w:spacing w:before="120" w:after="120"/>
                    <w:ind w:left="360" w:hanging="360"/>
                    <w:rPr>
                      <w:rFonts w:eastAsia="Microsoft YaHei UI"/>
                      <w:color w:val="000000"/>
                      <w:sz w:val="18"/>
                      <w:szCs w:val="15"/>
                      <w:lang w:val="en-US"/>
                    </w:rPr>
                  </w:pPr>
                  <w:r w:rsidRPr="00AB4C5B">
                    <w:rPr>
                      <w:rFonts w:ascii="Symbol" w:eastAsia="Microsoft YaHei UI" w:hAnsi="Symbol"/>
                      <w:color w:val="000000"/>
                      <w:sz w:val="18"/>
                      <w:szCs w:val="15"/>
                      <w:lang w:val="en-US"/>
                    </w:rPr>
                    <w:t>·</w:t>
                  </w:r>
                  <w:r w:rsidRPr="00AB4C5B">
                    <w:rPr>
                      <w:rFonts w:ascii="Symbol" w:eastAsia="Microsoft YaHei UI"/>
                      <w:color w:val="000000"/>
                      <w:sz w:val="18"/>
                      <w:szCs w:val="15"/>
                      <w:lang w:val="en-US"/>
                    </w:rPr>
                    <w:t>       </w:t>
                  </w:r>
                  <w:r w:rsidRPr="00AB4C5B">
                    <w:rPr>
                      <w:rFonts w:eastAsia="Microsoft YaHei UI"/>
                      <w:color w:val="000000"/>
                      <w:sz w:val="18"/>
                      <w:szCs w:val="15"/>
                      <w:lang w:val="en-US"/>
                    </w:rPr>
                    <w:t>Intra-frequency cell search/measurement delay for deactivated SCC is met for Cell2 in NCSG, and Inter-frequency cell search/measurement delay for Cell3 in MG</w:t>
                  </w:r>
                </w:p>
                <w:p w14:paraId="14C99D52" w14:textId="77777777" w:rsidR="00AB4C5B" w:rsidRPr="00AB4C5B" w:rsidRDefault="00AB4C5B" w:rsidP="00AB4C5B">
                  <w:pPr>
                    <w:spacing w:before="120" w:after="120"/>
                    <w:ind w:left="360" w:hanging="360"/>
                    <w:rPr>
                      <w:rFonts w:eastAsia="微软雅黑"/>
                      <w:color w:val="000000"/>
                      <w:sz w:val="18"/>
                      <w:szCs w:val="15"/>
                      <w:lang w:val="en-US"/>
                    </w:rPr>
                  </w:pPr>
                  <w:r w:rsidRPr="00AB4C5B">
                    <w:rPr>
                      <w:rFonts w:ascii="Symbol" w:eastAsia="Microsoft YaHei UI" w:hAnsi="Symbol"/>
                      <w:color w:val="000000"/>
                      <w:sz w:val="18"/>
                      <w:szCs w:val="15"/>
                      <w:lang w:val="en-US"/>
                    </w:rPr>
                    <w:t>·</w:t>
                  </w:r>
                  <w:r w:rsidRPr="00AB4C5B">
                    <w:rPr>
                      <w:rFonts w:ascii="Symbol" w:eastAsia="Microsoft YaHei UI"/>
                      <w:color w:val="000000"/>
                      <w:sz w:val="18"/>
                      <w:szCs w:val="15"/>
                      <w:lang w:val="en-US"/>
                    </w:rPr>
                    <w:t>       </w:t>
                  </w:r>
                  <w:r w:rsidRPr="00AB4C5B">
                    <w:rPr>
                      <w:rFonts w:eastAsia="Microsoft YaHei UI"/>
                      <w:color w:val="000000"/>
                      <w:sz w:val="18"/>
                      <w:szCs w:val="15"/>
                      <w:lang w:val="en-US"/>
                    </w:rPr>
                    <w:t>UE receives data in Cell1 meeting scheduling restriction requirements, and</w:t>
                  </w:r>
                  <w:r w:rsidRPr="00AB4C5B">
                    <w:rPr>
                      <w:rFonts w:ascii="Symbol" w:eastAsia="Microsoft YaHei UI"/>
                      <w:color w:val="000000"/>
                      <w:sz w:val="18"/>
                      <w:szCs w:val="15"/>
                      <w:lang w:val="en-US"/>
                    </w:rPr>
                    <w:t> </w:t>
                  </w:r>
                  <w:r w:rsidRPr="00AB4C5B">
                    <w:rPr>
                      <w:rFonts w:eastAsia="Microsoft YaHei UI"/>
                      <w:color w:val="000000"/>
                      <w:sz w:val="18"/>
                      <w:szCs w:val="15"/>
                      <w:lang w:val="en-US"/>
                    </w:rPr>
                    <w:t>UE will not cause any interruption on Cell1 outside VIL windows.</w:t>
                  </w:r>
                </w:p>
              </w:tc>
              <w:tc>
                <w:tcPr>
                  <w:tcW w:w="1546" w:type="dxa"/>
                  <w:tcBorders>
                    <w:top w:val="nil"/>
                    <w:left w:val="nil"/>
                    <w:bottom w:val="single" w:sz="8" w:space="0" w:color="A3A3A3"/>
                    <w:right w:val="single" w:sz="8" w:space="0" w:color="A3A3A3"/>
                  </w:tcBorders>
                  <w:shd w:val="clear" w:color="auto" w:fill="FBE4D5" w:themeFill="accent2" w:themeFillTint="33"/>
                </w:tcPr>
                <w:p w14:paraId="15A4FFAD" w14:textId="77777777" w:rsidR="00AB4C5B" w:rsidRDefault="00AB4C5B" w:rsidP="00AB4C5B">
                  <w:pPr>
                    <w:spacing w:before="120" w:after="120"/>
                    <w:rPr>
                      <w:rFonts w:eastAsia="微软雅黑"/>
                      <w:color w:val="000000"/>
                      <w:lang w:val="en-US"/>
                    </w:rPr>
                  </w:pPr>
                </w:p>
              </w:tc>
            </w:tr>
          </w:tbl>
          <w:p w14:paraId="1D7A4203" w14:textId="7208573F" w:rsidR="00AB4C5B" w:rsidRPr="00AB4C5B" w:rsidRDefault="00AB4C5B" w:rsidP="00AB4C5B">
            <w:pPr>
              <w:spacing w:beforeLines="0" w:before="0" w:afterLines="0" w:after="120"/>
              <w:rPr>
                <w:rFonts w:eastAsia="PMingLiU"/>
                <w:sz w:val="20"/>
                <w:lang w:val="en-US" w:eastAsia="zh-TW"/>
              </w:rPr>
            </w:pPr>
          </w:p>
        </w:tc>
      </w:tr>
    </w:tbl>
    <w:p w14:paraId="04EDBDAE" w14:textId="77777777" w:rsidR="00576674" w:rsidRDefault="00576674" w:rsidP="00D161F9">
      <w:pPr>
        <w:spacing w:before="120" w:after="120"/>
        <w:rPr>
          <w:rFonts w:eastAsiaTheme="minorEastAsia"/>
          <w:lang w:eastAsia="zh-CN"/>
        </w:rPr>
      </w:pPr>
      <w:r>
        <w:rPr>
          <w:rFonts w:eastAsiaTheme="minorEastAsia"/>
          <w:lang w:eastAsia="zh-CN"/>
        </w:rPr>
        <w:lastRenderedPageBreak/>
        <w:t>Based on our proposal for the core part, we support to introduce TC4. However, the focus should be measurement of deactivated SCell MO within NCSG, so we do not see the need to introduce an inter-frequency neighbour cell (cell 3) in the TC.</w:t>
      </w:r>
    </w:p>
    <w:p w14:paraId="3A01D810" w14:textId="7DD0CEC8" w:rsidR="00D161F9" w:rsidRDefault="00576674" w:rsidP="00D161F9">
      <w:pPr>
        <w:spacing w:before="120" w:after="120"/>
        <w:rPr>
          <w:rFonts w:eastAsiaTheme="minorEastAsia"/>
          <w:lang w:eastAsia="zh-CN"/>
        </w:rPr>
      </w:pPr>
      <w:r>
        <w:rPr>
          <w:rFonts w:eastAsiaTheme="minorEastAsia"/>
          <w:lang w:eastAsia="zh-CN"/>
        </w:rPr>
        <w:t>We understand the scenario for TC4 should be that the SCell MO is outside active BWP when the SCell is activated</w:t>
      </w:r>
      <w:r w:rsidRPr="00576674">
        <w:rPr>
          <w:rFonts w:eastAsiaTheme="minorEastAsia"/>
          <w:lang w:eastAsia="zh-CN"/>
        </w:rPr>
        <w:t xml:space="preserve"> </w:t>
      </w:r>
      <w:r>
        <w:rPr>
          <w:rFonts w:eastAsiaTheme="minorEastAsia"/>
          <w:lang w:eastAsia="zh-CN"/>
        </w:rPr>
        <w:t>thus it is measured with MG. During the test the SCell is deactivated, and the test will verify that UE measures the SCell MO with NCSG and not causing additional interruption than VIL.</w:t>
      </w:r>
    </w:p>
    <w:p w14:paraId="3895A9EA" w14:textId="1B738BE1" w:rsidR="00AB4C5B" w:rsidRPr="00576674" w:rsidRDefault="00AB4C5B" w:rsidP="00D161F9">
      <w:pPr>
        <w:spacing w:before="120" w:after="120"/>
        <w:rPr>
          <w:rFonts w:eastAsiaTheme="minorEastAsia"/>
          <w:b/>
          <w:bCs/>
          <w:lang w:eastAsia="zh-CN"/>
        </w:rPr>
      </w:pPr>
      <w:r w:rsidRPr="00AB4C5B">
        <w:rPr>
          <w:rFonts w:eastAsiaTheme="minorEastAsia" w:hint="eastAsia"/>
          <w:b/>
          <w:bCs/>
          <w:lang w:eastAsia="zh-CN"/>
        </w:rPr>
        <w:t>P</w:t>
      </w:r>
      <w:r w:rsidRPr="00AB4C5B">
        <w:rPr>
          <w:rFonts w:eastAsiaTheme="minorEastAsia"/>
          <w:b/>
          <w:bCs/>
          <w:lang w:eastAsia="zh-CN"/>
        </w:rPr>
        <w:t xml:space="preserve">roposal </w:t>
      </w:r>
      <w:r>
        <w:rPr>
          <w:rFonts w:eastAsiaTheme="minorEastAsia"/>
          <w:b/>
          <w:bCs/>
          <w:lang w:eastAsia="zh-CN"/>
        </w:rPr>
        <w:t>2 (for Case 2)</w:t>
      </w:r>
      <w:r w:rsidRPr="00AB4C5B">
        <w:rPr>
          <w:rFonts w:eastAsiaTheme="minorEastAsia"/>
          <w:b/>
          <w:bCs/>
          <w:lang w:eastAsia="zh-CN"/>
        </w:rPr>
        <w:t xml:space="preserve">: </w:t>
      </w:r>
      <w:r>
        <w:rPr>
          <w:rFonts w:eastAsiaTheme="minorEastAsia"/>
          <w:b/>
          <w:bCs/>
          <w:lang w:eastAsia="zh-CN"/>
        </w:rPr>
        <w:t xml:space="preserve">Introduce </w:t>
      </w:r>
      <w:r w:rsidRPr="00AB4C5B">
        <w:rPr>
          <w:rFonts w:eastAsiaTheme="minorEastAsia"/>
          <w:b/>
          <w:bCs/>
          <w:lang w:eastAsia="zh-CN"/>
        </w:rPr>
        <w:t>Con-NCSG TC4</w:t>
      </w:r>
      <w:r w:rsidR="00576674">
        <w:rPr>
          <w:rFonts w:eastAsiaTheme="minorEastAsia"/>
          <w:b/>
          <w:bCs/>
          <w:lang w:eastAsia="zh-CN"/>
        </w:rPr>
        <w:t>. D</w:t>
      </w:r>
      <w:r>
        <w:rPr>
          <w:rFonts w:eastAsiaTheme="minorEastAsia"/>
          <w:b/>
          <w:bCs/>
          <w:lang w:eastAsia="zh-CN"/>
        </w:rPr>
        <w:t xml:space="preserve">o not introduce inter-frequency </w:t>
      </w:r>
      <w:r w:rsidR="00576674">
        <w:rPr>
          <w:rFonts w:eastAsiaTheme="minorEastAsia"/>
          <w:b/>
          <w:bCs/>
          <w:lang w:eastAsia="zh-CN"/>
        </w:rPr>
        <w:t>neighbour</w:t>
      </w:r>
      <w:r>
        <w:rPr>
          <w:rFonts w:eastAsiaTheme="minorEastAsia"/>
          <w:b/>
          <w:bCs/>
          <w:lang w:eastAsia="zh-CN"/>
        </w:rPr>
        <w:t xml:space="preserve"> cell (cell 3) in the TC.</w:t>
      </w:r>
    </w:p>
    <w:p w14:paraId="35DB815F" w14:textId="77777777" w:rsidR="00FA0C0C" w:rsidRDefault="00FA0C0C" w:rsidP="00FA0C0C">
      <w:pPr>
        <w:pStyle w:val="1"/>
        <w:jc w:val="both"/>
        <w:rPr>
          <w:lang w:val="en-US"/>
        </w:rPr>
      </w:pPr>
      <w:r>
        <w:rPr>
          <w:lang w:val="en-US"/>
        </w:rPr>
        <w:t>Conclusions</w:t>
      </w:r>
    </w:p>
    <w:p w14:paraId="0F579A8B" w14:textId="1D5AF466" w:rsidR="00F8348C" w:rsidRDefault="001819C1" w:rsidP="00582A16">
      <w:pPr>
        <w:spacing w:before="120" w:after="120"/>
        <w:rPr>
          <w:rFonts w:eastAsia="宋体"/>
          <w:lang w:eastAsia="zh-CN"/>
        </w:rPr>
      </w:pPr>
      <w:r>
        <w:rPr>
          <w:rFonts w:eastAsia="宋体"/>
          <w:lang w:eastAsia="zh-CN"/>
        </w:rPr>
        <w:t xml:space="preserve">In this paper we provided our views on </w:t>
      </w:r>
      <w:r w:rsidR="00D161F9">
        <w:rPr>
          <w:rFonts w:eastAsia="宋体"/>
          <w:lang w:eastAsia="zh-CN"/>
        </w:rPr>
        <w:t xml:space="preserve">remaining issues for </w:t>
      </w:r>
      <w:r w:rsidR="00D161F9" w:rsidRPr="00667489">
        <w:rPr>
          <w:rFonts w:eastAsia="宋体"/>
          <w:lang w:eastAsia="zh-CN"/>
        </w:rPr>
        <w:t>test cases for Case 1 and Case 2</w:t>
      </w:r>
      <w:r>
        <w:rPr>
          <w:rFonts w:eastAsia="宋体"/>
          <w:lang w:eastAsia="zh-CN"/>
        </w:rPr>
        <w:t>.</w:t>
      </w:r>
    </w:p>
    <w:p w14:paraId="7B69E8C6" w14:textId="77777777" w:rsidR="00576674" w:rsidRPr="00AB4C5B" w:rsidRDefault="00576674" w:rsidP="00576674">
      <w:pPr>
        <w:spacing w:before="120" w:after="120"/>
        <w:rPr>
          <w:rFonts w:eastAsiaTheme="minorEastAsia"/>
          <w:b/>
          <w:bCs/>
          <w:lang w:eastAsia="zh-CN"/>
        </w:rPr>
      </w:pPr>
      <w:r w:rsidRPr="00AB4C5B">
        <w:rPr>
          <w:rFonts w:eastAsiaTheme="minorEastAsia" w:hint="eastAsia"/>
          <w:b/>
          <w:bCs/>
          <w:lang w:eastAsia="zh-CN"/>
        </w:rPr>
        <w:t>P</w:t>
      </w:r>
      <w:r w:rsidRPr="00AB4C5B">
        <w:rPr>
          <w:rFonts w:eastAsiaTheme="minorEastAsia"/>
          <w:b/>
          <w:bCs/>
          <w:lang w:eastAsia="zh-CN"/>
        </w:rPr>
        <w:t>roposal 1</w:t>
      </w:r>
      <w:r>
        <w:rPr>
          <w:rFonts w:eastAsiaTheme="minorEastAsia"/>
          <w:b/>
          <w:bCs/>
          <w:lang w:eastAsia="zh-CN"/>
        </w:rPr>
        <w:t xml:space="preserve"> (for Case 1)</w:t>
      </w:r>
      <w:r w:rsidRPr="00AB4C5B">
        <w:rPr>
          <w:rFonts w:eastAsiaTheme="minorEastAsia"/>
          <w:b/>
          <w:bCs/>
          <w:lang w:eastAsia="zh-CN"/>
        </w:rPr>
        <w:t>: For TC1 and TC2, define separate test requirements for UE capable and incapable of FG 32-2.</w:t>
      </w:r>
      <w:r>
        <w:rPr>
          <w:rFonts w:eastAsiaTheme="minorEastAsia"/>
          <w:b/>
          <w:bCs/>
          <w:lang w:eastAsia="zh-CN"/>
        </w:rPr>
        <w:t xml:space="preserve"> </w:t>
      </w:r>
      <w:r>
        <w:rPr>
          <w:rFonts w:eastAsiaTheme="minorEastAsia" w:hint="eastAsia"/>
          <w:b/>
          <w:bCs/>
          <w:lang w:eastAsia="zh-CN"/>
        </w:rPr>
        <w:t>Fo</w:t>
      </w:r>
      <w:r>
        <w:rPr>
          <w:rFonts w:eastAsiaTheme="minorEastAsia"/>
          <w:b/>
          <w:bCs/>
          <w:lang w:eastAsia="zh-CN"/>
        </w:rPr>
        <w:t xml:space="preserve">r TC3 and TC4, do not verify dynamic collision handling behaviour. </w:t>
      </w:r>
    </w:p>
    <w:p w14:paraId="2A49608B" w14:textId="7CF13506" w:rsidR="00D71598" w:rsidRPr="00576674" w:rsidRDefault="00576674" w:rsidP="00D71598">
      <w:pPr>
        <w:spacing w:before="120" w:after="120"/>
        <w:rPr>
          <w:rFonts w:eastAsiaTheme="minorEastAsia"/>
          <w:b/>
          <w:bCs/>
          <w:lang w:eastAsia="zh-CN"/>
        </w:rPr>
      </w:pPr>
      <w:r w:rsidRPr="00AB4C5B">
        <w:rPr>
          <w:rFonts w:eastAsiaTheme="minorEastAsia" w:hint="eastAsia"/>
          <w:b/>
          <w:bCs/>
          <w:lang w:eastAsia="zh-CN"/>
        </w:rPr>
        <w:t>P</w:t>
      </w:r>
      <w:r w:rsidRPr="00AB4C5B">
        <w:rPr>
          <w:rFonts w:eastAsiaTheme="minorEastAsia"/>
          <w:b/>
          <w:bCs/>
          <w:lang w:eastAsia="zh-CN"/>
        </w:rPr>
        <w:t xml:space="preserve">roposal </w:t>
      </w:r>
      <w:r>
        <w:rPr>
          <w:rFonts w:eastAsiaTheme="minorEastAsia"/>
          <w:b/>
          <w:bCs/>
          <w:lang w:eastAsia="zh-CN"/>
        </w:rPr>
        <w:t>2 (for Case 2)</w:t>
      </w:r>
      <w:r w:rsidRPr="00AB4C5B">
        <w:rPr>
          <w:rFonts w:eastAsiaTheme="minorEastAsia"/>
          <w:b/>
          <w:bCs/>
          <w:lang w:eastAsia="zh-CN"/>
        </w:rPr>
        <w:t xml:space="preserve">: </w:t>
      </w:r>
      <w:r>
        <w:rPr>
          <w:rFonts w:eastAsiaTheme="minorEastAsia"/>
          <w:b/>
          <w:bCs/>
          <w:lang w:eastAsia="zh-CN"/>
        </w:rPr>
        <w:t xml:space="preserve">Introduce </w:t>
      </w:r>
      <w:r w:rsidRPr="00AB4C5B">
        <w:rPr>
          <w:rFonts w:eastAsiaTheme="minorEastAsia"/>
          <w:b/>
          <w:bCs/>
          <w:lang w:eastAsia="zh-CN"/>
        </w:rPr>
        <w:t>Con-NCSG TC4</w:t>
      </w:r>
      <w:r>
        <w:rPr>
          <w:rFonts w:eastAsiaTheme="minorEastAsia"/>
          <w:b/>
          <w:bCs/>
          <w:lang w:eastAsia="zh-CN"/>
        </w:rPr>
        <w:t>. Do not introduce inter-frequency neighbour cell (cell 3) in the TC.</w:t>
      </w:r>
    </w:p>
    <w:p w14:paraId="2ED084EA" w14:textId="77777777" w:rsidR="00FA0C0C" w:rsidRDefault="00FA0C0C" w:rsidP="00FA0C0C">
      <w:pPr>
        <w:pStyle w:val="1"/>
        <w:jc w:val="both"/>
        <w:rPr>
          <w:lang w:val="en-US"/>
        </w:rPr>
      </w:pPr>
      <w:r w:rsidRPr="00C0754F">
        <w:rPr>
          <w:lang w:val="en-US"/>
        </w:rPr>
        <w:t>Reference</w:t>
      </w:r>
    </w:p>
    <w:p w14:paraId="59A25197" w14:textId="1A267B41" w:rsidR="00196F9D" w:rsidRPr="00196F9D" w:rsidRDefault="00A55149" w:rsidP="00196F9D">
      <w:pPr>
        <w:numPr>
          <w:ilvl w:val="0"/>
          <w:numId w:val="5"/>
        </w:numPr>
        <w:spacing w:before="120" w:after="120"/>
        <w:rPr>
          <w:rFonts w:eastAsia="宋体"/>
          <w:lang w:val="en-US" w:eastAsia="zh-CN"/>
        </w:rPr>
      </w:pPr>
      <w:r w:rsidRPr="00DB0939">
        <w:rPr>
          <w:rFonts w:eastAsia="宋体"/>
          <w:lang w:val="en-US" w:eastAsia="zh-CN"/>
        </w:rPr>
        <w:t>R4-2</w:t>
      </w:r>
      <w:r w:rsidR="00FE3597">
        <w:rPr>
          <w:rFonts w:eastAsia="宋体"/>
          <w:lang w:val="en-US" w:eastAsia="zh-CN"/>
        </w:rPr>
        <w:t>406</w:t>
      </w:r>
      <w:r w:rsidR="00D71598">
        <w:rPr>
          <w:rFonts w:eastAsia="宋体"/>
          <w:lang w:val="en-US" w:eastAsia="zh-CN"/>
        </w:rPr>
        <w:t>439</w:t>
      </w:r>
      <w:r>
        <w:rPr>
          <w:rFonts w:eastAsia="宋体"/>
          <w:lang w:val="en-US" w:eastAsia="zh-CN"/>
        </w:rPr>
        <w:t xml:space="preserve">, </w:t>
      </w:r>
      <w:r w:rsidR="00D71598" w:rsidRPr="00D71598">
        <w:rPr>
          <w:rFonts w:eastAsia="宋体"/>
          <w:lang w:val="en-US" w:eastAsia="zh-CN"/>
        </w:rPr>
        <w:t>WF on NR_MG_enh2_part1</w:t>
      </w:r>
      <w:r>
        <w:rPr>
          <w:rFonts w:eastAsia="宋体"/>
          <w:lang w:val="en-US" w:eastAsia="zh-CN"/>
        </w:rPr>
        <w:t xml:space="preserve">, </w:t>
      </w:r>
      <w:r w:rsidR="00D71598" w:rsidRPr="00D71598">
        <w:rPr>
          <w:rFonts w:eastAsia="宋体"/>
          <w:lang w:val="en-US" w:eastAsia="zh-CN"/>
        </w:rPr>
        <w:t>MediaTek</w:t>
      </w:r>
    </w:p>
    <w:sectPr w:rsidR="00196F9D" w:rsidRPr="00196F9D"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DAD0E" w14:textId="77777777" w:rsidR="00285125" w:rsidRDefault="00285125">
      <w:pPr>
        <w:spacing w:before="120" w:after="120"/>
      </w:pPr>
      <w:r>
        <w:separator/>
      </w:r>
    </w:p>
  </w:endnote>
  <w:endnote w:type="continuationSeparator" w:id="0">
    <w:p w14:paraId="6DC463B3" w14:textId="77777777" w:rsidR="00285125" w:rsidRDefault="0028512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D6FDD"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2F1B43" w:rsidRDefault="002F1B4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8499F" w14:textId="77777777" w:rsidR="002F1B43" w:rsidRDefault="002F1B43">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2F1B43" w:rsidRDefault="002F1B4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50383" w14:textId="77777777" w:rsidR="00285125" w:rsidRDefault="00285125">
      <w:pPr>
        <w:spacing w:before="120" w:after="120"/>
      </w:pPr>
      <w:r>
        <w:separator/>
      </w:r>
    </w:p>
  </w:footnote>
  <w:footnote w:type="continuationSeparator" w:id="0">
    <w:p w14:paraId="50E33FD6" w14:textId="77777777" w:rsidR="00285125" w:rsidRDefault="0028512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6249"/>
    <w:multiLevelType w:val="hybridMultilevel"/>
    <w:tmpl w:val="A9046EBA"/>
    <w:lvl w:ilvl="0" w:tplc="01846C8C">
      <w:start w:val="392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EF30AD"/>
    <w:multiLevelType w:val="hybridMultilevel"/>
    <w:tmpl w:val="4BE0647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4DC82454"/>
    <w:multiLevelType w:val="hybridMultilevel"/>
    <w:tmpl w:val="A136FC6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9F0922"/>
    <w:multiLevelType w:val="multilevel"/>
    <w:tmpl w:val="589F092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4"/>
  </w:num>
  <w:num w:numId="2">
    <w:abstractNumId w:val="11"/>
  </w:num>
  <w:num w:numId="3">
    <w:abstractNumId w:val="14"/>
  </w:num>
  <w:num w:numId="4">
    <w:abstractNumId w:val="2"/>
  </w:num>
  <w:num w:numId="5">
    <w:abstractNumId w:val="3"/>
  </w:num>
  <w:num w:numId="6">
    <w:abstractNumId w:val="10"/>
  </w:num>
  <w:num w:numId="7">
    <w:abstractNumId w:val="6"/>
  </w:num>
  <w:num w:numId="8">
    <w:abstractNumId w:val="15"/>
    <w:lvlOverride w:ilvl="0">
      <w:startOverride w:val="1"/>
    </w:lvlOverride>
  </w:num>
  <w:num w:numId="9">
    <w:abstractNumId w:val="9"/>
  </w:num>
  <w:num w:numId="10">
    <w:abstractNumId w:val="13"/>
  </w:num>
  <w:num w:numId="11">
    <w:abstractNumId w:val="8"/>
  </w:num>
  <w:num w:numId="12">
    <w:abstractNumId w:val="12"/>
  </w:num>
  <w:num w:numId="13">
    <w:abstractNumId w:val="0"/>
  </w:num>
  <w:num w:numId="14">
    <w:abstractNumId w:val="7"/>
  </w:num>
  <w:num w:numId="15">
    <w:abstractNumId w:val="1"/>
  </w:num>
  <w:num w:numId="16">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E8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A61"/>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FA9"/>
    <w:rsid w:val="00096355"/>
    <w:rsid w:val="0009665C"/>
    <w:rsid w:val="000967E7"/>
    <w:rsid w:val="000969FD"/>
    <w:rsid w:val="000972E8"/>
    <w:rsid w:val="00097968"/>
    <w:rsid w:val="00097D02"/>
    <w:rsid w:val="000A020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417"/>
    <w:rsid w:val="000A55EC"/>
    <w:rsid w:val="000A561C"/>
    <w:rsid w:val="000A57C8"/>
    <w:rsid w:val="000A6433"/>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B9E"/>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702"/>
    <w:rsid w:val="000C1A53"/>
    <w:rsid w:val="000C1AA3"/>
    <w:rsid w:val="000C1EBE"/>
    <w:rsid w:val="000C1FBC"/>
    <w:rsid w:val="000C2395"/>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B3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1ED"/>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1B2"/>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9C7"/>
    <w:rsid w:val="00113C9C"/>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CE"/>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9C1"/>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A16"/>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6F9D"/>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0C3"/>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634"/>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1EFC"/>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1EA"/>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69B"/>
    <w:rsid w:val="001E537A"/>
    <w:rsid w:val="001E56E5"/>
    <w:rsid w:val="001E57E7"/>
    <w:rsid w:val="001E584A"/>
    <w:rsid w:val="001E5958"/>
    <w:rsid w:val="001E5BD7"/>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432"/>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83F"/>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58"/>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AF6"/>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508"/>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125"/>
    <w:rsid w:val="002854B1"/>
    <w:rsid w:val="00285637"/>
    <w:rsid w:val="00285708"/>
    <w:rsid w:val="0028590D"/>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0CD"/>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0D9"/>
    <w:rsid w:val="002A3BFD"/>
    <w:rsid w:val="002A3F12"/>
    <w:rsid w:val="002A3FC8"/>
    <w:rsid w:val="002A3FED"/>
    <w:rsid w:val="002A429C"/>
    <w:rsid w:val="002A481F"/>
    <w:rsid w:val="002A4B2C"/>
    <w:rsid w:val="002A4E8A"/>
    <w:rsid w:val="002A54E5"/>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9B8"/>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1D5B"/>
    <w:rsid w:val="002C2478"/>
    <w:rsid w:val="002C26B3"/>
    <w:rsid w:val="002C27CE"/>
    <w:rsid w:val="002C29A3"/>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CD5"/>
    <w:rsid w:val="002F2050"/>
    <w:rsid w:val="002F21C6"/>
    <w:rsid w:val="002F24CC"/>
    <w:rsid w:val="002F279B"/>
    <w:rsid w:val="002F3110"/>
    <w:rsid w:val="002F336E"/>
    <w:rsid w:val="002F39D1"/>
    <w:rsid w:val="002F3DC5"/>
    <w:rsid w:val="002F421B"/>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801"/>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9BA"/>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403"/>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8B"/>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7B"/>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7A7"/>
    <w:rsid w:val="003B3801"/>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4EE"/>
    <w:rsid w:val="003B663C"/>
    <w:rsid w:val="003B6C1C"/>
    <w:rsid w:val="003B712A"/>
    <w:rsid w:val="003B757D"/>
    <w:rsid w:val="003B760D"/>
    <w:rsid w:val="003B762D"/>
    <w:rsid w:val="003B76C1"/>
    <w:rsid w:val="003B76D5"/>
    <w:rsid w:val="003B7A52"/>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D86"/>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72"/>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90D"/>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47B"/>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C49"/>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B1"/>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5EB"/>
    <w:rsid w:val="0057486A"/>
    <w:rsid w:val="00574C5C"/>
    <w:rsid w:val="00574E85"/>
    <w:rsid w:val="00575579"/>
    <w:rsid w:val="00575ED0"/>
    <w:rsid w:val="005760C9"/>
    <w:rsid w:val="00576248"/>
    <w:rsid w:val="00576674"/>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A16"/>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1B23"/>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2979"/>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38B"/>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2A7"/>
    <w:rsid w:val="00615436"/>
    <w:rsid w:val="0061552D"/>
    <w:rsid w:val="006157A1"/>
    <w:rsid w:val="00615908"/>
    <w:rsid w:val="00615ADC"/>
    <w:rsid w:val="006160A4"/>
    <w:rsid w:val="00616121"/>
    <w:rsid w:val="00616198"/>
    <w:rsid w:val="006161A2"/>
    <w:rsid w:val="006162EC"/>
    <w:rsid w:val="006167D4"/>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6A1"/>
    <w:rsid w:val="00625743"/>
    <w:rsid w:val="00625806"/>
    <w:rsid w:val="00625B5D"/>
    <w:rsid w:val="0062606D"/>
    <w:rsid w:val="0062624E"/>
    <w:rsid w:val="0062671B"/>
    <w:rsid w:val="00626868"/>
    <w:rsid w:val="00626A57"/>
    <w:rsid w:val="00627166"/>
    <w:rsid w:val="0062731E"/>
    <w:rsid w:val="006273BD"/>
    <w:rsid w:val="00630660"/>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5D50"/>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106"/>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5F5"/>
    <w:rsid w:val="006B466F"/>
    <w:rsid w:val="006B49F6"/>
    <w:rsid w:val="006B4A30"/>
    <w:rsid w:val="006B4C8A"/>
    <w:rsid w:val="006B53CB"/>
    <w:rsid w:val="006B568C"/>
    <w:rsid w:val="006B5959"/>
    <w:rsid w:val="006B59E2"/>
    <w:rsid w:val="006B5CDA"/>
    <w:rsid w:val="006B5DD2"/>
    <w:rsid w:val="006B6604"/>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74F"/>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8BB"/>
    <w:rsid w:val="006E7F5C"/>
    <w:rsid w:val="006F0016"/>
    <w:rsid w:val="006F00CC"/>
    <w:rsid w:val="006F043E"/>
    <w:rsid w:val="006F081D"/>
    <w:rsid w:val="006F0ACE"/>
    <w:rsid w:val="006F0D52"/>
    <w:rsid w:val="006F13DA"/>
    <w:rsid w:val="006F1573"/>
    <w:rsid w:val="006F1A81"/>
    <w:rsid w:val="006F1BFF"/>
    <w:rsid w:val="006F2084"/>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399"/>
    <w:rsid w:val="00737600"/>
    <w:rsid w:val="00737ED7"/>
    <w:rsid w:val="00740115"/>
    <w:rsid w:val="007403B1"/>
    <w:rsid w:val="00740402"/>
    <w:rsid w:val="00740678"/>
    <w:rsid w:val="0074075C"/>
    <w:rsid w:val="00740A44"/>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519"/>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0FD"/>
    <w:rsid w:val="007C02EA"/>
    <w:rsid w:val="007C104C"/>
    <w:rsid w:val="007C1173"/>
    <w:rsid w:val="007C118E"/>
    <w:rsid w:val="007C157A"/>
    <w:rsid w:val="007C15D3"/>
    <w:rsid w:val="007C1752"/>
    <w:rsid w:val="007C1803"/>
    <w:rsid w:val="007C1827"/>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1F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900"/>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767"/>
    <w:rsid w:val="00862E40"/>
    <w:rsid w:val="008632C0"/>
    <w:rsid w:val="00863493"/>
    <w:rsid w:val="00863B2A"/>
    <w:rsid w:val="00863FFB"/>
    <w:rsid w:val="00864140"/>
    <w:rsid w:val="008647E7"/>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563"/>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0F89"/>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27D"/>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3C04"/>
    <w:rsid w:val="008E41B8"/>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019"/>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361"/>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1C"/>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20C"/>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127"/>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149"/>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991"/>
    <w:rsid w:val="00AA5B15"/>
    <w:rsid w:val="00AA5D64"/>
    <w:rsid w:val="00AA5EC6"/>
    <w:rsid w:val="00AA643B"/>
    <w:rsid w:val="00AA648F"/>
    <w:rsid w:val="00AA64CA"/>
    <w:rsid w:val="00AA64DC"/>
    <w:rsid w:val="00AA6672"/>
    <w:rsid w:val="00AA6B4A"/>
    <w:rsid w:val="00AA6FDE"/>
    <w:rsid w:val="00AA72A3"/>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4143"/>
    <w:rsid w:val="00AB488E"/>
    <w:rsid w:val="00AB4A58"/>
    <w:rsid w:val="00AB4C5B"/>
    <w:rsid w:val="00AB4FC4"/>
    <w:rsid w:val="00AB58B2"/>
    <w:rsid w:val="00AB5F73"/>
    <w:rsid w:val="00AB614D"/>
    <w:rsid w:val="00AB617A"/>
    <w:rsid w:val="00AB6282"/>
    <w:rsid w:val="00AB63FA"/>
    <w:rsid w:val="00AB6943"/>
    <w:rsid w:val="00AB7519"/>
    <w:rsid w:val="00AB791B"/>
    <w:rsid w:val="00AC0464"/>
    <w:rsid w:val="00AC0825"/>
    <w:rsid w:val="00AC09D0"/>
    <w:rsid w:val="00AC0E40"/>
    <w:rsid w:val="00AC1233"/>
    <w:rsid w:val="00AC1514"/>
    <w:rsid w:val="00AC17F3"/>
    <w:rsid w:val="00AC1807"/>
    <w:rsid w:val="00AC1B97"/>
    <w:rsid w:val="00AC1D9E"/>
    <w:rsid w:val="00AC1F59"/>
    <w:rsid w:val="00AC209A"/>
    <w:rsid w:val="00AC276D"/>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606"/>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1FF8"/>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7FA"/>
    <w:rsid w:val="00B54954"/>
    <w:rsid w:val="00B55900"/>
    <w:rsid w:val="00B55DC0"/>
    <w:rsid w:val="00B55E2D"/>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77BD7"/>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AFC"/>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47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DD8"/>
    <w:rsid w:val="00C541D2"/>
    <w:rsid w:val="00C54A4B"/>
    <w:rsid w:val="00C54C38"/>
    <w:rsid w:val="00C55651"/>
    <w:rsid w:val="00C55893"/>
    <w:rsid w:val="00C55BEF"/>
    <w:rsid w:val="00C55FD0"/>
    <w:rsid w:val="00C563F4"/>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36BD"/>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259"/>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910"/>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17EA"/>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2D7D"/>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48E"/>
    <w:rsid w:val="00D079ED"/>
    <w:rsid w:val="00D07B40"/>
    <w:rsid w:val="00D07FB0"/>
    <w:rsid w:val="00D100AB"/>
    <w:rsid w:val="00D10386"/>
    <w:rsid w:val="00D10B67"/>
    <w:rsid w:val="00D10C85"/>
    <w:rsid w:val="00D10F0D"/>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5FCD"/>
    <w:rsid w:val="00D1601B"/>
    <w:rsid w:val="00D1613A"/>
    <w:rsid w:val="00D16190"/>
    <w:rsid w:val="00D161F9"/>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43C"/>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9D"/>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2B8"/>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37D90"/>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E56"/>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16"/>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15D"/>
    <w:rsid w:val="00D703F7"/>
    <w:rsid w:val="00D7051B"/>
    <w:rsid w:val="00D70598"/>
    <w:rsid w:val="00D7067C"/>
    <w:rsid w:val="00D70ADD"/>
    <w:rsid w:val="00D70D05"/>
    <w:rsid w:val="00D70EF7"/>
    <w:rsid w:val="00D71598"/>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297"/>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038"/>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D15"/>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00"/>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B82"/>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4D47"/>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4D0F"/>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2F"/>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1"/>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770"/>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5F89"/>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48C"/>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368"/>
    <w:rsid w:val="00FB183F"/>
    <w:rsid w:val="00FB18DA"/>
    <w:rsid w:val="00FB1A91"/>
    <w:rsid w:val="00FB1AA9"/>
    <w:rsid w:val="00FB1CCD"/>
    <w:rsid w:val="00FB241F"/>
    <w:rsid w:val="00FB24D6"/>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61"/>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597"/>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6E2E"/>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C0A"/>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2"/>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CC1B7F7E-C88B-4E07-A11F-D7566B7D7713}">
  <ds:schemaRefs>
    <ds:schemaRef ds:uri="http://schemas.openxmlformats.org/officeDocument/2006/bibliography"/>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10262</TotalTime>
  <Pages>1</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Huawei_111</cp:lastModifiedBy>
  <cp:revision>108</cp:revision>
  <cp:lastPrinted>2009-04-22T06:01:00Z</cp:lastPrinted>
  <dcterms:created xsi:type="dcterms:W3CDTF">2023-05-06T02:02:00Z</dcterms:created>
  <dcterms:modified xsi:type="dcterms:W3CDTF">2024-05-13T12:44:00Z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(3)cv/LEgJLQs8yb6ozQ2ga2x491gqhgJvggGbl/RHK8RYJNPVyGyf+O5reDr3f0Kjt5cwqN1iB
f7tzPrCWggG8GQVRgdZsiNBwHkmITSi+dBJZJ+F75xMQruDZXOzWfwWpJUjFvdkWzSXYarPO
KpP2slRyvP7nbGoC08f/9RGzapLV/QrBkrGkc3Knhq+KCi5YVR2UZ1/jNisrzbt8aYTnHuWF
VRopoSCjBrK8isAH4n</vt:lpwstr>
  </property>
  <property fmtid="{D5CDD505-2E9C-101B-9397-08002B2CF9AE}" pid="17" name="_2015_ms_pID_725343_00">
    <vt:lpwstr>_2015_ms_pID_725343</vt:lpwstr>
  </property>
  <property fmtid="{D5CDD505-2E9C-101B-9397-08002B2CF9AE}" pid="18" name="_2015_ms_pID_7253431">
    <vt:lpwstr>fkq45aNQN9NSdjTmvCdf/6DxeaYRVMSfDQkmWn72bMUQIzOZ96u64V
3cBDLapu+oxjz+4wHqDEw8u7zRnlEmjMytc7CFakXYTmCZ6Jw5VLqzfvfm61I73xTa7do8XB
Md6JF4xBjNdN1eeLsjgm9rtZ877FR73h5H861Y3dRg1mERhXUs2kSWGqiWnpycj6T3i19DE6
cO9p+KBBIZ7rQo2Ocrwf4w/EBnR+9KjrlgG2</vt:lpwstr>
  </property>
  <property fmtid="{D5CDD505-2E9C-101B-9397-08002B2CF9AE}" pid="19" name="_2015_ms_pID_7253431_00">
    <vt:lpwstr>_2015_ms_pID_7253431</vt:lpwstr>
  </property>
  <property fmtid="{D5CDD505-2E9C-101B-9397-08002B2CF9AE}" pid="20" name="_2015_ms_pID_7253432">
    <vt:lpwstr>9VO6oBSd9yu0DH3hYiYA7/BQnyhsrppkrCDG
1awYiKDCEOFeX6Va7beVnv2C77bNTqbJm+TeOyX+UbTZxp4S2do=</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