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bidi w:val="0"/>
        <w:rPr>
          <w:rFonts w:hint="default" w:ascii="Arial" w:hAnsi="Arial" w:cs="Arial"/>
          <w:b/>
          <w:bCs/>
          <w:sz w:val="24"/>
          <w:szCs w:val="28"/>
          <w:lang w:val="en-US" w:eastAsia="zh-CN"/>
        </w:rPr>
      </w:pPr>
      <w:r>
        <w:rPr>
          <w:rFonts w:hint="default" w:ascii="Arial" w:hAnsi="Arial" w:cs="Arial"/>
          <w:b/>
          <w:bCs/>
          <w:sz w:val="24"/>
          <w:szCs w:val="28"/>
          <w:lang w:val="en-US" w:eastAsia="zh-CN"/>
        </w:rPr>
        <w:t>3GPP TSG-RAN WG4 Meeting #110bis</w:t>
      </w:r>
      <w:r>
        <w:rPr>
          <w:rFonts w:hint="default" w:ascii="Arial" w:hAnsi="Arial" w:cs="Arial"/>
          <w:b/>
          <w:bCs/>
          <w:sz w:val="24"/>
          <w:szCs w:val="28"/>
          <w:lang w:val="en-US" w:eastAsia="zh-CN"/>
        </w:rPr>
        <w:tab/>
      </w:r>
      <w:r>
        <w:rPr>
          <w:rFonts w:hint="eastAsia" w:ascii="Arial" w:hAnsi="Arial" w:cs="Arial"/>
          <w:b/>
          <w:bCs/>
          <w:sz w:val="24"/>
          <w:szCs w:val="28"/>
          <w:lang w:val="en-US" w:eastAsia="zh-CN"/>
        </w:rPr>
        <w:tab/>
      </w:r>
      <w:r>
        <w:rPr>
          <w:rFonts w:hint="eastAsia" w:ascii="Arial" w:hAnsi="Arial" w:cs="Arial"/>
          <w:b/>
          <w:bCs/>
          <w:sz w:val="24"/>
          <w:szCs w:val="28"/>
          <w:lang w:val="en-US" w:eastAsia="zh-CN"/>
        </w:rPr>
        <w:tab/>
      </w:r>
      <w:r>
        <w:rPr>
          <w:rFonts w:hint="eastAsia" w:ascii="Arial" w:hAnsi="Arial" w:cs="Arial"/>
          <w:b/>
          <w:bCs/>
          <w:sz w:val="24"/>
          <w:szCs w:val="28"/>
          <w:lang w:val="en-US" w:eastAsia="zh-CN"/>
        </w:rPr>
        <w:tab/>
      </w:r>
      <w:r>
        <w:rPr>
          <w:rFonts w:hint="eastAsia" w:ascii="Arial" w:hAnsi="Arial" w:cs="Arial"/>
          <w:b/>
          <w:bCs/>
          <w:sz w:val="24"/>
          <w:szCs w:val="28"/>
          <w:lang w:val="en-US" w:eastAsia="zh-CN"/>
        </w:rPr>
        <w:tab/>
      </w:r>
      <w:r>
        <w:rPr>
          <w:rFonts w:hint="eastAsia" w:ascii="Arial" w:hAnsi="Arial" w:cs="Arial"/>
          <w:b/>
          <w:bCs/>
          <w:sz w:val="24"/>
          <w:szCs w:val="28"/>
          <w:lang w:val="en-US" w:eastAsia="zh-CN"/>
        </w:rPr>
        <w:tab/>
      </w:r>
      <w:r>
        <w:rPr>
          <w:rFonts w:hint="eastAsia" w:ascii="Arial" w:hAnsi="Arial" w:cs="Arial"/>
          <w:b/>
          <w:bCs/>
          <w:sz w:val="24"/>
          <w:szCs w:val="28"/>
          <w:lang w:val="en-US" w:eastAsia="zh-CN"/>
        </w:rPr>
        <w:tab/>
      </w:r>
      <w:r>
        <w:rPr>
          <w:rFonts w:hint="eastAsia" w:ascii="Arial" w:hAnsi="Arial" w:cs="Arial"/>
          <w:b/>
          <w:bCs/>
          <w:sz w:val="24"/>
          <w:szCs w:val="28"/>
          <w:lang w:val="en-US" w:eastAsia="zh-CN"/>
        </w:rPr>
        <w:tab/>
      </w:r>
      <w:r>
        <w:rPr>
          <w:rFonts w:hint="eastAsia" w:ascii="Arial" w:hAnsi="Arial" w:cs="Arial"/>
          <w:b/>
          <w:bCs/>
          <w:sz w:val="24"/>
          <w:szCs w:val="28"/>
          <w:lang w:val="en-US" w:eastAsia="zh-CN"/>
        </w:rPr>
        <w:tab/>
      </w:r>
      <w:r>
        <w:rPr>
          <w:rFonts w:hint="eastAsia" w:ascii="Arial" w:hAnsi="Arial" w:cs="Arial"/>
          <w:b/>
          <w:bCs/>
          <w:sz w:val="24"/>
          <w:szCs w:val="28"/>
          <w:lang w:val="en-US" w:eastAsia="zh-CN"/>
        </w:rPr>
        <w:tab/>
      </w:r>
      <w:r>
        <w:rPr>
          <w:rFonts w:hint="default" w:ascii="Arial" w:hAnsi="Arial" w:cs="Arial"/>
          <w:b/>
          <w:bCs/>
          <w:sz w:val="24"/>
          <w:szCs w:val="28"/>
          <w:lang w:val="en-US" w:eastAsia="zh-CN"/>
        </w:rPr>
        <w:t>R4-2405305</w:t>
      </w:r>
    </w:p>
    <w:p>
      <w:pPr>
        <w:bidi w:val="0"/>
        <w:rPr>
          <w:rFonts w:hint="default" w:ascii="Arial" w:hAnsi="Arial" w:cs="Arial"/>
          <w:b/>
          <w:bCs/>
          <w:sz w:val="24"/>
          <w:szCs w:val="28"/>
          <w:lang w:val="en-US" w:eastAsia="zh-CN"/>
        </w:rPr>
      </w:pPr>
      <w:r>
        <w:rPr>
          <w:rFonts w:hint="default" w:ascii="Arial" w:hAnsi="Arial" w:cs="Arial"/>
          <w:b/>
          <w:bCs/>
          <w:sz w:val="24"/>
          <w:szCs w:val="28"/>
          <w:lang w:val="en-US" w:eastAsia="zh-CN"/>
        </w:rPr>
        <w:t>Changsha, China, 15th – 19th April, 2024</w:t>
      </w:r>
    </w:p>
    <w:p>
      <w:pPr>
        <w:bidi w:val="0"/>
        <w:rPr>
          <w:rFonts w:hint="default" w:ascii="Arial" w:hAnsi="Arial" w:cs="Arial"/>
          <w:b/>
          <w:bCs/>
          <w:sz w:val="24"/>
          <w:szCs w:val="28"/>
          <w:lang w:val="en-US" w:eastAsia="zh-CN"/>
        </w:rPr>
      </w:pPr>
    </w:p>
    <w:p>
      <w:pPr>
        <w:tabs>
          <w:tab w:val="left" w:pos="1980"/>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Agenda item:</w:t>
      </w:r>
      <w:r>
        <w:rPr>
          <w:rFonts w:ascii="Arial" w:hAnsi="Arial" w:eastAsia="MS Mincho" w:cs="Arial"/>
          <w:b/>
          <w:sz w:val="24"/>
          <w:szCs w:val="24"/>
          <w:lang w:eastAsia="en-US"/>
        </w:rPr>
        <w:tab/>
      </w:r>
      <w:r>
        <w:rPr>
          <w:rFonts w:hint="eastAsia" w:ascii="Arial" w:hAnsi="Arial" w:cs="Arial"/>
          <w:b/>
          <w:sz w:val="24"/>
          <w:szCs w:val="24"/>
          <w:highlight w:val="none"/>
          <w:lang w:val="en-US" w:eastAsia="zh-CN"/>
        </w:rPr>
        <w:t>9.13.2</w:t>
      </w:r>
    </w:p>
    <w:p>
      <w:pPr>
        <w:tabs>
          <w:tab w:val="left" w:pos="1980"/>
        </w:tabs>
        <w:spacing w:after="180"/>
        <w:ind w:left="1980" w:hanging="1980"/>
        <w:rPr>
          <w:rFonts w:ascii="Arial" w:hAnsi="Arial" w:eastAsia="MS Mincho" w:cs="Arial"/>
          <w:b/>
          <w:sz w:val="24"/>
          <w:szCs w:val="24"/>
          <w:lang w:eastAsia="en-US"/>
        </w:rPr>
      </w:pPr>
      <w:r>
        <w:rPr>
          <w:rFonts w:ascii="Arial" w:hAnsi="Arial" w:eastAsia="MS Mincho" w:cs="Arial"/>
          <w:b/>
          <w:sz w:val="24"/>
          <w:szCs w:val="24"/>
          <w:lang w:eastAsia="en-US"/>
        </w:rPr>
        <w:t xml:space="preserve">Source: </w:t>
      </w:r>
      <w:r>
        <w:rPr>
          <w:rFonts w:ascii="Arial" w:hAnsi="Arial" w:eastAsia="MS Mincho" w:cs="Arial"/>
          <w:b/>
          <w:sz w:val="24"/>
          <w:szCs w:val="24"/>
          <w:lang w:eastAsia="en-US"/>
        </w:rPr>
        <w:tab/>
      </w:r>
      <w:r>
        <w:rPr>
          <w:rFonts w:ascii="Arial" w:hAnsi="Arial" w:eastAsia="MS Mincho" w:cs="Arial"/>
          <w:b/>
          <w:sz w:val="24"/>
          <w:szCs w:val="24"/>
          <w:lang w:eastAsia="en-US"/>
        </w:rPr>
        <w:t>CMCC</w:t>
      </w:r>
      <w:bookmarkStart w:id="0" w:name="_GoBack"/>
      <w:bookmarkEnd w:id="0"/>
    </w:p>
    <w:p>
      <w:pPr>
        <w:tabs>
          <w:tab w:val="left" w:pos="1980"/>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 xml:space="preserve">Title: </w:t>
      </w:r>
      <w:r>
        <w:rPr>
          <w:rFonts w:ascii="Arial" w:hAnsi="Arial" w:eastAsia="MS Mincho" w:cs="Arial"/>
          <w:b/>
          <w:sz w:val="24"/>
          <w:szCs w:val="24"/>
          <w:lang w:eastAsia="en-US"/>
        </w:rPr>
        <w:tab/>
      </w:r>
      <w:r>
        <w:rPr>
          <w:rFonts w:hint="eastAsia" w:ascii="Arial" w:hAnsi="Arial" w:cs="Arial"/>
          <w:b/>
          <w:sz w:val="24"/>
          <w:szCs w:val="24"/>
          <w:lang w:val="en-US" w:eastAsia="zh-CN"/>
        </w:rPr>
        <w:t>Discussion on A-IoT co-existence evaluation</w:t>
      </w:r>
    </w:p>
    <w:p>
      <w:pPr>
        <w:tabs>
          <w:tab w:val="left" w:pos="1980"/>
        </w:tabs>
        <w:spacing w:after="180"/>
        <w:ind w:left="1980" w:hanging="1980"/>
        <w:rPr>
          <w:rFonts w:ascii="Arial" w:hAnsi="Arial" w:eastAsia="MS Mincho" w:cs="Arial"/>
          <w:b/>
          <w:sz w:val="24"/>
          <w:szCs w:val="24"/>
          <w:lang w:eastAsia="en-US"/>
        </w:rPr>
      </w:pPr>
      <w:r>
        <w:rPr>
          <w:rFonts w:ascii="Arial" w:hAnsi="Arial" w:eastAsia="MS Mincho" w:cs="Arial"/>
          <w:b/>
          <w:sz w:val="24"/>
          <w:szCs w:val="24"/>
          <w:lang w:eastAsia="en-US"/>
        </w:rPr>
        <w:t>Document for:</w:t>
      </w:r>
      <w:r>
        <w:rPr>
          <w:rFonts w:ascii="Arial" w:hAnsi="Arial" w:eastAsia="MS Mincho" w:cs="Arial"/>
          <w:b/>
          <w:sz w:val="24"/>
          <w:szCs w:val="24"/>
          <w:lang w:eastAsia="en-US"/>
        </w:rPr>
        <w:tab/>
      </w:r>
      <w:r>
        <w:rPr>
          <w:rFonts w:ascii="Arial" w:hAnsi="Arial" w:eastAsia="MS Mincho" w:cs="Arial"/>
          <w:b/>
          <w:sz w:val="24"/>
          <w:szCs w:val="24"/>
          <w:lang w:eastAsia="en-US"/>
        </w:rPr>
        <w:t>Discussion</w:t>
      </w:r>
    </w:p>
    <w:p>
      <w:pPr>
        <w:keepNext/>
        <w:keepLines/>
        <w:widowControl/>
        <w:pBdr>
          <w:top w:val="single" w:color="auto" w:sz="12" w:space="1"/>
        </w:pBdr>
        <w:tabs>
          <w:tab w:val="left" w:pos="567"/>
        </w:tabs>
        <w:adjustRightInd w:val="0"/>
        <w:spacing w:before="240" w:after="180"/>
        <w:ind w:left="510" w:hanging="510"/>
        <w:outlineLvl w:val="0"/>
        <w:rPr>
          <w:rFonts w:ascii="Arial" w:hAnsi="Arial" w:eastAsiaTheme="minorEastAsia" w:cstheme="minorBidi"/>
          <w:sz w:val="32"/>
          <w:szCs w:val="36"/>
        </w:rPr>
      </w:pPr>
      <w:r>
        <w:rPr>
          <w:rFonts w:ascii="Arial" w:hAnsi="Arial" w:eastAsiaTheme="minorEastAsia" w:cstheme="minorBidi"/>
          <w:sz w:val="32"/>
          <w:szCs w:val="36"/>
        </w:rPr>
        <w:t>1. Introduction</w:t>
      </w:r>
    </w:p>
    <w:p>
      <w:pPr>
        <w:spacing w:after="180"/>
        <w:rPr>
          <w:rFonts w:hint="eastAsia" w:ascii="Times New Roman" w:hAnsi="Times New Roman"/>
          <w:sz w:val="20"/>
          <w:lang w:val="en-US" w:eastAsia="zh-CN"/>
        </w:rPr>
      </w:pPr>
      <w:r>
        <w:rPr>
          <w:rFonts w:hint="eastAsia" w:ascii="Times New Roman" w:hAnsi="Times New Roman"/>
          <w:sz w:val="20"/>
          <w:lang w:val="en-US" w:eastAsia="zh-CN"/>
        </w:rPr>
        <w:t>In RAN plenary #102 meeting, a new SID[1] of A-IoT is approved with following RAN4 lead RF part objectives:</w:t>
      </w:r>
    </w:p>
    <w:p>
      <w:pPr>
        <w:numPr>
          <w:ilvl w:val="0"/>
          <w:numId w:val="1"/>
        </w:numPr>
        <w:spacing w:after="180"/>
        <w:ind w:left="720" w:leftChars="0" w:hanging="360" w:firstLineChars="0"/>
        <w:rPr>
          <w:rFonts w:hint="eastAsia" w:ascii="Times New Roman" w:hAnsi="Times New Roman"/>
          <w:sz w:val="20"/>
          <w:lang w:val="en-US" w:eastAsia="zh-CN"/>
        </w:rPr>
      </w:pPr>
      <w:r>
        <w:rPr>
          <w:rFonts w:hint="eastAsia" w:ascii="Times New Roman" w:hAnsi="Times New Roman"/>
          <w:sz w:val="20"/>
          <w:lang w:val="en-US" w:eastAsia="zh-CN"/>
        </w:rPr>
        <w:t>Coexistence study of Ambient IoT and NR/LTE.</w:t>
      </w:r>
    </w:p>
    <w:p>
      <w:pPr>
        <w:numPr>
          <w:ilvl w:val="0"/>
          <w:numId w:val="1"/>
        </w:numPr>
        <w:spacing w:after="180"/>
        <w:ind w:left="720" w:leftChars="0" w:hanging="360" w:firstLineChars="0"/>
        <w:rPr>
          <w:rFonts w:hint="eastAsia" w:ascii="Times New Roman" w:hAnsi="Times New Roman"/>
          <w:sz w:val="20"/>
          <w:lang w:val="en-US" w:eastAsia="zh-CN"/>
        </w:rPr>
      </w:pPr>
      <w:r>
        <w:rPr>
          <w:rFonts w:hint="eastAsia" w:ascii="Times New Roman" w:hAnsi="Times New Roman"/>
          <w:sz w:val="20"/>
          <w:lang w:val="en-US" w:eastAsia="zh-CN"/>
        </w:rPr>
        <w:t>RF requirements study for Ambient IoT:</w:t>
      </w:r>
    </w:p>
    <w:p>
      <w:pPr>
        <w:numPr>
          <w:ilvl w:val="1"/>
          <w:numId w:val="1"/>
        </w:numPr>
        <w:spacing w:after="180"/>
        <w:ind w:left="1440" w:leftChars="0" w:hanging="360" w:firstLineChars="0"/>
        <w:rPr>
          <w:rFonts w:hint="eastAsia" w:ascii="Times New Roman" w:hAnsi="Times New Roman"/>
          <w:sz w:val="20"/>
          <w:lang w:val="en-US" w:eastAsia="zh-CN"/>
        </w:rPr>
      </w:pPr>
      <w:r>
        <w:rPr>
          <w:rFonts w:hint="eastAsia" w:ascii="Times New Roman" w:hAnsi="Times New Roman"/>
          <w:sz w:val="20"/>
          <w:lang w:val="en-US" w:eastAsia="zh-CN"/>
        </w:rPr>
        <w:t>Ambient IoT BS transmission and reception</w:t>
      </w:r>
    </w:p>
    <w:p>
      <w:pPr>
        <w:numPr>
          <w:ilvl w:val="1"/>
          <w:numId w:val="1"/>
        </w:numPr>
        <w:spacing w:after="180"/>
        <w:ind w:left="1440" w:leftChars="0" w:hanging="360" w:firstLineChars="0"/>
        <w:rPr>
          <w:rFonts w:hint="eastAsia" w:ascii="Times New Roman" w:hAnsi="Times New Roman"/>
          <w:sz w:val="20"/>
          <w:lang w:val="en-US" w:eastAsia="zh-CN"/>
        </w:rPr>
      </w:pPr>
      <w:r>
        <w:rPr>
          <w:rFonts w:hint="eastAsia" w:ascii="Times New Roman" w:hAnsi="Times New Roman"/>
          <w:sz w:val="20"/>
          <w:lang w:val="en-US" w:eastAsia="zh-CN"/>
        </w:rPr>
        <w:t>Ambient IoT Device, as per the General Scope, transmission and reception</w:t>
      </w:r>
    </w:p>
    <w:p>
      <w:pPr>
        <w:numPr>
          <w:ilvl w:val="1"/>
          <w:numId w:val="1"/>
        </w:numPr>
        <w:spacing w:after="180"/>
        <w:ind w:left="1440" w:leftChars="0" w:hanging="360" w:firstLineChars="0"/>
        <w:rPr>
          <w:rFonts w:hint="eastAsia" w:ascii="Times New Roman" w:hAnsi="Times New Roman"/>
          <w:sz w:val="20"/>
          <w:lang w:val="en-US" w:eastAsia="zh-CN"/>
        </w:rPr>
      </w:pPr>
      <w:r>
        <w:rPr>
          <w:rFonts w:hint="eastAsia" w:ascii="Times New Roman" w:hAnsi="Times New Roman"/>
          <w:sz w:val="20"/>
          <w:lang w:val="en-US" w:eastAsia="zh-CN"/>
        </w:rPr>
        <w:t>Intermediate node (UE), as per the General Scope, transmission and reception</w:t>
      </w:r>
    </w:p>
    <w:p>
      <w:pPr>
        <w:keepNext w:val="0"/>
        <w:keepLines w:val="0"/>
        <w:pageBreakBefore w:val="0"/>
        <w:widowControl w:val="0"/>
        <w:numPr>
          <w:ilvl w:val="0"/>
          <w:numId w:val="0"/>
        </w:numPr>
        <w:kinsoku/>
        <w:wordWrap/>
        <w:overflowPunct/>
        <w:topLinePunct w:val="0"/>
        <w:autoSpaceDE/>
        <w:autoSpaceDN/>
        <w:bidi w:val="0"/>
        <w:adjustRightInd/>
        <w:snapToGrid/>
        <w:spacing w:before="120" w:beforeLines="50" w:after="0"/>
        <w:ind w:left="0" w:leftChars="0"/>
        <w:textAlignment w:val="auto"/>
        <w:rPr>
          <w:rFonts w:hint="default" w:ascii="Times New Roman" w:hAnsi="Times New Roman" w:eastAsia="宋体"/>
          <w:sz w:val="20"/>
          <w:lang w:val="en-US" w:eastAsia="zh-CN"/>
        </w:rPr>
      </w:pPr>
      <w:r>
        <w:rPr>
          <w:rFonts w:hint="eastAsia" w:ascii="Times New Roman" w:hAnsi="Times New Roman" w:cs="Times New Roman"/>
          <w:bCs/>
          <w:sz w:val="20"/>
          <w:szCs w:val="20"/>
          <w:lang w:val="en-US" w:eastAsia="zh-CN"/>
        </w:rPr>
        <w:t>Considering RAN4 only have 4 meetings to finish co-existence analysis and RF requirement analysis, it</w:t>
      </w:r>
      <w:r>
        <w:rPr>
          <w:rFonts w:hint="default" w:ascii="Times New Roman" w:hAnsi="Times New Roman" w:cs="Times New Roman"/>
          <w:bCs/>
          <w:sz w:val="20"/>
          <w:szCs w:val="20"/>
          <w:lang w:val="en-US" w:eastAsia="zh-CN"/>
        </w:rPr>
        <w:t>’</w:t>
      </w:r>
      <w:r>
        <w:rPr>
          <w:rFonts w:hint="eastAsia" w:ascii="Times New Roman" w:hAnsi="Times New Roman" w:cs="Times New Roman"/>
          <w:bCs/>
          <w:sz w:val="20"/>
          <w:szCs w:val="20"/>
          <w:lang w:val="en-US" w:eastAsia="zh-CN"/>
        </w:rPr>
        <w:t xml:space="preserve">s challenging with high workload to finish all evaluation cases. In this contribution, we only list our preferred evaluation cases from commercial deployment scenario point of view. Besides, we list some suggested evaluation parameters. </w:t>
      </w:r>
    </w:p>
    <w:p>
      <w:pPr>
        <w:keepNext/>
        <w:keepLines/>
        <w:widowControl/>
        <w:numPr>
          <w:ilvl w:val="0"/>
          <w:numId w:val="2"/>
        </w:numPr>
        <w:pBdr>
          <w:top w:val="single" w:color="auto" w:sz="12" w:space="1"/>
        </w:pBdr>
        <w:tabs>
          <w:tab w:val="left" w:pos="567"/>
        </w:tabs>
        <w:adjustRightInd w:val="0"/>
        <w:spacing w:before="240" w:after="180"/>
        <w:ind w:left="510" w:hanging="510"/>
        <w:outlineLvl w:val="0"/>
        <w:rPr>
          <w:rFonts w:hint="eastAsia" w:ascii="Arial" w:hAnsi="Arial" w:eastAsiaTheme="minorEastAsia" w:cstheme="minorBidi"/>
          <w:sz w:val="32"/>
          <w:szCs w:val="36"/>
        </w:rPr>
      </w:pPr>
      <w:r>
        <w:rPr>
          <w:rFonts w:hint="eastAsia" w:ascii="Arial" w:hAnsi="Arial" w:eastAsiaTheme="minorEastAsia" w:cstheme="minorBidi"/>
          <w:sz w:val="32"/>
          <w:szCs w:val="36"/>
        </w:rPr>
        <w:t>Discussion</w:t>
      </w:r>
    </w:p>
    <w:p>
      <w:pPr>
        <w:pStyle w:val="4"/>
        <w:bidi w:val="0"/>
        <w:rPr>
          <w:rFonts w:hint="eastAsia"/>
          <w:lang w:val="en-US" w:eastAsia="zh-CN"/>
        </w:rPr>
      </w:pPr>
      <w:r>
        <w:rPr>
          <w:rFonts w:hint="eastAsia"/>
          <w:lang w:val="en-US" w:eastAsia="zh-CN"/>
        </w:rPr>
        <w:t xml:space="preserve">2.1 co-existence deployment scenarios </w:t>
      </w:r>
    </w:p>
    <w:p>
      <w:pPr>
        <w:numPr>
          <w:ilvl w:val="0"/>
          <w:numId w:val="0"/>
        </w:numPr>
        <w:spacing w:after="180"/>
        <w:ind w:leftChars="0"/>
        <w:jc w:val="left"/>
        <w:rPr>
          <w:rFonts w:hint="eastAsia" w:ascii="Times New Roman" w:hAnsi="Times New Roman"/>
          <w:b w:val="0"/>
          <w:bCs w:val="0"/>
          <w:sz w:val="20"/>
          <w:szCs w:val="20"/>
          <w:lang w:val="en-US" w:eastAsia="zh-CN"/>
        </w:rPr>
      </w:pPr>
      <w:r>
        <w:rPr>
          <w:rFonts w:hint="eastAsia" w:ascii="Times New Roman" w:hAnsi="Times New Roman"/>
          <w:b w:val="0"/>
          <w:bCs w:val="0"/>
          <w:sz w:val="20"/>
          <w:szCs w:val="20"/>
          <w:lang w:val="en-US" w:eastAsia="zh-CN"/>
        </w:rPr>
        <w:t xml:space="preserve">Current SID involves both A-IoT topology 1 and topology 2. The characteristics of these two kinds of topology are referred from clause 4.2.2 of TR 38.848 which originally includes both co-site and new site cases when coexisting with existing 3GPP technologies. Whether only focus on co-site or both co-site and new site depends on actual commercial network deployment. Licensed FDD bands usually perform better coverage characteristics due to lower frequency range. Besides, co-channel interference may occur when outdoor and indoor BS use the same carrier especially for very lower frequency, e.g. less than 1GHz. In our network, only outdoor macro BS are deployed for 900MHz. </w:t>
      </w:r>
    </w:p>
    <w:p>
      <w:pPr>
        <w:numPr>
          <w:ilvl w:val="0"/>
          <w:numId w:val="0"/>
        </w:numPr>
        <w:spacing w:after="180"/>
        <w:ind w:leftChars="0"/>
        <w:jc w:val="left"/>
        <w:rPr>
          <w:rFonts w:hint="eastAsia" w:ascii="Times New Roman" w:hAnsi="Times New Roman"/>
          <w:b w:val="0"/>
          <w:bCs w:val="0"/>
          <w:sz w:val="20"/>
          <w:szCs w:val="20"/>
          <w:lang w:val="en-US" w:eastAsia="zh-CN"/>
        </w:rPr>
      </w:pPr>
      <w:r>
        <w:rPr>
          <w:rFonts w:hint="eastAsia" w:ascii="Times New Roman" w:hAnsi="Times New Roman"/>
          <w:b w:val="0"/>
          <w:bCs w:val="0"/>
          <w:sz w:val="20"/>
          <w:szCs w:val="20"/>
          <w:lang w:val="en-US" w:eastAsia="zh-CN"/>
        </w:rPr>
        <w:t>Following list our suggestions for the deployment scenario when co-existing with existing 3GPP technologies for topology 1.</w:t>
      </w:r>
    </w:p>
    <w:p>
      <w:pPr>
        <w:numPr>
          <w:ilvl w:val="0"/>
          <w:numId w:val="3"/>
        </w:numPr>
        <w:spacing w:after="180"/>
        <w:ind w:left="720" w:leftChars="0" w:hanging="360" w:firstLineChars="0"/>
        <w:jc w:val="left"/>
        <w:rPr>
          <w:rFonts w:hint="eastAsia" w:ascii="Times New Roman" w:hAnsi="Times New Roman"/>
          <w:b w:val="0"/>
          <w:bCs w:val="0"/>
          <w:sz w:val="20"/>
          <w:szCs w:val="20"/>
          <w:lang w:val="en-US" w:eastAsia="zh-CN"/>
        </w:rPr>
      </w:pPr>
      <w:r>
        <w:rPr>
          <w:rFonts w:hint="eastAsia" w:ascii="Times New Roman" w:hAnsi="Times New Roman"/>
          <w:b w:val="0"/>
          <w:bCs w:val="0"/>
          <w:sz w:val="20"/>
          <w:szCs w:val="20"/>
          <w:lang w:val="en-US" w:eastAsia="zh-CN"/>
        </w:rPr>
        <w:t>Option 1</w:t>
      </w:r>
      <w:r>
        <w:rPr>
          <w:rFonts w:hint="eastAsia" w:ascii="Times New Roman" w:hAnsi="Times New Roman"/>
          <w:b/>
          <w:bCs/>
          <w:sz w:val="20"/>
          <w:szCs w:val="20"/>
          <w:lang w:val="en-US" w:eastAsia="zh-CN"/>
        </w:rPr>
        <w:t xml:space="preserve"> (high priority): for topology 1, </w:t>
      </w:r>
      <w:r>
        <w:rPr>
          <w:rFonts w:hint="eastAsia" w:ascii="Times New Roman" w:hAnsi="Times New Roman"/>
          <w:b w:val="0"/>
          <w:bCs w:val="0"/>
          <w:sz w:val="20"/>
          <w:szCs w:val="20"/>
          <w:lang w:val="en-US" w:eastAsia="zh-CN"/>
        </w:rPr>
        <w:t>existing NR/LTE gNB are outdoor macro gNB while A-IoT reader/CW/devices are all indoors</w:t>
      </w:r>
    </w:p>
    <w:p>
      <w:pPr>
        <w:numPr>
          <w:ilvl w:val="1"/>
          <w:numId w:val="3"/>
        </w:numPr>
        <w:spacing w:after="180"/>
        <w:ind w:left="1440" w:leftChars="0" w:hanging="360" w:firstLineChars="0"/>
        <w:jc w:val="left"/>
        <w:rPr>
          <w:rFonts w:hint="eastAsia" w:ascii="Times New Roman" w:hAnsi="Times New Roman"/>
          <w:b w:val="0"/>
          <w:bCs w:val="0"/>
          <w:sz w:val="20"/>
          <w:szCs w:val="20"/>
          <w:lang w:val="en-US" w:eastAsia="zh-CN"/>
        </w:rPr>
      </w:pPr>
      <w:r>
        <w:rPr>
          <w:rFonts w:hint="eastAsia" w:ascii="Times New Roman" w:hAnsi="Times New Roman"/>
          <w:b w:val="0"/>
          <w:bCs w:val="0"/>
          <w:sz w:val="20"/>
          <w:szCs w:val="20"/>
          <w:lang w:val="en-US" w:eastAsia="zh-CN"/>
        </w:rPr>
        <w:t>R2D: using DL spectrum</w:t>
      </w:r>
    </w:p>
    <w:p>
      <w:pPr>
        <w:numPr>
          <w:ilvl w:val="1"/>
          <w:numId w:val="3"/>
        </w:numPr>
        <w:spacing w:after="180"/>
        <w:ind w:left="1440" w:leftChars="0" w:hanging="360" w:firstLineChars="0"/>
        <w:jc w:val="left"/>
        <w:rPr>
          <w:rFonts w:hint="eastAsia" w:ascii="Times New Roman" w:hAnsi="Times New Roman"/>
          <w:b w:val="0"/>
          <w:bCs w:val="0"/>
          <w:sz w:val="20"/>
          <w:szCs w:val="20"/>
          <w:lang w:val="en-US" w:eastAsia="zh-CN"/>
        </w:rPr>
      </w:pPr>
      <w:r>
        <w:rPr>
          <w:rFonts w:hint="eastAsia" w:ascii="Times New Roman" w:hAnsi="Times New Roman"/>
          <w:b w:val="0"/>
          <w:bCs w:val="0"/>
          <w:sz w:val="20"/>
          <w:szCs w:val="20"/>
          <w:lang w:val="en-US" w:eastAsia="zh-CN"/>
        </w:rPr>
        <w:t>CW: CW is transmitted from inside the topology and transmitting in DL/UL spectrum (both DL and UL spectrum are high priority)</w:t>
      </w:r>
    </w:p>
    <w:p>
      <w:pPr>
        <w:numPr>
          <w:ilvl w:val="1"/>
          <w:numId w:val="3"/>
        </w:numPr>
        <w:spacing w:after="180"/>
        <w:ind w:left="1440" w:leftChars="0" w:hanging="360" w:firstLineChars="0"/>
        <w:jc w:val="left"/>
        <w:rPr>
          <w:rFonts w:hint="eastAsia" w:ascii="Times New Roman" w:hAnsi="Times New Roman"/>
          <w:b w:val="0"/>
          <w:bCs w:val="0"/>
          <w:sz w:val="20"/>
          <w:szCs w:val="20"/>
          <w:lang w:val="en-US" w:eastAsia="zh-CN"/>
        </w:rPr>
      </w:pPr>
      <w:r>
        <w:rPr>
          <w:rFonts w:hint="eastAsia" w:ascii="Times New Roman" w:hAnsi="Times New Roman"/>
          <w:b w:val="0"/>
          <w:bCs w:val="0"/>
          <w:sz w:val="20"/>
          <w:szCs w:val="20"/>
          <w:lang w:val="en-US" w:eastAsia="zh-CN"/>
        </w:rPr>
        <w:t>Note: existing NR UE are only allowed outdoors. Licensed FDD bands, e.g. 900M with lower frequency have better coverage performance and is usually used as outdoor WA gNB for macro cell. for indoor coverage, operators use other bands which will have higher access priority compared with outdoor 900MHz. When UE enters indoor, it will handover to other operation band. So it</w:t>
      </w:r>
      <w:r>
        <w:rPr>
          <w:rFonts w:hint="default" w:ascii="Times New Roman" w:hAnsi="Times New Roman"/>
          <w:b w:val="0"/>
          <w:bCs w:val="0"/>
          <w:sz w:val="20"/>
          <w:szCs w:val="20"/>
          <w:lang w:val="en-US" w:eastAsia="zh-CN"/>
        </w:rPr>
        <w:t>’</w:t>
      </w:r>
      <w:r>
        <w:rPr>
          <w:rFonts w:hint="eastAsia" w:ascii="Times New Roman" w:hAnsi="Times New Roman"/>
          <w:b w:val="0"/>
          <w:bCs w:val="0"/>
          <w:sz w:val="20"/>
          <w:szCs w:val="20"/>
          <w:lang w:val="en-US" w:eastAsia="zh-CN"/>
        </w:rPr>
        <w:t>s reasonable to assume that existing NR/LTE UE are only allowed outdoors especially when using 900MHz band.</w:t>
      </w:r>
    </w:p>
    <w:p>
      <w:pPr>
        <w:numPr>
          <w:ilvl w:val="0"/>
          <w:numId w:val="0"/>
        </w:numPr>
        <w:spacing w:after="180"/>
        <w:jc w:val="left"/>
        <w:rPr>
          <w:rFonts w:hint="eastAsia" w:ascii="Times New Roman" w:hAnsi="Times New Roman"/>
          <w:b w:val="0"/>
          <w:bCs w:val="0"/>
          <w:sz w:val="20"/>
          <w:szCs w:val="20"/>
          <w:lang w:val="en-US" w:eastAsia="zh-CN"/>
        </w:rPr>
      </w:pPr>
      <w:r>
        <w:rPr>
          <w:rFonts w:hint="eastAsia" w:ascii="Times New Roman" w:hAnsi="Times New Roman"/>
          <w:b w:val="0"/>
          <w:bCs w:val="0"/>
          <w:sz w:val="20"/>
          <w:szCs w:val="20"/>
          <w:lang w:val="en-US" w:eastAsia="zh-CN"/>
        </w:rPr>
        <w:t>Following list the illustration to have better understanding of above deployment scenario when co-existing with existing 3GPP technologies for topology 1.</w:t>
      </w:r>
    </w:p>
    <w:p>
      <w:pPr>
        <w:widowControl w:val="0"/>
        <w:numPr>
          <w:ilvl w:val="0"/>
          <w:numId w:val="0"/>
        </w:numPr>
        <w:spacing w:after="180"/>
        <w:jc w:val="left"/>
        <w:rPr>
          <w:rFonts w:hint="eastAsia" w:ascii="Times New Roman" w:hAnsi="Times New Roman"/>
          <w:b w:val="0"/>
          <w:bCs w:val="0"/>
          <w:sz w:val="20"/>
          <w:szCs w:val="20"/>
          <w:lang w:val="en-US" w:eastAsia="zh-CN"/>
        </w:rPr>
      </w:pPr>
      <w:r>
        <w:rPr>
          <w:rFonts w:hint="eastAsia" w:ascii="Times New Roman" w:hAnsi="Times New Roman"/>
          <w:b w:val="0"/>
          <w:bCs w:val="0"/>
          <w:sz w:val="20"/>
          <w:szCs w:val="20"/>
          <w:lang w:val="en-US" w:eastAsia="zh-CN"/>
        </w:rPr>
        <w:drawing>
          <wp:inline distT="0" distB="0" distL="114300" distR="114300">
            <wp:extent cx="6186170" cy="2324100"/>
            <wp:effectExtent l="0" t="0" r="11430" b="0"/>
            <wp:docPr id="6" name="图片 6" descr="171248203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712482033195"/>
                    <pic:cNvPicPr>
                      <a:picLocks noChangeAspect="1"/>
                    </pic:cNvPicPr>
                  </pic:nvPicPr>
                  <pic:blipFill>
                    <a:blip r:embed="rId5"/>
                    <a:stretch>
                      <a:fillRect/>
                    </a:stretch>
                  </pic:blipFill>
                  <pic:spPr>
                    <a:xfrm>
                      <a:off x="0" y="0"/>
                      <a:ext cx="6186170" cy="2324100"/>
                    </a:xfrm>
                    <a:prstGeom prst="rect">
                      <a:avLst/>
                    </a:prstGeom>
                  </pic:spPr>
                </pic:pic>
              </a:graphicData>
            </a:graphic>
          </wp:inline>
        </w:drawing>
      </w:r>
    </w:p>
    <w:p>
      <w:pPr>
        <w:widowControl w:val="0"/>
        <w:numPr>
          <w:ilvl w:val="0"/>
          <w:numId w:val="0"/>
        </w:numPr>
        <w:spacing w:after="180"/>
        <w:jc w:val="center"/>
        <w:rPr>
          <w:rFonts w:hint="default" w:ascii="Times New Roman" w:hAnsi="Times New Roman"/>
          <w:b/>
          <w:bCs/>
          <w:sz w:val="20"/>
          <w:szCs w:val="20"/>
          <w:lang w:val="en-US" w:eastAsia="zh-CN"/>
        </w:rPr>
      </w:pPr>
      <w:r>
        <w:rPr>
          <w:rFonts w:hint="eastAsia" w:ascii="Times New Roman" w:hAnsi="Times New Roman"/>
          <w:b/>
          <w:bCs/>
          <w:sz w:val="20"/>
          <w:szCs w:val="20"/>
          <w:lang w:val="en-US" w:eastAsia="zh-CN"/>
        </w:rPr>
        <w:t>Fig 1: illustration of option 1 where CW from inside topology using UL spectrum</w:t>
      </w:r>
    </w:p>
    <w:p>
      <w:pPr>
        <w:widowControl w:val="0"/>
        <w:numPr>
          <w:ilvl w:val="0"/>
          <w:numId w:val="0"/>
        </w:numPr>
        <w:spacing w:after="180"/>
        <w:jc w:val="center"/>
        <w:rPr>
          <w:rFonts w:hint="default" w:ascii="Times New Roman" w:hAnsi="Times New Roman"/>
          <w:b/>
          <w:bCs/>
          <w:sz w:val="20"/>
          <w:szCs w:val="20"/>
          <w:lang w:val="en-US" w:eastAsia="zh-CN"/>
        </w:rPr>
      </w:pPr>
      <w:r>
        <w:rPr>
          <w:rFonts w:hint="default" w:ascii="Times New Roman" w:hAnsi="Times New Roman"/>
          <w:b/>
          <w:bCs/>
          <w:sz w:val="20"/>
          <w:szCs w:val="20"/>
          <w:lang w:val="en-US" w:eastAsia="zh-CN"/>
        </w:rPr>
        <w:drawing>
          <wp:inline distT="0" distB="0" distL="114300" distR="114300">
            <wp:extent cx="6182360" cy="2231390"/>
            <wp:effectExtent l="0" t="0" r="2540" b="3810"/>
            <wp:docPr id="7" name="图片 7" descr="1712482056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712482056914"/>
                    <pic:cNvPicPr>
                      <a:picLocks noChangeAspect="1"/>
                    </pic:cNvPicPr>
                  </pic:nvPicPr>
                  <pic:blipFill>
                    <a:blip r:embed="rId6"/>
                    <a:stretch>
                      <a:fillRect/>
                    </a:stretch>
                  </pic:blipFill>
                  <pic:spPr>
                    <a:xfrm>
                      <a:off x="0" y="0"/>
                      <a:ext cx="6182360" cy="2231390"/>
                    </a:xfrm>
                    <a:prstGeom prst="rect">
                      <a:avLst/>
                    </a:prstGeom>
                  </pic:spPr>
                </pic:pic>
              </a:graphicData>
            </a:graphic>
          </wp:inline>
        </w:drawing>
      </w:r>
    </w:p>
    <w:p>
      <w:pPr>
        <w:widowControl w:val="0"/>
        <w:numPr>
          <w:ilvl w:val="0"/>
          <w:numId w:val="0"/>
        </w:numPr>
        <w:spacing w:after="180"/>
        <w:jc w:val="center"/>
        <w:rPr>
          <w:rFonts w:hint="default" w:ascii="Times New Roman" w:hAnsi="Times New Roman"/>
          <w:b/>
          <w:bCs/>
          <w:sz w:val="20"/>
          <w:szCs w:val="20"/>
          <w:lang w:val="en-US" w:eastAsia="zh-CN"/>
        </w:rPr>
      </w:pPr>
      <w:r>
        <w:rPr>
          <w:rFonts w:hint="eastAsia" w:ascii="Times New Roman" w:hAnsi="Times New Roman"/>
          <w:b/>
          <w:bCs/>
          <w:sz w:val="20"/>
          <w:szCs w:val="20"/>
          <w:lang w:val="en-US" w:eastAsia="zh-CN"/>
        </w:rPr>
        <w:t>Fig 2: illustration of option 1 where CW from inside topology using DL spectrum</w:t>
      </w:r>
    </w:p>
    <w:p>
      <w:pPr>
        <w:numPr>
          <w:ilvl w:val="0"/>
          <w:numId w:val="3"/>
        </w:numPr>
        <w:spacing w:after="180"/>
        <w:ind w:left="720" w:leftChars="0" w:hanging="360" w:firstLineChars="0"/>
        <w:jc w:val="left"/>
        <w:rPr>
          <w:rFonts w:hint="eastAsia" w:ascii="Times New Roman" w:hAnsi="Times New Roman"/>
          <w:b w:val="0"/>
          <w:bCs w:val="0"/>
          <w:sz w:val="20"/>
          <w:szCs w:val="20"/>
          <w:lang w:val="en-US" w:eastAsia="zh-CN"/>
        </w:rPr>
      </w:pPr>
      <w:r>
        <w:rPr>
          <w:rFonts w:hint="eastAsia" w:ascii="Times New Roman" w:hAnsi="Times New Roman"/>
          <w:b w:val="0"/>
          <w:bCs w:val="0"/>
          <w:sz w:val="20"/>
          <w:szCs w:val="20"/>
          <w:lang w:val="en-US" w:eastAsia="zh-CN"/>
        </w:rPr>
        <w:t>Option 2 (low priority): for topology 1, existing NR/LTE gNB are co-located with gNB like reader and CW. All are indoors.</w:t>
      </w:r>
    </w:p>
    <w:p>
      <w:pPr>
        <w:numPr>
          <w:ilvl w:val="1"/>
          <w:numId w:val="3"/>
        </w:numPr>
        <w:spacing w:after="180"/>
        <w:ind w:left="1440" w:leftChars="0" w:hanging="360" w:firstLineChars="0"/>
        <w:jc w:val="left"/>
        <w:rPr>
          <w:rFonts w:hint="eastAsia" w:ascii="Times New Roman" w:hAnsi="Times New Roman"/>
          <w:b w:val="0"/>
          <w:bCs w:val="0"/>
          <w:sz w:val="20"/>
          <w:szCs w:val="20"/>
          <w:lang w:val="en-US" w:eastAsia="zh-CN"/>
        </w:rPr>
      </w:pPr>
      <w:r>
        <w:rPr>
          <w:rFonts w:hint="eastAsia" w:ascii="Times New Roman" w:hAnsi="Times New Roman"/>
          <w:b w:val="0"/>
          <w:bCs w:val="0"/>
          <w:sz w:val="20"/>
          <w:szCs w:val="20"/>
          <w:lang w:val="en-US" w:eastAsia="zh-CN"/>
        </w:rPr>
        <w:t>R2D: using DL spectrum</w:t>
      </w:r>
    </w:p>
    <w:p>
      <w:pPr>
        <w:numPr>
          <w:ilvl w:val="1"/>
          <w:numId w:val="3"/>
        </w:numPr>
        <w:spacing w:after="180"/>
        <w:ind w:left="1440" w:leftChars="0" w:hanging="360" w:firstLineChars="0"/>
        <w:jc w:val="left"/>
        <w:rPr>
          <w:rFonts w:hint="eastAsia" w:ascii="Times New Roman" w:hAnsi="Times New Roman"/>
          <w:b w:val="0"/>
          <w:bCs w:val="0"/>
          <w:sz w:val="20"/>
          <w:szCs w:val="20"/>
          <w:lang w:val="en-US" w:eastAsia="zh-CN"/>
        </w:rPr>
      </w:pPr>
      <w:r>
        <w:rPr>
          <w:rFonts w:hint="eastAsia" w:ascii="Times New Roman" w:hAnsi="Times New Roman"/>
          <w:b w:val="0"/>
          <w:bCs w:val="0"/>
          <w:sz w:val="20"/>
          <w:szCs w:val="20"/>
          <w:lang w:val="en-US" w:eastAsia="zh-CN"/>
        </w:rPr>
        <w:t>CW: CW is transmitted from inside the topology and transmitting in DL/UL spectrum (both DL and UL spectrum are high priority)</w:t>
      </w:r>
    </w:p>
    <w:p>
      <w:pPr>
        <w:numPr>
          <w:ilvl w:val="1"/>
          <w:numId w:val="3"/>
        </w:numPr>
        <w:spacing w:after="180"/>
        <w:ind w:left="1440" w:leftChars="0" w:hanging="360" w:firstLineChars="0"/>
        <w:jc w:val="left"/>
        <w:rPr>
          <w:rFonts w:hint="eastAsia" w:ascii="Times New Roman" w:hAnsi="Times New Roman"/>
          <w:b w:val="0"/>
          <w:bCs w:val="0"/>
          <w:sz w:val="20"/>
          <w:szCs w:val="20"/>
          <w:lang w:val="en-US" w:eastAsia="zh-CN"/>
        </w:rPr>
      </w:pPr>
      <w:r>
        <w:rPr>
          <w:rFonts w:hint="eastAsia" w:ascii="Times New Roman" w:hAnsi="Times New Roman"/>
          <w:b w:val="0"/>
          <w:bCs w:val="0"/>
          <w:sz w:val="20"/>
          <w:szCs w:val="20"/>
          <w:lang w:val="en-US" w:eastAsia="zh-CN"/>
        </w:rPr>
        <w:t>Note: existing NR UE are indoors</w:t>
      </w:r>
    </w:p>
    <w:p>
      <w:pPr>
        <w:numPr>
          <w:ilvl w:val="0"/>
          <w:numId w:val="0"/>
        </w:numPr>
        <w:spacing w:after="180"/>
        <w:jc w:val="left"/>
        <w:rPr>
          <w:rFonts w:hint="eastAsia" w:ascii="Times New Roman" w:hAnsi="Times New Roman"/>
          <w:b w:val="0"/>
          <w:bCs w:val="0"/>
          <w:sz w:val="20"/>
          <w:szCs w:val="20"/>
          <w:lang w:val="en-US" w:eastAsia="zh-CN"/>
        </w:rPr>
      </w:pPr>
      <w:r>
        <w:rPr>
          <w:rFonts w:hint="eastAsia" w:ascii="Times New Roman" w:hAnsi="Times New Roman"/>
          <w:b w:val="0"/>
          <w:bCs w:val="0"/>
          <w:sz w:val="20"/>
          <w:szCs w:val="20"/>
          <w:lang w:val="en-US" w:eastAsia="zh-CN"/>
        </w:rPr>
        <w:t>Following list the illustration to have better understanding of above deployment scenario when co-existing with existing 3GPP technologies for topology 1.</w:t>
      </w:r>
    </w:p>
    <w:p>
      <w:pPr>
        <w:numPr>
          <w:ilvl w:val="0"/>
          <w:numId w:val="0"/>
        </w:numPr>
        <w:spacing w:after="180"/>
        <w:jc w:val="left"/>
        <w:rPr>
          <w:rFonts w:hint="default" w:ascii="Times New Roman" w:hAnsi="Times New Roman"/>
          <w:b w:val="0"/>
          <w:bCs w:val="0"/>
          <w:sz w:val="20"/>
          <w:szCs w:val="20"/>
          <w:lang w:val="en-US" w:eastAsia="zh-CN"/>
        </w:rPr>
      </w:pPr>
      <w:r>
        <w:rPr>
          <w:rFonts w:hint="default" w:ascii="Times New Roman" w:hAnsi="Times New Roman"/>
          <w:b w:val="0"/>
          <w:bCs w:val="0"/>
          <w:sz w:val="20"/>
          <w:szCs w:val="20"/>
          <w:lang w:val="en-US" w:eastAsia="zh-CN"/>
        </w:rPr>
        <w:drawing>
          <wp:inline distT="0" distB="0" distL="114300" distR="114300">
            <wp:extent cx="6183630" cy="2202180"/>
            <wp:effectExtent l="0" t="0" r="1270" b="7620"/>
            <wp:docPr id="9" name="图片 9" descr="1712482079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712482079074"/>
                    <pic:cNvPicPr>
                      <a:picLocks noChangeAspect="1"/>
                    </pic:cNvPicPr>
                  </pic:nvPicPr>
                  <pic:blipFill>
                    <a:blip r:embed="rId7"/>
                    <a:stretch>
                      <a:fillRect/>
                    </a:stretch>
                  </pic:blipFill>
                  <pic:spPr>
                    <a:xfrm>
                      <a:off x="0" y="0"/>
                      <a:ext cx="6183630" cy="2202180"/>
                    </a:xfrm>
                    <a:prstGeom prst="rect">
                      <a:avLst/>
                    </a:prstGeom>
                  </pic:spPr>
                </pic:pic>
              </a:graphicData>
            </a:graphic>
          </wp:inline>
        </w:drawing>
      </w:r>
    </w:p>
    <w:p>
      <w:pPr>
        <w:numPr>
          <w:ilvl w:val="0"/>
          <w:numId w:val="0"/>
        </w:numPr>
        <w:spacing w:after="180"/>
        <w:jc w:val="center"/>
        <w:rPr>
          <w:rFonts w:hint="default" w:ascii="Times New Roman" w:hAnsi="Times New Roman"/>
          <w:b/>
          <w:bCs/>
          <w:sz w:val="20"/>
          <w:szCs w:val="20"/>
          <w:highlight w:val="none"/>
          <w:lang w:val="en-US" w:eastAsia="zh-CN"/>
        </w:rPr>
      </w:pPr>
      <w:r>
        <w:rPr>
          <w:rFonts w:hint="eastAsia" w:ascii="Times New Roman" w:hAnsi="Times New Roman"/>
          <w:b/>
          <w:bCs/>
          <w:sz w:val="20"/>
          <w:szCs w:val="20"/>
          <w:highlight w:val="none"/>
          <w:lang w:val="en-US" w:eastAsia="zh-CN"/>
        </w:rPr>
        <w:t>Fig 3: illustration of option 2 where CW from inside topology using DL spectrum</w:t>
      </w:r>
    </w:p>
    <w:p>
      <w:pPr>
        <w:numPr>
          <w:ilvl w:val="0"/>
          <w:numId w:val="0"/>
        </w:numPr>
        <w:spacing w:after="180"/>
        <w:ind w:leftChars="0"/>
        <w:jc w:val="left"/>
        <w:rPr>
          <w:rFonts w:hint="default" w:ascii="Times New Roman" w:hAnsi="Times New Roman"/>
          <w:b w:val="0"/>
          <w:bCs w:val="0"/>
          <w:sz w:val="20"/>
          <w:szCs w:val="20"/>
          <w:highlight w:val="none"/>
          <w:lang w:val="en-US" w:eastAsia="zh-CN"/>
        </w:rPr>
      </w:pPr>
      <w:r>
        <w:rPr>
          <w:rFonts w:hint="eastAsia" w:ascii="Times New Roman" w:hAnsi="Times New Roman"/>
          <w:b w:val="0"/>
          <w:bCs w:val="0"/>
          <w:sz w:val="20"/>
          <w:szCs w:val="20"/>
          <w:highlight w:val="none"/>
          <w:lang w:val="en-US" w:eastAsia="zh-CN"/>
        </w:rPr>
        <w:t xml:space="preserve"> </w:t>
      </w:r>
      <w:r>
        <w:rPr>
          <w:rFonts w:hint="default" w:ascii="Times New Roman" w:hAnsi="Times New Roman"/>
          <w:b w:val="0"/>
          <w:bCs w:val="0"/>
          <w:sz w:val="20"/>
          <w:szCs w:val="20"/>
          <w:highlight w:val="none"/>
          <w:lang w:val="en-US" w:eastAsia="zh-CN"/>
        </w:rPr>
        <w:drawing>
          <wp:inline distT="0" distB="0" distL="114300" distR="114300">
            <wp:extent cx="6185535" cy="2169160"/>
            <wp:effectExtent l="0" t="0" r="12065" b="2540"/>
            <wp:docPr id="26" name="图片 26" descr="1712026607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1712026607665"/>
                    <pic:cNvPicPr>
                      <a:picLocks noChangeAspect="1"/>
                    </pic:cNvPicPr>
                  </pic:nvPicPr>
                  <pic:blipFill>
                    <a:blip r:embed="rId8"/>
                    <a:stretch>
                      <a:fillRect/>
                    </a:stretch>
                  </pic:blipFill>
                  <pic:spPr>
                    <a:xfrm>
                      <a:off x="0" y="0"/>
                      <a:ext cx="6185535" cy="2169160"/>
                    </a:xfrm>
                    <a:prstGeom prst="rect">
                      <a:avLst/>
                    </a:prstGeom>
                  </pic:spPr>
                </pic:pic>
              </a:graphicData>
            </a:graphic>
          </wp:inline>
        </w:drawing>
      </w:r>
    </w:p>
    <w:p>
      <w:pPr>
        <w:numPr>
          <w:ilvl w:val="0"/>
          <w:numId w:val="0"/>
        </w:numPr>
        <w:spacing w:after="180"/>
        <w:ind w:leftChars="0"/>
        <w:jc w:val="center"/>
        <w:rPr>
          <w:rFonts w:hint="default" w:ascii="Times New Roman" w:hAnsi="Times New Roman"/>
          <w:b/>
          <w:bCs/>
          <w:sz w:val="20"/>
          <w:szCs w:val="20"/>
          <w:highlight w:val="none"/>
          <w:lang w:val="en-US" w:eastAsia="zh-CN"/>
        </w:rPr>
      </w:pPr>
      <w:r>
        <w:rPr>
          <w:rFonts w:hint="eastAsia" w:ascii="Times New Roman" w:hAnsi="Times New Roman"/>
          <w:b/>
          <w:bCs/>
          <w:sz w:val="20"/>
          <w:szCs w:val="20"/>
          <w:highlight w:val="none"/>
          <w:lang w:val="en-US" w:eastAsia="zh-CN"/>
        </w:rPr>
        <w:t>Fig 4: illustration of option 2 where CW from inside topology using UL spectrum</w:t>
      </w:r>
    </w:p>
    <w:p>
      <w:pPr>
        <w:widowControl w:val="0"/>
        <w:numPr>
          <w:ilvl w:val="0"/>
          <w:numId w:val="0"/>
        </w:numPr>
        <w:spacing w:after="180"/>
        <w:jc w:val="both"/>
        <w:rPr>
          <w:rFonts w:hint="eastAsia" w:ascii="Times New Roman" w:hAnsi="Times New Roman" w:cs="Times New Roman"/>
          <w:b/>
          <w:bCs/>
          <w:sz w:val="20"/>
          <w:szCs w:val="20"/>
          <w:lang w:val="en-US" w:eastAsia="zh-CN"/>
        </w:rPr>
      </w:pPr>
      <w:r>
        <w:rPr>
          <w:rFonts w:hint="eastAsia" w:ascii="Times New Roman" w:hAnsi="Times New Roman" w:cs="Times New Roman"/>
          <w:b/>
          <w:bCs/>
          <w:sz w:val="20"/>
          <w:szCs w:val="20"/>
          <w:lang w:val="en-US" w:eastAsia="zh-CN"/>
        </w:rPr>
        <w:t>Proposal 1: following evaluation cases are suggested for topology 1.</w:t>
      </w:r>
    </w:p>
    <w:p>
      <w:pPr>
        <w:numPr>
          <w:ilvl w:val="0"/>
          <w:numId w:val="3"/>
        </w:numPr>
        <w:spacing w:after="180"/>
        <w:ind w:left="720" w:leftChars="0" w:hanging="360" w:firstLineChars="0"/>
        <w:jc w:val="left"/>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Option 1 (high priority from CMCC point of view): for topology 1, existing NR/LTE gNB are outdoor macro gNB while A-IoT reader/CW/devices are all indoors</w:t>
      </w:r>
    </w:p>
    <w:p>
      <w:pPr>
        <w:numPr>
          <w:ilvl w:val="1"/>
          <w:numId w:val="3"/>
        </w:numPr>
        <w:spacing w:after="180"/>
        <w:ind w:left="1440" w:leftChars="0" w:hanging="360" w:firstLineChars="0"/>
        <w:jc w:val="left"/>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R2D: using DL spectrum</w:t>
      </w:r>
    </w:p>
    <w:p>
      <w:pPr>
        <w:numPr>
          <w:ilvl w:val="1"/>
          <w:numId w:val="3"/>
        </w:numPr>
        <w:spacing w:after="180"/>
        <w:ind w:left="1440" w:leftChars="0" w:hanging="360" w:firstLineChars="0"/>
        <w:jc w:val="left"/>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CW: CW is transmitted from inside the topology and transmitting in DL/UL spectrum (both DL and UL spectrum are high priority)</w:t>
      </w:r>
    </w:p>
    <w:p>
      <w:pPr>
        <w:numPr>
          <w:ilvl w:val="1"/>
          <w:numId w:val="3"/>
        </w:numPr>
        <w:spacing w:after="180"/>
        <w:ind w:left="1440" w:leftChars="0" w:hanging="360" w:firstLineChars="0"/>
        <w:jc w:val="left"/>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Note: existing NR UE are only allowed outdoors</w:t>
      </w:r>
    </w:p>
    <w:p>
      <w:pPr>
        <w:numPr>
          <w:ilvl w:val="0"/>
          <w:numId w:val="3"/>
        </w:numPr>
        <w:spacing w:after="180"/>
        <w:ind w:left="720" w:leftChars="0" w:hanging="360" w:firstLineChars="0"/>
        <w:jc w:val="left"/>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Option 2 (low priority): for topology 1, existing NR/LTE gNB are co-located with gNB like reader and CW. All are indoors.</w:t>
      </w:r>
    </w:p>
    <w:p>
      <w:pPr>
        <w:numPr>
          <w:ilvl w:val="1"/>
          <w:numId w:val="3"/>
        </w:numPr>
        <w:spacing w:after="180"/>
        <w:ind w:left="1440" w:leftChars="0" w:hanging="360" w:firstLineChars="0"/>
        <w:jc w:val="left"/>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R2D: using DL spectrum</w:t>
      </w:r>
    </w:p>
    <w:p>
      <w:pPr>
        <w:numPr>
          <w:ilvl w:val="1"/>
          <w:numId w:val="3"/>
        </w:numPr>
        <w:spacing w:after="180"/>
        <w:ind w:left="1440" w:leftChars="0" w:hanging="360" w:firstLineChars="0"/>
        <w:jc w:val="left"/>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CW: CW is transmitted from inside the topology and transmitting in DL/UL spectrum (both DL and UL spectrum are high priority)</w:t>
      </w:r>
    </w:p>
    <w:p>
      <w:pPr>
        <w:numPr>
          <w:ilvl w:val="1"/>
          <w:numId w:val="3"/>
        </w:numPr>
        <w:spacing w:after="180"/>
        <w:ind w:left="1440" w:leftChars="0" w:hanging="360" w:firstLineChars="0"/>
        <w:jc w:val="left"/>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Note: existing NR UE are indoors</w:t>
      </w:r>
    </w:p>
    <w:p>
      <w:pPr>
        <w:widowControl w:val="0"/>
        <w:numPr>
          <w:ilvl w:val="0"/>
          <w:numId w:val="0"/>
        </w:numPr>
        <w:spacing w:after="180"/>
        <w:jc w:val="left"/>
        <w:rPr>
          <w:rFonts w:hint="eastAsia" w:ascii="Times New Roman" w:hAnsi="Times New Roman"/>
          <w:b w:val="0"/>
          <w:bCs w:val="0"/>
          <w:sz w:val="20"/>
          <w:szCs w:val="20"/>
          <w:highlight w:val="none"/>
          <w:lang w:val="en-US" w:eastAsia="zh-CN"/>
        </w:rPr>
      </w:pPr>
      <w:r>
        <w:rPr>
          <w:rFonts w:hint="eastAsia" w:ascii="Times New Roman" w:hAnsi="Times New Roman"/>
          <w:b w:val="0"/>
          <w:bCs w:val="0"/>
          <w:sz w:val="20"/>
          <w:szCs w:val="20"/>
          <w:highlight w:val="none"/>
          <w:lang w:val="en-US" w:eastAsia="zh-CN"/>
        </w:rPr>
        <w:t>For topology 2, the gNB that control intermediate UE are outdoors and co-located with outdoor existing macro gNB. Following list the evaluation cases for topology 2.</w:t>
      </w:r>
    </w:p>
    <w:p>
      <w:pPr>
        <w:widowControl w:val="0"/>
        <w:numPr>
          <w:ilvl w:val="0"/>
          <w:numId w:val="3"/>
        </w:numPr>
        <w:spacing w:after="180"/>
        <w:ind w:left="720" w:leftChars="0" w:hanging="360" w:firstLineChars="0"/>
        <w:jc w:val="left"/>
        <w:rPr>
          <w:rFonts w:hint="default" w:ascii="Times New Roman" w:hAnsi="Times New Roman"/>
          <w:b w:val="0"/>
          <w:bCs w:val="0"/>
          <w:sz w:val="20"/>
          <w:szCs w:val="20"/>
          <w:highlight w:val="none"/>
          <w:lang w:val="en-US" w:eastAsia="zh-CN"/>
        </w:rPr>
      </w:pPr>
      <w:r>
        <w:rPr>
          <w:rFonts w:hint="eastAsia" w:ascii="Times New Roman" w:hAnsi="Times New Roman"/>
          <w:b w:val="0"/>
          <w:bCs w:val="0"/>
          <w:sz w:val="20"/>
          <w:szCs w:val="20"/>
          <w:highlight w:val="none"/>
          <w:lang w:val="en-US" w:eastAsia="zh-CN"/>
        </w:rPr>
        <w:t>The gNB that control intermediate UE are outdoors and co-located with outdoor existing macro gNB.</w:t>
      </w:r>
    </w:p>
    <w:p>
      <w:pPr>
        <w:widowControl w:val="0"/>
        <w:numPr>
          <w:ilvl w:val="1"/>
          <w:numId w:val="3"/>
        </w:numPr>
        <w:spacing w:after="180"/>
        <w:ind w:left="1440" w:leftChars="0" w:hanging="360" w:firstLineChars="0"/>
        <w:jc w:val="left"/>
        <w:rPr>
          <w:rFonts w:hint="default" w:ascii="Times New Roman" w:hAnsi="Times New Roman"/>
          <w:b w:val="0"/>
          <w:bCs w:val="0"/>
          <w:sz w:val="20"/>
          <w:szCs w:val="20"/>
          <w:highlight w:val="none"/>
          <w:lang w:val="en-US" w:eastAsia="zh-CN"/>
        </w:rPr>
      </w:pPr>
      <w:r>
        <w:rPr>
          <w:rFonts w:hint="eastAsia" w:ascii="Times New Roman" w:hAnsi="Times New Roman"/>
          <w:b w:val="0"/>
          <w:bCs w:val="0"/>
          <w:sz w:val="20"/>
          <w:szCs w:val="20"/>
          <w:highlight w:val="none"/>
          <w:lang w:val="en-US" w:eastAsia="zh-CN"/>
        </w:rPr>
        <w:t>Note: existing UE are only allowed outdoors, the same reason as topology 1</w:t>
      </w:r>
    </w:p>
    <w:p>
      <w:pPr>
        <w:widowControl w:val="0"/>
        <w:numPr>
          <w:ilvl w:val="1"/>
          <w:numId w:val="3"/>
        </w:numPr>
        <w:spacing w:after="180"/>
        <w:ind w:left="1440" w:leftChars="0" w:hanging="360" w:firstLineChars="0"/>
        <w:jc w:val="left"/>
        <w:rPr>
          <w:rFonts w:hint="default" w:ascii="Times New Roman" w:hAnsi="Times New Roman"/>
          <w:b w:val="0"/>
          <w:bCs w:val="0"/>
          <w:sz w:val="20"/>
          <w:szCs w:val="20"/>
          <w:highlight w:val="none"/>
          <w:lang w:val="en-US" w:eastAsia="zh-CN"/>
        </w:rPr>
      </w:pPr>
      <w:r>
        <w:rPr>
          <w:rFonts w:hint="eastAsia" w:ascii="Times New Roman" w:hAnsi="Times New Roman"/>
          <w:b w:val="0"/>
          <w:bCs w:val="0"/>
          <w:sz w:val="20"/>
          <w:szCs w:val="20"/>
          <w:highlight w:val="none"/>
          <w:lang w:val="en-US" w:eastAsia="zh-CN"/>
        </w:rPr>
        <w:t>R2D: using UL spectrum</w:t>
      </w:r>
    </w:p>
    <w:p>
      <w:pPr>
        <w:widowControl w:val="0"/>
        <w:numPr>
          <w:ilvl w:val="1"/>
          <w:numId w:val="3"/>
        </w:numPr>
        <w:spacing w:after="180"/>
        <w:ind w:left="1440" w:leftChars="0" w:hanging="360" w:firstLineChars="0"/>
        <w:jc w:val="left"/>
        <w:rPr>
          <w:rFonts w:hint="default" w:ascii="Times New Roman" w:hAnsi="Times New Roman"/>
          <w:b w:val="0"/>
          <w:bCs w:val="0"/>
          <w:sz w:val="20"/>
          <w:szCs w:val="20"/>
          <w:highlight w:val="none"/>
          <w:lang w:val="en-US" w:eastAsia="zh-CN"/>
        </w:rPr>
      </w:pPr>
      <w:r>
        <w:rPr>
          <w:rFonts w:hint="eastAsia" w:ascii="Times New Roman" w:hAnsi="Times New Roman"/>
          <w:b w:val="0"/>
          <w:bCs w:val="0"/>
          <w:sz w:val="20"/>
          <w:szCs w:val="20"/>
          <w:highlight w:val="none"/>
          <w:lang w:val="en-US" w:eastAsia="zh-CN"/>
        </w:rPr>
        <w:t xml:space="preserve">CW: </w:t>
      </w:r>
    </w:p>
    <w:p>
      <w:pPr>
        <w:widowControl w:val="0"/>
        <w:numPr>
          <w:ilvl w:val="2"/>
          <w:numId w:val="3"/>
        </w:numPr>
        <w:spacing w:after="180"/>
        <w:ind w:left="2160" w:leftChars="0" w:hanging="360" w:firstLineChars="0"/>
        <w:jc w:val="left"/>
        <w:rPr>
          <w:rFonts w:hint="default" w:ascii="Times New Roman" w:hAnsi="Times New Roman"/>
          <w:b w:val="0"/>
          <w:bCs w:val="0"/>
          <w:sz w:val="20"/>
          <w:szCs w:val="20"/>
          <w:highlight w:val="none"/>
          <w:lang w:val="en-US" w:eastAsia="zh-CN"/>
        </w:rPr>
      </w:pPr>
      <w:r>
        <w:rPr>
          <w:rFonts w:hint="default" w:ascii="Times New Roman" w:hAnsi="Times New Roman"/>
          <w:b w:val="0"/>
          <w:bCs w:val="0"/>
          <w:sz w:val="20"/>
          <w:szCs w:val="20"/>
          <w:highlight w:val="none"/>
          <w:lang w:val="en-US" w:eastAsia="zh-CN"/>
        </w:rPr>
        <w:t>CW is transmitted from inside the topology (i.e., intermediate UE), transmitted in UL spectrum</w:t>
      </w:r>
    </w:p>
    <w:p>
      <w:pPr>
        <w:widowControl w:val="0"/>
        <w:numPr>
          <w:ilvl w:val="2"/>
          <w:numId w:val="3"/>
        </w:numPr>
        <w:spacing w:after="180"/>
        <w:ind w:left="2160" w:leftChars="0" w:hanging="360" w:firstLineChars="0"/>
        <w:jc w:val="left"/>
        <w:rPr>
          <w:rFonts w:hint="default" w:ascii="Times New Roman" w:hAnsi="Times New Roman"/>
          <w:b w:val="0"/>
          <w:bCs w:val="0"/>
          <w:sz w:val="20"/>
          <w:szCs w:val="20"/>
          <w:highlight w:val="none"/>
          <w:lang w:val="en-US" w:eastAsia="zh-CN"/>
        </w:rPr>
      </w:pPr>
      <w:r>
        <w:rPr>
          <w:rFonts w:hint="default" w:ascii="Times New Roman" w:hAnsi="Times New Roman"/>
          <w:b w:val="0"/>
          <w:bCs w:val="0"/>
          <w:sz w:val="20"/>
          <w:szCs w:val="20"/>
          <w:highlight w:val="none"/>
          <w:lang w:val="en-US" w:eastAsia="zh-CN"/>
        </w:rPr>
        <w:t>CW is transmitted from outside the topology, transmitted in DL spectrum</w:t>
      </w:r>
    </w:p>
    <w:p>
      <w:pPr>
        <w:widowControl w:val="0"/>
        <w:numPr>
          <w:ilvl w:val="0"/>
          <w:numId w:val="0"/>
        </w:numPr>
        <w:spacing w:after="180"/>
        <w:jc w:val="left"/>
        <w:rPr>
          <w:rFonts w:hint="default" w:ascii="Times New Roman" w:hAnsi="Times New Roman"/>
          <w:b w:val="0"/>
          <w:bCs w:val="0"/>
          <w:sz w:val="20"/>
          <w:szCs w:val="20"/>
          <w:highlight w:val="none"/>
          <w:lang w:val="en-US" w:eastAsia="zh-CN"/>
        </w:rPr>
      </w:pPr>
      <w:r>
        <w:rPr>
          <w:rFonts w:hint="default" w:ascii="Times New Roman" w:hAnsi="Times New Roman"/>
          <w:b w:val="0"/>
          <w:bCs w:val="0"/>
          <w:sz w:val="20"/>
          <w:szCs w:val="20"/>
          <w:highlight w:val="none"/>
          <w:lang w:val="en-US" w:eastAsia="zh-CN"/>
        </w:rPr>
        <w:drawing>
          <wp:inline distT="0" distB="0" distL="114300" distR="114300">
            <wp:extent cx="6181725" cy="2708910"/>
            <wp:effectExtent l="0" t="0" r="3175" b="8890"/>
            <wp:docPr id="4" name="图片 4" descr="1712481928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712481928512"/>
                    <pic:cNvPicPr>
                      <a:picLocks noChangeAspect="1"/>
                    </pic:cNvPicPr>
                  </pic:nvPicPr>
                  <pic:blipFill>
                    <a:blip r:embed="rId9"/>
                    <a:stretch>
                      <a:fillRect/>
                    </a:stretch>
                  </pic:blipFill>
                  <pic:spPr>
                    <a:xfrm>
                      <a:off x="0" y="0"/>
                      <a:ext cx="6181725" cy="2708910"/>
                    </a:xfrm>
                    <a:prstGeom prst="rect">
                      <a:avLst/>
                    </a:prstGeom>
                  </pic:spPr>
                </pic:pic>
              </a:graphicData>
            </a:graphic>
          </wp:inline>
        </w:drawing>
      </w:r>
    </w:p>
    <w:p>
      <w:pPr>
        <w:numPr>
          <w:ilvl w:val="0"/>
          <w:numId w:val="0"/>
        </w:numPr>
        <w:spacing w:after="180"/>
        <w:ind w:leftChars="0"/>
        <w:jc w:val="center"/>
        <w:rPr>
          <w:rFonts w:hint="default" w:ascii="Times New Roman" w:hAnsi="Times New Roman"/>
          <w:b/>
          <w:bCs/>
          <w:sz w:val="20"/>
          <w:szCs w:val="20"/>
          <w:highlight w:val="none"/>
          <w:lang w:val="en-US" w:eastAsia="zh-CN"/>
        </w:rPr>
      </w:pPr>
      <w:r>
        <w:rPr>
          <w:rFonts w:hint="eastAsia" w:ascii="Times New Roman" w:hAnsi="Times New Roman"/>
          <w:b/>
          <w:bCs/>
          <w:sz w:val="20"/>
          <w:szCs w:val="20"/>
          <w:highlight w:val="none"/>
          <w:lang w:val="en-US" w:eastAsia="zh-CN"/>
        </w:rPr>
        <w:t>Fig 5: illustration of topology 2 where CW from inside topology using UL spectrum</w:t>
      </w:r>
    </w:p>
    <w:p>
      <w:pPr>
        <w:widowControl w:val="0"/>
        <w:numPr>
          <w:ilvl w:val="0"/>
          <w:numId w:val="0"/>
        </w:numPr>
        <w:spacing w:after="180"/>
        <w:jc w:val="left"/>
        <w:rPr>
          <w:rFonts w:hint="default" w:ascii="Times New Roman" w:hAnsi="Times New Roman"/>
          <w:b w:val="0"/>
          <w:bCs w:val="0"/>
          <w:sz w:val="20"/>
          <w:szCs w:val="20"/>
          <w:highlight w:val="none"/>
          <w:lang w:val="en-US" w:eastAsia="zh-CN"/>
        </w:rPr>
      </w:pPr>
      <w:r>
        <w:rPr>
          <w:rFonts w:hint="default" w:ascii="Times New Roman" w:hAnsi="Times New Roman"/>
          <w:b w:val="0"/>
          <w:bCs w:val="0"/>
          <w:sz w:val="20"/>
          <w:szCs w:val="20"/>
          <w:highlight w:val="none"/>
          <w:lang w:val="en-US" w:eastAsia="zh-CN"/>
        </w:rPr>
        <w:drawing>
          <wp:inline distT="0" distB="0" distL="114300" distR="114300">
            <wp:extent cx="6187440" cy="2686685"/>
            <wp:effectExtent l="0" t="0" r="10160" b="5715"/>
            <wp:docPr id="5" name="图片 5" descr="1712481973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712481973122"/>
                    <pic:cNvPicPr>
                      <a:picLocks noChangeAspect="1"/>
                    </pic:cNvPicPr>
                  </pic:nvPicPr>
                  <pic:blipFill>
                    <a:blip r:embed="rId10"/>
                    <a:stretch>
                      <a:fillRect/>
                    </a:stretch>
                  </pic:blipFill>
                  <pic:spPr>
                    <a:xfrm>
                      <a:off x="0" y="0"/>
                      <a:ext cx="6187440" cy="2686685"/>
                    </a:xfrm>
                    <a:prstGeom prst="rect">
                      <a:avLst/>
                    </a:prstGeom>
                  </pic:spPr>
                </pic:pic>
              </a:graphicData>
            </a:graphic>
          </wp:inline>
        </w:drawing>
      </w:r>
    </w:p>
    <w:p>
      <w:pPr>
        <w:numPr>
          <w:ilvl w:val="0"/>
          <w:numId w:val="0"/>
        </w:numPr>
        <w:spacing w:after="180"/>
        <w:ind w:leftChars="0"/>
        <w:jc w:val="center"/>
        <w:rPr>
          <w:rFonts w:hint="default" w:ascii="Times New Roman" w:hAnsi="Times New Roman"/>
          <w:b/>
          <w:bCs/>
          <w:sz w:val="20"/>
          <w:szCs w:val="20"/>
          <w:highlight w:val="none"/>
          <w:lang w:val="en-US" w:eastAsia="zh-CN"/>
        </w:rPr>
      </w:pPr>
      <w:r>
        <w:rPr>
          <w:rFonts w:hint="eastAsia" w:ascii="Times New Roman" w:hAnsi="Times New Roman"/>
          <w:b/>
          <w:bCs/>
          <w:sz w:val="20"/>
          <w:szCs w:val="20"/>
          <w:highlight w:val="none"/>
          <w:lang w:val="en-US" w:eastAsia="zh-CN"/>
        </w:rPr>
        <w:t>Fig 6: illustration of topology 2 where CW from outside topology using DL spectrum</w:t>
      </w:r>
    </w:p>
    <w:p>
      <w:pPr>
        <w:widowControl w:val="0"/>
        <w:numPr>
          <w:ilvl w:val="0"/>
          <w:numId w:val="0"/>
        </w:numPr>
        <w:spacing w:after="180"/>
        <w:jc w:val="left"/>
        <w:rPr>
          <w:rFonts w:hint="eastAsia" w:ascii="Times New Roman" w:hAnsi="Times New Roman"/>
          <w:b w:val="0"/>
          <w:bCs w:val="0"/>
          <w:sz w:val="20"/>
          <w:szCs w:val="20"/>
          <w:highlight w:val="none"/>
          <w:lang w:val="en-US" w:eastAsia="zh-CN"/>
        </w:rPr>
      </w:pPr>
      <w:r>
        <w:rPr>
          <w:rFonts w:hint="eastAsia" w:ascii="Times New Roman" w:hAnsi="Times New Roman"/>
          <w:b w:val="0"/>
          <w:bCs w:val="0"/>
          <w:sz w:val="20"/>
          <w:szCs w:val="20"/>
          <w:highlight w:val="none"/>
          <w:lang w:val="en-US" w:eastAsia="zh-CN"/>
        </w:rPr>
        <w:t>From co-existence evaluation point of view, the main difference between topology 1 and 2 is that topology 2 reader has less output power and may has more flexible distribution. But if we assume all existing UEs are outdoors, then the interference is much less than topology 1. therefore, and the priority of topology 2 could be lower than topology 1.</w:t>
      </w:r>
    </w:p>
    <w:p>
      <w:pPr>
        <w:widowControl w:val="0"/>
        <w:numPr>
          <w:ilvl w:val="0"/>
          <w:numId w:val="0"/>
        </w:numPr>
        <w:spacing w:after="180"/>
        <w:jc w:val="left"/>
        <w:rPr>
          <w:rFonts w:hint="eastAsia" w:ascii="Times New Roman" w:hAnsi="Times New Roman"/>
          <w:b/>
          <w:bCs/>
          <w:sz w:val="20"/>
          <w:szCs w:val="20"/>
          <w:highlight w:val="none"/>
          <w:lang w:val="en-US" w:eastAsia="zh-CN"/>
        </w:rPr>
      </w:pPr>
      <w:r>
        <w:rPr>
          <w:rFonts w:hint="eastAsia" w:ascii="Times New Roman" w:hAnsi="Times New Roman"/>
          <w:b/>
          <w:bCs/>
          <w:sz w:val="20"/>
          <w:szCs w:val="20"/>
          <w:highlight w:val="none"/>
          <w:lang w:val="en-US" w:eastAsia="zh-CN"/>
        </w:rPr>
        <w:t>Observation 1: the interference of topology 2 is less than topology 1 if we assume all existing UE are outdoors.</w:t>
      </w:r>
    </w:p>
    <w:p>
      <w:pPr>
        <w:widowControl w:val="0"/>
        <w:numPr>
          <w:ilvl w:val="0"/>
          <w:numId w:val="0"/>
        </w:numPr>
        <w:spacing w:after="180"/>
        <w:jc w:val="left"/>
        <w:rPr>
          <w:rFonts w:hint="default" w:ascii="Times New Roman" w:hAnsi="Times New Roman"/>
          <w:b w:val="0"/>
          <w:bCs w:val="0"/>
          <w:sz w:val="20"/>
          <w:szCs w:val="20"/>
          <w:highlight w:val="none"/>
          <w:lang w:val="en-US" w:eastAsia="zh-CN"/>
        </w:rPr>
      </w:pPr>
      <w:r>
        <w:rPr>
          <w:rFonts w:hint="eastAsia" w:ascii="Times New Roman" w:hAnsi="Times New Roman"/>
          <w:b w:val="0"/>
          <w:bCs w:val="0"/>
          <w:sz w:val="20"/>
          <w:szCs w:val="20"/>
          <w:highlight w:val="none"/>
          <w:lang w:val="en-US" w:eastAsia="zh-CN"/>
        </w:rPr>
        <w:t>For both topology 1 and topology 2, if we assume existing UE are all outdoors, then it seems we don</w:t>
      </w:r>
      <w:r>
        <w:rPr>
          <w:rFonts w:hint="default" w:ascii="Times New Roman" w:hAnsi="Times New Roman"/>
          <w:b w:val="0"/>
          <w:bCs w:val="0"/>
          <w:sz w:val="20"/>
          <w:szCs w:val="20"/>
          <w:highlight w:val="none"/>
          <w:lang w:val="en-US" w:eastAsia="zh-CN"/>
        </w:rPr>
        <w:t>’</w:t>
      </w:r>
      <w:r>
        <w:rPr>
          <w:rFonts w:hint="eastAsia" w:ascii="Times New Roman" w:hAnsi="Times New Roman"/>
          <w:b w:val="0"/>
          <w:bCs w:val="0"/>
          <w:sz w:val="20"/>
          <w:szCs w:val="20"/>
          <w:highlight w:val="none"/>
          <w:lang w:val="en-US" w:eastAsia="zh-CN"/>
        </w:rPr>
        <w:t xml:space="preserve">t need the simulation, instead simple calculation is enough. To reduce workload, we can even only focus on the worst interference link. For example for topology 1 option 1 when all existing macro gNB are outdoors, the main interference link is the interference between outdoor gNB and indoor reader/CW, we can using 1dB REFSENSE as the interference criteria. And evaluate under which minimum distance between outdoor macro gNB and indoor gNB, the interference is acceptable. </w:t>
      </w:r>
    </w:p>
    <w:p>
      <w:pPr>
        <w:widowControl w:val="0"/>
        <w:numPr>
          <w:ilvl w:val="0"/>
          <w:numId w:val="0"/>
        </w:numPr>
        <w:spacing w:after="180"/>
        <w:jc w:val="left"/>
        <w:rPr>
          <w:rFonts w:hint="default" w:ascii="Times New Roman" w:hAnsi="Times New Roman"/>
          <w:b/>
          <w:bCs/>
          <w:sz w:val="20"/>
          <w:szCs w:val="20"/>
          <w:highlight w:val="none"/>
          <w:lang w:val="en-US" w:eastAsia="zh-CN"/>
        </w:rPr>
      </w:pPr>
      <w:r>
        <w:rPr>
          <w:rFonts w:hint="eastAsia" w:ascii="Times New Roman" w:hAnsi="Times New Roman"/>
          <w:b/>
          <w:bCs/>
          <w:sz w:val="20"/>
          <w:szCs w:val="20"/>
          <w:highlight w:val="none"/>
          <w:lang w:val="en-US" w:eastAsia="zh-CN"/>
        </w:rPr>
        <w:t>Proposal 2: if we assume all existing UE are outdoors, simulation is not needed. Instead, the calculation for the worst interference link is enough.</w:t>
      </w:r>
    </w:p>
    <w:p>
      <w:pPr>
        <w:pStyle w:val="4"/>
        <w:bidi w:val="0"/>
        <w:rPr>
          <w:rFonts w:hint="eastAsia"/>
          <w:lang w:val="en-US" w:eastAsia="zh-CN"/>
        </w:rPr>
      </w:pPr>
      <w:r>
        <w:rPr>
          <w:rFonts w:hint="eastAsia"/>
          <w:lang w:val="en-US" w:eastAsia="zh-CN"/>
        </w:rPr>
        <w:t>2.2 Align understanding of in-band/guard-band/standalone mode</w:t>
      </w:r>
    </w:p>
    <w:p>
      <w:pPr>
        <w:spacing w:after="156" w:afterLines="50"/>
        <w:rPr>
          <w:rFonts w:hint="eastAsia" w:ascii="Times New Roman" w:hAnsi="Times New Roman"/>
          <w:sz w:val="20"/>
          <w:szCs w:val="20"/>
          <w:lang w:val="en-US" w:eastAsia="zh-CN"/>
        </w:rPr>
      </w:pPr>
      <w:r>
        <w:rPr>
          <w:rFonts w:hint="eastAsia" w:ascii="Times New Roman" w:hAnsi="Times New Roman"/>
          <w:sz w:val="20"/>
          <w:szCs w:val="20"/>
          <w:lang w:val="en-US" w:eastAsia="zh-CN"/>
        </w:rPr>
        <w:t>According to the SID, in-band/guard-band/standalone mode are classified as spectrum deployment mode as below:</w:t>
      </w:r>
    </w:p>
    <w:p>
      <w:pPr>
        <w:spacing w:after="156" w:afterLines="50"/>
        <w:rPr>
          <w:rFonts w:hint="default" w:ascii="Times New Roman" w:hAnsi="Times New Roman"/>
          <w:i/>
          <w:iCs/>
          <w:sz w:val="20"/>
          <w:szCs w:val="20"/>
          <w:lang w:val="en-US" w:eastAsia="zh-CN"/>
        </w:rPr>
      </w:pPr>
      <w:r>
        <w:rPr>
          <w:rFonts w:hint="default" w:ascii="Times New Roman" w:hAnsi="Times New Roman"/>
          <w:i/>
          <w:iCs/>
          <w:sz w:val="20"/>
          <w:szCs w:val="20"/>
          <w:lang w:val="en-US" w:eastAsia="zh-CN"/>
        </w:rPr>
        <w:t>“</w:t>
      </w:r>
      <w:r>
        <w:rPr>
          <w:rFonts w:hint="eastAsia" w:ascii="Times New Roman" w:hAnsi="Times New Roman"/>
          <w:i/>
          <w:iCs/>
          <w:sz w:val="20"/>
          <w:szCs w:val="20"/>
          <w:lang w:val="en-US" w:eastAsia="zh-CN"/>
        </w:rPr>
        <w:t>D. Spectrum deployment in-band to NR, in guard-band to LTE/NR, in standalone band(s).</w:t>
      </w:r>
      <w:r>
        <w:rPr>
          <w:rFonts w:hint="default" w:ascii="Times New Roman" w:hAnsi="Times New Roman"/>
          <w:i/>
          <w:iCs/>
          <w:sz w:val="20"/>
          <w:szCs w:val="20"/>
          <w:lang w:val="en-US" w:eastAsia="zh-CN"/>
        </w:rPr>
        <w:t>”</w:t>
      </w:r>
    </w:p>
    <w:p>
      <w:pPr>
        <w:spacing w:after="156" w:afterLines="50"/>
        <w:rPr>
          <w:rFonts w:hint="eastAsia" w:ascii="Times New Roman" w:hAnsi="Times New Roman"/>
          <w:sz w:val="20"/>
          <w:szCs w:val="20"/>
          <w:lang w:val="en-US" w:eastAsia="zh-CN"/>
        </w:rPr>
      </w:pPr>
      <w:r>
        <w:rPr>
          <w:rFonts w:hint="eastAsia" w:ascii="Times New Roman" w:hAnsi="Times New Roman"/>
          <w:sz w:val="20"/>
          <w:szCs w:val="20"/>
          <w:lang w:val="en-US" w:eastAsia="zh-CN"/>
        </w:rPr>
        <w:t>So in-band/guard-band/standalone mode are only categorized in terms of spectrum deployment mode which should be differentiated from operation mode concept, e.g. the operation mode definition for NB-IoT. So for A-IoT, we should decouple following two concept: spectrum mode and operation mode.</w:t>
      </w:r>
    </w:p>
    <w:p>
      <w:pPr>
        <w:spacing w:after="156" w:afterLines="50"/>
        <w:rPr>
          <w:rFonts w:hint="eastAsia" w:ascii="Times New Roman" w:hAnsi="Times New Roman"/>
          <w:sz w:val="20"/>
          <w:szCs w:val="20"/>
          <w:lang w:val="en-US" w:eastAsia="zh-CN"/>
        </w:rPr>
      </w:pPr>
      <w:r>
        <w:rPr>
          <w:rFonts w:hint="eastAsia" w:ascii="Times New Roman" w:hAnsi="Times New Roman"/>
          <w:sz w:val="20"/>
          <w:szCs w:val="20"/>
          <w:lang w:val="en-US" w:eastAsia="zh-CN"/>
        </w:rPr>
        <w:t>From spectrum deployment mode point of view, we list the definition for in-band/guard-band/standalone modes.</w:t>
      </w:r>
    </w:p>
    <w:p>
      <w:pPr>
        <w:numPr>
          <w:ilvl w:val="0"/>
          <w:numId w:val="3"/>
        </w:numPr>
        <w:spacing w:after="156" w:afterLines="50"/>
        <w:ind w:left="720" w:leftChars="0" w:hanging="360" w:firstLineChars="0"/>
        <w:rPr>
          <w:rFonts w:hint="default" w:ascii="Times New Roman" w:hAnsi="Times New Roman"/>
          <w:sz w:val="20"/>
          <w:szCs w:val="20"/>
          <w:lang w:val="en-US" w:eastAsia="zh-CN"/>
        </w:rPr>
      </w:pPr>
      <w:r>
        <w:rPr>
          <w:rFonts w:hint="default" w:ascii="Times New Roman" w:hAnsi="Times New Roman"/>
          <w:sz w:val="20"/>
          <w:szCs w:val="20"/>
          <w:lang w:val="en-US" w:eastAsia="zh-CN"/>
        </w:rPr>
        <w:t>in-band: A-IoT is operating in-band when it is located within a NR transmission bandwidth configuration but not within the NR minimum guard band.</w:t>
      </w:r>
    </w:p>
    <w:p>
      <w:pPr>
        <w:numPr>
          <w:ilvl w:val="0"/>
          <w:numId w:val="3"/>
        </w:numPr>
        <w:spacing w:after="156" w:afterLines="50"/>
        <w:ind w:left="720" w:leftChars="0" w:hanging="360" w:firstLineChars="0"/>
        <w:rPr>
          <w:rFonts w:hint="default" w:ascii="Times New Roman" w:hAnsi="Times New Roman"/>
          <w:sz w:val="20"/>
          <w:szCs w:val="20"/>
          <w:lang w:val="en-US" w:eastAsia="zh-CN"/>
        </w:rPr>
      </w:pPr>
      <w:r>
        <w:rPr>
          <w:rFonts w:hint="default" w:ascii="Times New Roman" w:hAnsi="Times New Roman"/>
          <w:sz w:val="20"/>
          <w:szCs w:val="20"/>
          <w:lang w:val="en-US" w:eastAsia="zh-CN"/>
        </w:rPr>
        <w:t>guard-band: A-IoT is operating in guard band when it is located within a NR BS channel bandwidth but is not NB-IoT operation in NR in-band.</w:t>
      </w:r>
    </w:p>
    <w:p>
      <w:pPr>
        <w:numPr>
          <w:ilvl w:val="0"/>
          <w:numId w:val="3"/>
        </w:numPr>
        <w:spacing w:after="156" w:afterLines="50"/>
        <w:ind w:left="720" w:leftChars="0" w:hanging="360" w:firstLineChars="0"/>
        <w:rPr>
          <w:rFonts w:hint="default" w:ascii="Times New Roman" w:hAnsi="Times New Roman"/>
          <w:sz w:val="20"/>
          <w:szCs w:val="20"/>
          <w:lang w:val="en-US" w:eastAsia="zh-CN"/>
        </w:rPr>
      </w:pPr>
      <w:r>
        <w:rPr>
          <w:rFonts w:hint="default" w:ascii="Times New Roman" w:hAnsi="Times New Roman"/>
          <w:sz w:val="20"/>
          <w:szCs w:val="20"/>
          <w:lang w:val="en-US" w:eastAsia="zh-CN"/>
        </w:rPr>
        <w:t xml:space="preserve">standalone: A-IoT utilize its own carrier. A-IoT and NR using different carriers. </w:t>
      </w:r>
    </w:p>
    <w:p>
      <w:pPr>
        <w:spacing w:after="156" w:afterLines="50"/>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Proposal 3: in-band/guard-band/standalone modes are categorized in terms of spectrum deployment mode and is the separate concept from the operation mode</w:t>
      </w:r>
    </w:p>
    <w:p>
      <w:pPr>
        <w:numPr>
          <w:ilvl w:val="0"/>
          <w:numId w:val="3"/>
        </w:numPr>
        <w:spacing w:after="156" w:afterLines="50"/>
        <w:ind w:left="720" w:leftChars="0" w:hanging="360" w:firstLineChars="0"/>
        <w:rPr>
          <w:rFonts w:hint="default" w:ascii="Times New Roman" w:hAnsi="Times New Roman"/>
          <w:b/>
          <w:bCs/>
          <w:sz w:val="20"/>
          <w:szCs w:val="20"/>
          <w:lang w:val="en-US" w:eastAsia="zh-CN"/>
        </w:rPr>
      </w:pPr>
      <w:r>
        <w:rPr>
          <w:rFonts w:hint="default" w:ascii="Times New Roman" w:hAnsi="Times New Roman"/>
          <w:b/>
          <w:bCs/>
          <w:sz w:val="20"/>
          <w:szCs w:val="20"/>
          <w:lang w:val="en-US" w:eastAsia="zh-CN"/>
        </w:rPr>
        <w:t>in-band: A-IoT is operating in-band when it is located within a NR transmission bandwidth configuration but not within the NR minimum guard band.</w:t>
      </w:r>
    </w:p>
    <w:p>
      <w:pPr>
        <w:numPr>
          <w:ilvl w:val="0"/>
          <w:numId w:val="3"/>
        </w:numPr>
        <w:spacing w:after="156" w:afterLines="50"/>
        <w:ind w:left="720" w:leftChars="0" w:hanging="360" w:firstLineChars="0"/>
        <w:rPr>
          <w:rFonts w:hint="default" w:ascii="Times New Roman" w:hAnsi="Times New Roman"/>
          <w:b/>
          <w:bCs/>
          <w:sz w:val="20"/>
          <w:szCs w:val="20"/>
          <w:lang w:val="en-US" w:eastAsia="zh-CN"/>
        </w:rPr>
      </w:pPr>
      <w:r>
        <w:rPr>
          <w:rFonts w:hint="default" w:ascii="Times New Roman" w:hAnsi="Times New Roman"/>
          <w:b/>
          <w:bCs/>
          <w:sz w:val="20"/>
          <w:szCs w:val="20"/>
          <w:lang w:val="en-US" w:eastAsia="zh-CN"/>
        </w:rPr>
        <w:t>guard-band: A-IoT is operating in guard band when it is located within a NR BS channel bandwidth but is not NB-IoT operation in NR in-band.</w:t>
      </w:r>
    </w:p>
    <w:p>
      <w:pPr>
        <w:numPr>
          <w:ilvl w:val="0"/>
          <w:numId w:val="3"/>
        </w:numPr>
        <w:spacing w:after="156" w:afterLines="50"/>
        <w:ind w:left="720" w:leftChars="0" w:hanging="360" w:firstLineChars="0"/>
        <w:rPr>
          <w:rFonts w:hint="default" w:ascii="Times New Roman" w:hAnsi="Times New Roman"/>
          <w:b/>
          <w:bCs/>
          <w:sz w:val="20"/>
          <w:szCs w:val="20"/>
          <w:lang w:val="en-US" w:eastAsia="zh-CN"/>
        </w:rPr>
      </w:pPr>
      <w:r>
        <w:rPr>
          <w:rFonts w:hint="default" w:ascii="Times New Roman" w:hAnsi="Times New Roman"/>
          <w:b/>
          <w:bCs/>
          <w:sz w:val="20"/>
          <w:szCs w:val="20"/>
          <w:lang w:val="en-US" w:eastAsia="zh-CN"/>
        </w:rPr>
        <w:t>standalone: A-IoT utilize its own carrier. A-IoT and NR using different carriers.</w:t>
      </w:r>
    </w:p>
    <w:p>
      <w:pPr>
        <w:spacing w:after="156" w:afterLines="50"/>
        <w:rPr>
          <w:rFonts w:hint="eastAsia" w:ascii="Times New Roman" w:hAnsi="Times New Roman"/>
          <w:sz w:val="20"/>
          <w:szCs w:val="20"/>
          <w:lang w:val="en-US" w:eastAsia="zh-CN"/>
        </w:rPr>
      </w:pPr>
      <w:r>
        <w:rPr>
          <w:rFonts w:hint="eastAsia" w:ascii="Times New Roman" w:hAnsi="Times New Roman"/>
          <w:sz w:val="20"/>
          <w:szCs w:val="20"/>
          <w:lang w:val="en-US" w:eastAsia="zh-CN"/>
        </w:rPr>
        <w:t>For the operation mode definition, RAN4 should further discuss whether reader of topology 1 and CW inside topology can share same hardware with existing gNB or not. One advantage of separate hardware is that A-IoT reader will be allowed with higher output PSD and then power boosting requirement is not the limitation anymore. From our initial evaluation, legacy 6dB power boosting may not feasible for A-IoT system to avoid NR interference to device. But the disadvantage of separate hardware is separate hardware will increase deployment cost. We may need further discuss when discuss RF requirements. Our preference is to allow separate hardware between A-IoT and existing gNB. Following table summarize the rough analysis of operation mode.</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63"/>
        <w:gridCol w:w="3981"/>
        <w:gridCol w:w="40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63" w:type="dxa"/>
            <w:shd w:val="clear" w:color="auto" w:fill="D7D7D7" w:themeFill="background1" w:themeFillShade="D8"/>
          </w:tcPr>
          <w:p>
            <w:pPr>
              <w:spacing w:before="120" w:after="156" w:afterLines="50" w:line="280" w:lineRule="atLeast"/>
              <w:rPr>
                <w:rFonts w:hint="default" w:ascii="Times New Roman" w:hAnsi="Times New Roman"/>
                <w:b/>
                <w:bCs/>
                <w:sz w:val="20"/>
                <w:szCs w:val="20"/>
                <w:vertAlign w:val="baseline"/>
                <w:lang w:val="en-US" w:eastAsia="zh-CN"/>
              </w:rPr>
            </w:pPr>
            <w:r>
              <w:rPr>
                <w:rFonts w:hint="eastAsia" w:ascii="Times New Roman" w:hAnsi="Times New Roman"/>
                <w:b/>
                <w:bCs/>
                <w:sz w:val="20"/>
                <w:szCs w:val="20"/>
                <w:vertAlign w:val="baseline"/>
                <w:lang w:val="en-US" w:eastAsia="zh-CN"/>
              </w:rPr>
              <w:t>Operation mode</w:t>
            </w:r>
          </w:p>
        </w:tc>
        <w:tc>
          <w:tcPr>
            <w:tcW w:w="3981" w:type="dxa"/>
            <w:shd w:val="clear" w:color="auto" w:fill="D7D7D7" w:themeFill="background1" w:themeFillShade="D8"/>
          </w:tcPr>
          <w:p>
            <w:pPr>
              <w:spacing w:before="120" w:after="156" w:afterLines="50" w:line="280" w:lineRule="atLeast"/>
              <w:rPr>
                <w:rFonts w:hint="default" w:ascii="Times New Roman" w:hAnsi="Times New Roman"/>
                <w:b/>
                <w:bCs/>
                <w:sz w:val="20"/>
                <w:szCs w:val="20"/>
                <w:vertAlign w:val="baseline"/>
                <w:lang w:val="en-US" w:eastAsia="zh-CN"/>
              </w:rPr>
            </w:pPr>
            <w:r>
              <w:rPr>
                <w:rFonts w:hint="eastAsia" w:ascii="Times New Roman" w:hAnsi="Times New Roman"/>
                <w:b/>
                <w:bCs/>
                <w:sz w:val="20"/>
                <w:szCs w:val="20"/>
                <w:vertAlign w:val="baseline"/>
                <w:lang w:val="en-US" w:eastAsia="zh-CN"/>
              </w:rPr>
              <w:t>advantages</w:t>
            </w:r>
          </w:p>
        </w:tc>
        <w:tc>
          <w:tcPr>
            <w:tcW w:w="4018" w:type="dxa"/>
            <w:shd w:val="clear" w:color="auto" w:fill="D7D7D7" w:themeFill="background1" w:themeFillShade="D8"/>
          </w:tcPr>
          <w:p>
            <w:pPr>
              <w:spacing w:before="120" w:after="156" w:afterLines="50" w:line="280" w:lineRule="atLeast"/>
              <w:rPr>
                <w:rFonts w:hint="default" w:ascii="Times New Roman" w:hAnsi="Times New Roman"/>
                <w:b/>
                <w:bCs/>
                <w:sz w:val="20"/>
                <w:szCs w:val="20"/>
                <w:vertAlign w:val="baseline"/>
                <w:lang w:val="en-US" w:eastAsia="zh-CN"/>
              </w:rPr>
            </w:pPr>
            <w:r>
              <w:rPr>
                <w:rFonts w:hint="eastAsia" w:ascii="Times New Roman" w:hAnsi="Times New Roman"/>
                <w:b/>
                <w:bCs/>
                <w:sz w:val="20"/>
                <w:szCs w:val="20"/>
                <w:vertAlign w:val="baseline"/>
                <w:lang w:val="en-US" w:eastAsia="zh-CN"/>
              </w:rPr>
              <w:t>disadvantage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63" w:type="dxa"/>
          </w:tcPr>
          <w:p>
            <w:pPr>
              <w:spacing w:before="120" w:after="156" w:afterLines="50" w:line="280" w:lineRule="atLeast"/>
              <w:rPr>
                <w:rFonts w:hint="default" w:ascii="Times New Roman" w:hAnsi="Times New Roman"/>
                <w:sz w:val="20"/>
                <w:szCs w:val="20"/>
                <w:vertAlign w:val="baseline"/>
                <w:lang w:val="en-US" w:eastAsia="zh-CN"/>
              </w:rPr>
            </w:pPr>
            <w:r>
              <w:rPr>
                <w:rFonts w:hint="eastAsia" w:ascii="Times New Roman" w:hAnsi="Times New Roman"/>
                <w:sz w:val="20"/>
                <w:szCs w:val="20"/>
                <w:vertAlign w:val="baseline"/>
                <w:lang w:val="en-US" w:eastAsia="zh-CN"/>
              </w:rPr>
              <w:t>Sharing hardware</w:t>
            </w:r>
          </w:p>
        </w:tc>
        <w:tc>
          <w:tcPr>
            <w:tcW w:w="3981" w:type="dxa"/>
          </w:tcPr>
          <w:p>
            <w:pPr>
              <w:spacing w:before="120" w:after="156" w:afterLines="50" w:line="280" w:lineRule="atLeast"/>
              <w:rPr>
                <w:rFonts w:hint="default" w:ascii="Times New Roman" w:hAnsi="Times New Roman"/>
                <w:sz w:val="20"/>
                <w:szCs w:val="20"/>
                <w:vertAlign w:val="baseline"/>
                <w:lang w:val="en-US" w:eastAsia="zh-CN"/>
              </w:rPr>
            </w:pPr>
            <w:r>
              <w:rPr>
                <w:rFonts w:hint="eastAsia" w:ascii="Times New Roman" w:hAnsi="Times New Roman"/>
                <w:sz w:val="20"/>
                <w:szCs w:val="20"/>
                <w:vertAlign w:val="baseline"/>
                <w:lang w:val="en-US" w:eastAsia="zh-CN"/>
              </w:rPr>
              <w:t>Less deployment cost</w:t>
            </w:r>
          </w:p>
        </w:tc>
        <w:tc>
          <w:tcPr>
            <w:tcW w:w="4018" w:type="dxa"/>
          </w:tcPr>
          <w:p>
            <w:pPr>
              <w:spacing w:before="120" w:after="156" w:afterLines="50" w:line="280" w:lineRule="atLeast"/>
              <w:rPr>
                <w:rFonts w:hint="default" w:ascii="Times New Roman" w:hAnsi="Times New Roman"/>
                <w:sz w:val="20"/>
                <w:szCs w:val="20"/>
                <w:vertAlign w:val="baseline"/>
                <w:lang w:val="en-US" w:eastAsia="zh-CN"/>
              </w:rPr>
            </w:pPr>
            <w:r>
              <w:rPr>
                <w:rFonts w:hint="eastAsia" w:ascii="Times New Roman" w:hAnsi="Times New Roman"/>
                <w:sz w:val="20"/>
                <w:szCs w:val="20"/>
                <w:vertAlign w:val="baseline"/>
                <w:lang w:val="en-US" w:eastAsia="zh-CN"/>
              </w:rPr>
              <w:t>There is PSD power boosting requirement limitation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63" w:type="dxa"/>
          </w:tcPr>
          <w:p>
            <w:pPr>
              <w:spacing w:before="120" w:after="156" w:afterLines="50" w:line="280" w:lineRule="atLeast"/>
              <w:rPr>
                <w:rFonts w:hint="default" w:ascii="Times New Roman" w:hAnsi="Times New Roman"/>
                <w:sz w:val="20"/>
                <w:szCs w:val="20"/>
                <w:vertAlign w:val="baseline"/>
                <w:lang w:val="en-US" w:eastAsia="zh-CN"/>
              </w:rPr>
            </w:pPr>
            <w:r>
              <w:rPr>
                <w:rFonts w:hint="eastAsia" w:ascii="Times New Roman" w:hAnsi="Times New Roman"/>
                <w:sz w:val="20"/>
                <w:szCs w:val="20"/>
                <w:vertAlign w:val="baseline"/>
                <w:lang w:val="en-US" w:eastAsia="zh-CN"/>
              </w:rPr>
              <w:t>Separate hardware</w:t>
            </w:r>
          </w:p>
        </w:tc>
        <w:tc>
          <w:tcPr>
            <w:tcW w:w="3981" w:type="dxa"/>
          </w:tcPr>
          <w:p>
            <w:pPr>
              <w:spacing w:before="120" w:after="156" w:afterLines="50" w:line="280" w:lineRule="atLeast"/>
              <w:rPr>
                <w:rFonts w:hint="default" w:ascii="Times New Roman" w:hAnsi="Times New Roman"/>
                <w:sz w:val="20"/>
                <w:szCs w:val="20"/>
                <w:vertAlign w:val="baseline"/>
                <w:lang w:val="en-US" w:eastAsia="zh-CN"/>
              </w:rPr>
            </w:pPr>
            <w:r>
              <w:rPr>
                <w:rFonts w:hint="eastAsia" w:ascii="Times New Roman" w:hAnsi="Times New Roman"/>
                <w:sz w:val="20"/>
                <w:szCs w:val="20"/>
                <w:lang w:val="en-US" w:eastAsia="zh-CN"/>
              </w:rPr>
              <w:t>A-IoT reader will be allowed with higher output PSD and then power boosting requirement is not the limitation anymore</w:t>
            </w:r>
          </w:p>
        </w:tc>
        <w:tc>
          <w:tcPr>
            <w:tcW w:w="4018" w:type="dxa"/>
          </w:tcPr>
          <w:p>
            <w:pPr>
              <w:spacing w:before="120" w:after="156" w:afterLines="50" w:line="280" w:lineRule="atLeast"/>
              <w:rPr>
                <w:rFonts w:hint="default" w:ascii="Times New Roman" w:hAnsi="Times New Roman"/>
                <w:sz w:val="20"/>
                <w:szCs w:val="20"/>
                <w:vertAlign w:val="baseline"/>
                <w:lang w:val="en-US" w:eastAsia="zh-CN"/>
              </w:rPr>
            </w:pPr>
            <w:r>
              <w:rPr>
                <w:rFonts w:hint="eastAsia" w:ascii="Times New Roman" w:hAnsi="Times New Roman"/>
                <w:sz w:val="20"/>
                <w:szCs w:val="20"/>
                <w:lang w:val="en-US" w:eastAsia="zh-CN"/>
              </w:rPr>
              <w:t>separate hardware will increase deployment cost</w:t>
            </w:r>
          </w:p>
        </w:tc>
      </w:tr>
    </w:tbl>
    <w:p>
      <w:pPr>
        <w:spacing w:after="156" w:afterLines="50"/>
        <w:rPr>
          <w:rFonts w:hint="default" w:ascii="Times New Roman" w:hAnsi="Times New Roman"/>
          <w:sz w:val="20"/>
          <w:szCs w:val="20"/>
          <w:lang w:val="en-US" w:eastAsia="zh-CN"/>
        </w:rPr>
      </w:pPr>
    </w:p>
    <w:p>
      <w:pPr>
        <w:spacing w:after="156" w:afterLines="50"/>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Proposal 4: RAN4 should further discuss the operation mode, i.e. whether reader of topology 1 and CW inside topology can share same hardware with existing gNB or not. This issue will impact final power boosting RF requirement definition.</w:t>
      </w:r>
    </w:p>
    <w:p>
      <w:pPr>
        <w:pStyle w:val="4"/>
        <w:bidi w:val="0"/>
        <w:rPr>
          <w:rFonts w:hint="eastAsia"/>
          <w:lang w:val="en-US" w:eastAsia="zh-CN"/>
        </w:rPr>
      </w:pPr>
      <w:r>
        <w:rPr>
          <w:rFonts w:hint="eastAsia"/>
          <w:lang w:val="en-US" w:eastAsia="zh-CN"/>
        </w:rPr>
        <w:t>2.3 priority of evaluation cases</w:t>
      </w:r>
    </w:p>
    <w:p>
      <w:pPr>
        <w:spacing w:after="156" w:afterLines="50"/>
        <w:rPr>
          <w:rFonts w:hint="eastAsia" w:ascii="Times New Roman" w:hAnsi="Times New Roman"/>
          <w:sz w:val="20"/>
          <w:szCs w:val="20"/>
          <w:lang w:val="en-US" w:eastAsia="zh-CN"/>
        </w:rPr>
      </w:pPr>
      <w:r>
        <w:rPr>
          <w:rFonts w:hint="eastAsia" w:ascii="Times New Roman" w:hAnsi="Times New Roman"/>
          <w:sz w:val="20"/>
          <w:szCs w:val="20"/>
          <w:lang w:val="en-US" w:eastAsia="zh-CN"/>
        </w:rPr>
        <w:t>Following list our preferred high priority evaluation parameters.</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07"/>
        <w:gridCol w:w="48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07" w:type="dxa"/>
            <w:shd w:val="clear" w:color="auto" w:fill="D7D7D7" w:themeFill="background1" w:themeFillShade="D8"/>
          </w:tcPr>
          <w:p>
            <w:pPr>
              <w:spacing w:before="120" w:after="156" w:afterLines="50" w:line="280" w:lineRule="atLeast"/>
              <w:rPr>
                <w:rFonts w:hint="default" w:ascii="Times New Roman" w:hAnsi="Times New Roman" w:cs="Times New Roman"/>
                <w:b/>
                <w:bCs/>
                <w:vertAlign w:val="baseline"/>
                <w:lang w:val="en-US" w:eastAsia="zh-CN"/>
              </w:rPr>
            </w:pPr>
            <w:r>
              <w:rPr>
                <w:rFonts w:hint="eastAsia" w:ascii="Times New Roman" w:hAnsi="Times New Roman" w:cs="Times New Roman"/>
                <w:b/>
                <w:bCs/>
                <w:vertAlign w:val="baseline"/>
                <w:lang w:val="en-US" w:eastAsia="zh-CN"/>
              </w:rPr>
              <w:t>P</w:t>
            </w:r>
            <w:r>
              <w:rPr>
                <w:rFonts w:hint="default" w:ascii="Times New Roman" w:hAnsi="Times New Roman" w:cs="Times New Roman"/>
                <w:b/>
                <w:bCs/>
                <w:vertAlign w:val="baseline"/>
                <w:lang w:val="en-US" w:eastAsia="zh-CN"/>
              </w:rPr>
              <w:t>arameter</w:t>
            </w:r>
          </w:p>
        </w:tc>
        <w:tc>
          <w:tcPr>
            <w:tcW w:w="4847" w:type="dxa"/>
            <w:shd w:val="clear" w:color="auto" w:fill="D7D7D7" w:themeFill="background1" w:themeFillShade="D8"/>
          </w:tcPr>
          <w:p>
            <w:pPr>
              <w:spacing w:before="120" w:after="156" w:afterLines="50" w:line="280" w:lineRule="atLeast"/>
              <w:rPr>
                <w:rFonts w:hint="default" w:ascii="Times New Roman" w:hAnsi="Times New Roman" w:cs="Times New Roman"/>
                <w:b/>
                <w:bCs/>
                <w:vertAlign w:val="baseline"/>
                <w:lang w:val="en-US" w:eastAsia="zh-CN"/>
              </w:rPr>
            </w:pPr>
            <w:r>
              <w:rPr>
                <w:rFonts w:hint="default" w:ascii="Times New Roman" w:hAnsi="Times New Roman" w:cs="Times New Roman"/>
                <w:b/>
                <w:bCs/>
                <w:vertAlign w:val="baseline"/>
                <w:lang w:val="en-US" w:eastAsia="zh-CN"/>
              </w:rPr>
              <w:t>High priority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07" w:type="dxa"/>
          </w:tcPr>
          <w:p>
            <w:pPr>
              <w:spacing w:before="120" w:after="156" w:afterLines="50" w:line="280" w:lineRule="atLeast"/>
              <w:rPr>
                <w:rFonts w:hint="default" w:ascii="Times New Roman" w:hAnsi="Times New Roman" w:cs="Times New Roman"/>
                <w:vertAlign w:val="baseline"/>
                <w:lang w:val="en-US" w:eastAsia="zh-CN"/>
              </w:rPr>
            </w:pPr>
            <w:r>
              <w:rPr>
                <w:rFonts w:hint="default" w:ascii="Times New Roman" w:hAnsi="Times New Roman" w:cs="Times New Roman"/>
                <w:vertAlign w:val="baseline"/>
                <w:lang w:val="en-US" w:eastAsia="zh-CN"/>
              </w:rPr>
              <w:t>Example band</w:t>
            </w:r>
          </w:p>
        </w:tc>
        <w:tc>
          <w:tcPr>
            <w:tcW w:w="4847" w:type="dxa"/>
          </w:tcPr>
          <w:p>
            <w:pPr>
              <w:spacing w:before="120" w:after="156" w:afterLines="50" w:line="280" w:lineRule="atLeast"/>
              <w:rPr>
                <w:rFonts w:hint="default" w:ascii="Times New Roman" w:hAnsi="Times New Roman" w:cs="Times New Roman"/>
                <w:vertAlign w:val="baseline"/>
                <w:lang w:val="en-US" w:eastAsia="zh-CN"/>
              </w:rPr>
            </w:pPr>
            <w:r>
              <w:rPr>
                <w:rFonts w:hint="eastAsia" w:ascii="Times New Roman" w:hAnsi="Times New Roman" w:cs="Times New Roman"/>
                <w:vertAlign w:val="baseline"/>
                <w:lang w:val="en-US" w:eastAsia="zh-CN"/>
              </w:rPr>
              <w:t>900MHz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07" w:type="dxa"/>
          </w:tcPr>
          <w:p>
            <w:pPr>
              <w:spacing w:before="120" w:after="156" w:afterLines="50" w:line="280" w:lineRule="atLeast"/>
              <w:rPr>
                <w:rFonts w:hint="default" w:ascii="Times New Roman" w:hAnsi="Times New Roman" w:cs="Times New Roman"/>
                <w:vertAlign w:val="baseline"/>
                <w:lang w:val="en-US" w:eastAsia="zh-CN"/>
              </w:rPr>
            </w:pPr>
            <w:r>
              <w:rPr>
                <w:rFonts w:hint="eastAsia" w:ascii="Times New Roman" w:hAnsi="Times New Roman" w:cs="Times New Roman"/>
                <w:vertAlign w:val="baseline"/>
                <w:lang w:val="en-US" w:eastAsia="zh-CN"/>
              </w:rPr>
              <w:t>Devices</w:t>
            </w:r>
          </w:p>
        </w:tc>
        <w:tc>
          <w:tcPr>
            <w:tcW w:w="4847" w:type="dxa"/>
          </w:tcPr>
          <w:p>
            <w:pPr>
              <w:spacing w:before="120" w:after="156" w:afterLines="50" w:line="280" w:lineRule="atLeast"/>
              <w:rPr>
                <w:rFonts w:hint="default" w:ascii="Times New Roman" w:hAnsi="Times New Roman" w:cs="Times New Roman"/>
                <w:vertAlign w:val="baseline"/>
                <w:lang w:val="en-US" w:eastAsia="zh-CN"/>
              </w:rPr>
            </w:pPr>
            <w:r>
              <w:rPr>
                <w:rFonts w:hint="eastAsia" w:ascii="Times New Roman" w:hAnsi="Times New Roman" w:cs="Times New Roman"/>
                <w:vertAlign w:val="baseline"/>
                <w:lang w:val="en-US" w:eastAsia="zh-CN"/>
              </w:rPr>
              <w:t>1 and 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07" w:type="dxa"/>
          </w:tcPr>
          <w:p>
            <w:pPr>
              <w:spacing w:before="120" w:after="156" w:afterLines="50" w:line="280" w:lineRule="atLeast"/>
              <w:rPr>
                <w:rFonts w:hint="default" w:ascii="Times New Roman" w:hAnsi="Times New Roman" w:cs="Times New Roman"/>
                <w:vertAlign w:val="baseline"/>
                <w:lang w:val="en-US" w:eastAsia="zh-CN"/>
              </w:rPr>
            </w:pPr>
            <w:r>
              <w:rPr>
                <w:rFonts w:hint="eastAsia" w:ascii="Times New Roman" w:hAnsi="Times New Roman" w:cs="Times New Roman"/>
                <w:vertAlign w:val="baseline"/>
                <w:lang w:val="en-US" w:eastAsia="zh-CN"/>
              </w:rPr>
              <w:t>Topology</w:t>
            </w:r>
          </w:p>
        </w:tc>
        <w:tc>
          <w:tcPr>
            <w:tcW w:w="4847" w:type="dxa"/>
          </w:tcPr>
          <w:p>
            <w:pPr>
              <w:spacing w:before="120" w:after="156" w:afterLines="50" w:line="280" w:lineRule="atLeast"/>
              <w:rPr>
                <w:rFonts w:hint="default" w:ascii="Times New Roman" w:hAnsi="Times New Roman" w:cs="Times New Roman"/>
                <w:vertAlign w:val="baseline"/>
                <w:lang w:val="en-US" w:eastAsia="zh-CN"/>
              </w:rPr>
            </w:pPr>
            <w:r>
              <w:rPr>
                <w:rFonts w:hint="eastAsia" w:ascii="Times New Roman" w:hAnsi="Times New Roman" w:cs="Times New Roman"/>
                <w:vertAlign w:val="baseli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07" w:type="dxa"/>
          </w:tcPr>
          <w:p>
            <w:pPr>
              <w:spacing w:before="120" w:after="156" w:afterLines="50" w:line="280" w:lineRule="atLeast"/>
              <w:rPr>
                <w:rFonts w:hint="default" w:ascii="Times New Roman" w:hAnsi="Times New Roman" w:cs="Times New Roman"/>
                <w:vertAlign w:val="baseline"/>
                <w:lang w:val="en-US" w:eastAsia="zh-CN"/>
              </w:rPr>
            </w:pPr>
            <w:r>
              <w:rPr>
                <w:rFonts w:hint="eastAsia" w:ascii="Times New Roman" w:hAnsi="Times New Roman" w:cs="Times New Roman"/>
                <w:vertAlign w:val="baseline"/>
                <w:lang w:val="en-US" w:eastAsia="zh-CN"/>
              </w:rPr>
              <w:t>Spectrum deployment mode</w:t>
            </w:r>
          </w:p>
        </w:tc>
        <w:tc>
          <w:tcPr>
            <w:tcW w:w="4847" w:type="dxa"/>
          </w:tcPr>
          <w:p>
            <w:pPr>
              <w:spacing w:before="120" w:after="156" w:afterLines="50" w:line="280" w:lineRule="atLeast"/>
              <w:rPr>
                <w:rFonts w:hint="eastAsia" w:ascii="Times New Roman" w:hAnsi="Times New Roman" w:cs="Times New Roman"/>
                <w:vertAlign w:val="baseline"/>
                <w:lang w:val="en-US" w:eastAsia="zh-CN"/>
              </w:rPr>
            </w:pPr>
            <w:r>
              <w:rPr>
                <w:rFonts w:hint="eastAsia" w:ascii="Times New Roman" w:hAnsi="Times New Roman" w:cs="Times New Roman"/>
                <w:vertAlign w:val="baseline"/>
                <w:lang w:val="en-US" w:eastAsia="zh-CN"/>
              </w:rPr>
              <w:t>In-band</w:t>
            </w:r>
          </w:p>
          <w:p>
            <w:pPr>
              <w:spacing w:before="120" w:after="156" w:afterLines="50" w:line="280" w:lineRule="atLeast"/>
              <w:rPr>
                <w:rFonts w:hint="default" w:ascii="Times New Roman" w:hAnsi="Times New Roman" w:cs="Times New Roman"/>
                <w:vertAlign w:val="baseline"/>
                <w:lang w:val="en-US" w:eastAsia="zh-CN"/>
              </w:rPr>
            </w:pPr>
            <w:r>
              <w:rPr>
                <w:rFonts w:hint="eastAsia" w:ascii="Times New Roman" w:hAnsi="Times New Roman" w:cs="Times New Roman"/>
                <w:vertAlign w:val="baseline"/>
                <w:lang w:val="en-US" w:eastAsia="zh-CN"/>
              </w:rPr>
              <w:t>Compared with guard-band and standalone, in-band mode will have larger interference for the co-existence deployment scenario listed in section 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07" w:type="dxa"/>
          </w:tcPr>
          <w:p>
            <w:pPr>
              <w:spacing w:before="120" w:after="156" w:afterLines="50" w:line="280" w:lineRule="atLeast"/>
              <w:rPr>
                <w:rFonts w:hint="default" w:ascii="Times New Roman" w:hAnsi="Times New Roman" w:cs="Times New Roman"/>
                <w:vertAlign w:val="baseline"/>
                <w:lang w:val="en-US" w:eastAsia="zh-CN"/>
              </w:rPr>
            </w:pPr>
            <w:r>
              <w:rPr>
                <w:rFonts w:hint="eastAsia" w:ascii="Times New Roman" w:hAnsi="Times New Roman" w:cs="Times New Roman"/>
                <w:vertAlign w:val="baseline"/>
                <w:lang w:val="en-US" w:eastAsia="zh-CN"/>
              </w:rPr>
              <w:t>CW outside/inside topology</w:t>
            </w:r>
          </w:p>
        </w:tc>
        <w:tc>
          <w:tcPr>
            <w:tcW w:w="4847" w:type="dxa"/>
          </w:tcPr>
          <w:p>
            <w:pPr>
              <w:spacing w:before="120" w:after="156" w:afterLines="50" w:line="280" w:lineRule="atLeast"/>
              <w:rPr>
                <w:rFonts w:hint="default" w:ascii="Times New Roman" w:hAnsi="Times New Roman" w:cs="Times New Roman"/>
                <w:vertAlign w:val="baseline"/>
                <w:lang w:val="en-US" w:eastAsia="zh-CN"/>
              </w:rPr>
            </w:pPr>
            <w:r>
              <w:rPr>
                <w:rFonts w:hint="eastAsia" w:ascii="Times New Roman" w:hAnsi="Times New Roman" w:cs="Times New Roman"/>
                <w:vertAlign w:val="baseline"/>
                <w:lang w:val="en-US" w:eastAsia="zh-CN"/>
              </w:rPr>
              <w:t>Inside topology, i.e. D1T1-A1 and D1T1-A2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07" w:type="dxa"/>
          </w:tcPr>
          <w:p>
            <w:pPr>
              <w:spacing w:before="120" w:after="156" w:afterLines="50" w:line="280" w:lineRule="atLeast"/>
              <w:rPr>
                <w:rFonts w:hint="default" w:ascii="Times New Roman" w:hAnsi="Times New Roman" w:cs="Times New Roman"/>
                <w:vertAlign w:val="baseline"/>
                <w:lang w:val="en-US" w:eastAsia="zh-CN"/>
              </w:rPr>
            </w:pPr>
            <w:r>
              <w:rPr>
                <w:rFonts w:hint="eastAsia" w:ascii="Times New Roman" w:hAnsi="Times New Roman" w:cs="Times New Roman"/>
                <w:vertAlign w:val="baseline"/>
                <w:lang w:val="en-US" w:eastAsia="zh-CN"/>
              </w:rPr>
              <w:t>Spectrum for each link</w:t>
            </w:r>
          </w:p>
        </w:tc>
        <w:tc>
          <w:tcPr>
            <w:tcW w:w="4847" w:type="dxa"/>
          </w:tcPr>
          <w:p>
            <w:pPr>
              <w:spacing w:before="120" w:after="156" w:afterLines="50" w:line="280" w:lineRule="atLeast"/>
              <w:rPr>
                <w:rFonts w:hint="eastAsia" w:ascii="Times New Roman" w:hAnsi="Times New Roman" w:cs="Times New Roman"/>
                <w:vertAlign w:val="baseline"/>
                <w:lang w:val="en-US" w:eastAsia="zh-CN"/>
              </w:rPr>
            </w:pPr>
            <w:r>
              <w:rPr>
                <w:rFonts w:hint="eastAsia" w:ascii="Times New Roman" w:hAnsi="Times New Roman" w:cs="Times New Roman"/>
                <w:vertAlign w:val="baseline"/>
                <w:lang w:val="en-US" w:eastAsia="zh-CN"/>
              </w:rPr>
              <w:t>For topology 1:</w:t>
            </w:r>
          </w:p>
          <w:p>
            <w:pPr>
              <w:spacing w:before="120" w:after="156" w:afterLines="50" w:line="280" w:lineRule="atLeast"/>
              <w:rPr>
                <w:rFonts w:hint="eastAsia" w:ascii="Times New Roman" w:hAnsi="Times New Roman" w:cs="Times New Roman"/>
                <w:vertAlign w:val="baseline"/>
                <w:lang w:val="en-US" w:eastAsia="zh-CN"/>
              </w:rPr>
            </w:pPr>
            <w:r>
              <w:rPr>
                <w:rFonts w:hint="eastAsia" w:ascii="Times New Roman" w:hAnsi="Times New Roman" w:cs="Times New Roman"/>
                <w:vertAlign w:val="baseline"/>
                <w:lang w:val="en-US" w:eastAsia="zh-CN"/>
              </w:rPr>
              <w:t>R2D: DL spectrum</w:t>
            </w:r>
          </w:p>
          <w:p>
            <w:pPr>
              <w:spacing w:before="120" w:after="156" w:afterLines="50" w:line="280" w:lineRule="atLeast"/>
              <w:rPr>
                <w:rFonts w:hint="default" w:ascii="Times New Roman" w:hAnsi="Times New Roman" w:cs="Times New Roman"/>
                <w:vertAlign w:val="baseline"/>
                <w:lang w:val="en-US" w:eastAsia="zh-CN"/>
              </w:rPr>
            </w:pPr>
            <w:r>
              <w:rPr>
                <w:rFonts w:hint="eastAsia" w:ascii="Times New Roman" w:hAnsi="Times New Roman" w:cs="Times New Roman"/>
                <w:vertAlign w:val="baseline"/>
                <w:lang w:val="en-US" w:eastAsia="zh-CN"/>
              </w:rPr>
              <w:t>CW: using DL/UL spectrum, both as high priority</w:t>
            </w:r>
          </w:p>
        </w:tc>
      </w:tr>
    </w:tbl>
    <w:p>
      <w:pPr>
        <w:spacing w:after="156" w:afterLines="50"/>
        <w:rPr>
          <w:rFonts w:hint="default" w:ascii="Times New Roman" w:hAnsi="Times New Roman"/>
          <w:sz w:val="20"/>
          <w:szCs w:val="20"/>
          <w:lang w:val="en-US" w:eastAsia="zh-CN"/>
        </w:rPr>
      </w:pPr>
      <w:r>
        <w:rPr>
          <w:rFonts w:hint="eastAsia" w:ascii="Times New Roman" w:hAnsi="Times New Roman"/>
          <w:sz w:val="20"/>
          <w:szCs w:val="20"/>
          <w:lang w:val="en-US" w:eastAsia="zh-CN"/>
        </w:rPr>
        <w:t>The main difference between D1T1-A1 and D1T1-A2 is that for -A2 when reader is victim, we should also consider the self-interference into evaluation. So for D1T1-A2, we only need to re-evaluate the case when reader as victim and for the other cases, the interference conclusion is the same as D1T1-A1 and there is no need for further evaluation. Based on all above high priority choice, we have following proposal.</w:t>
      </w:r>
    </w:p>
    <w:p>
      <w:pPr>
        <w:spacing w:after="156" w:afterLines="50"/>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Proposal 5: it</w:t>
      </w:r>
      <w:r>
        <w:rPr>
          <w:rFonts w:hint="default" w:ascii="Times New Roman" w:hAnsi="Times New Roman"/>
          <w:b/>
          <w:bCs/>
          <w:sz w:val="20"/>
          <w:szCs w:val="20"/>
          <w:lang w:val="en-US" w:eastAsia="zh-CN"/>
        </w:rPr>
        <w:t>’</w:t>
      </w:r>
      <w:r>
        <w:rPr>
          <w:rFonts w:hint="eastAsia" w:ascii="Times New Roman" w:hAnsi="Times New Roman"/>
          <w:b/>
          <w:bCs/>
          <w:sz w:val="20"/>
          <w:szCs w:val="20"/>
          <w:lang w:val="en-US" w:eastAsia="zh-CN"/>
        </w:rPr>
        <w:t>s suggested to use following evaluation cases as high priority.</w:t>
      </w:r>
    </w:p>
    <w:tbl>
      <w:tblPr>
        <w:tblStyle w:val="16"/>
        <w:tblW w:w="5000" w:type="pct"/>
        <w:tblCellSpacing w:w="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0" w:type="dxa"/>
          <w:bottom w:w="0" w:type="dxa"/>
          <w:right w:w="0" w:type="dxa"/>
        </w:tblCellMar>
      </w:tblPr>
      <w:tblGrid>
        <w:gridCol w:w="533"/>
        <w:gridCol w:w="623"/>
        <w:gridCol w:w="1570"/>
        <w:gridCol w:w="946"/>
        <w:gridCol w:w="761"/>
        <w:gridCol w:w="1900"/>
        <w:gridCol w:w="1200"/>
        <w:gridCol w:w="942"/>
        <w:gridCol w:w="920"/>
        <w:gridCol w:w="41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460" w:hRule="atLeast"/>
          <w:tblCellSpacing w:w="0" w:type="dxa"/>
        </w:trPr>
        <w:tc>
          <w:tcPr>
            <w:tcW w:w="271"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Cases</w:t>
            </w:r>
          </w:p>
        </w:tc>
        <w:tc>
          <w:tcPr>
            <w:tcW w:w="317"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device</w:t>
            </w:r>
          </w:p>
        </w:tc>
        <w:tc>
          <w:tcPr>
            <w:tcW w:w="800"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co-existence with existing 3GPP</w:t>
            </w:r>
          </w:p>
        </w:tc>
        <w:tc>
          <w:tcPr>
            <w:tcW w:w="482"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Spectrum deploymentmode</w:t>
            </w:r>
          </w:p>
        </w:tc>
        <w:tc>
          <w:tcPr>
            <w:tcW w:w="388"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Deployment scenario and topology</w:t>
            </w:r>
          </w:p>
        </w:tc>
        <w:tc>
          <w:tcPr>
            <w:tcW w:w="968"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spectrum</w:t>
            </w:r>
          </w:p>
        </w:tc>
        <w:tc>
          <w:tcPr>
            <w:tcW w:w="611"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spectrum combination</w:t>
            </w:r>
          </w:p>
        </w:tc>
        <w:tc>
          <w:tcPr>
            <w:tcW w:w="480"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aggressor</w:t>
            </w:r>
          </w:p>
        </w:tc>
        <w:tc>
          <w:tcPr>
            <w:tcW w:w="469"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victim</w:t>
            </w:r>
          </w:p>
        </w:tc>
        <w:tc>
          <w:tcPr>
            <w:tcW w:w="209"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priority</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580" w:hRule="atLeast"/>
          <w:tblCellSpacing w:w="0" w:type="dxa"/>
        </w:trPr>
        <w:tc>
          <w:tcPr>
            <w:tcW w:w="271"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1-1</w:t>
            </w:r>
          </w:p>
        </w:tc>
        <w:tc>
          <w:tcPr>
            <w:tcW w:w="317"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device 1 and 2a</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existing NR/LTE gNB is outdoor and all A-IoT reader/CW/devices are indoors.</w:t>
            </w:r>
          </w:p>
          <w:p>
            <w:pPr>
              <w:pStyle w:val="14"/>
              <w:keepNext w:val="0"/>
              <w:keepLines w:val="0"/>
              <w:widowControl/>
              <w:suppressLineNumbers w:val="0"/>
              <w:jc w:val="center"/>
              <w:rPr>
                <w:b/>
                <w:bCs/>
              </w:rPr>
            </w:pPr>
          </w:p>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existing UE is outdoors.</w:t>
            </w:r>
          </w:p>
          <w:p>
            <w:pPr>
              <w:pStyle w:val="14"/>
              <w:keepNext w:val="0"/>
              <w:keepLines w:val="0"/>
              <w:widowControl/>
              <w:suppressLineNumbers w:val="0"/>
              <w:jc w:val="center"/>
              <w:rPr>
                <w:b/>
                <w:bCs/>
              </w:rPr>
            </w:pPr>
          </w:p>
          <w:p>
            <w:pPr>
              <w:pStyle w:val="14"/>
              <w:keepNext w:val="0"/>
              <w:keepLines w:val="0"/>
              <w:widowControl/>
              <w:suppressLineNumbers w:val="0"/>
              <w:jc w:val="center"/>
              <w:rPr>
                <w:b/>
                <w:bCs/>
              </w:rPr>
            </w:pPr>
          </w:p>
        </w:tc>
        <w:tc>
          <w:tcPr>
            <w:tcW w:w="482"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in-band</w:t>
            </w:r>
          </w:p>
        </w:tc>
        <w:tc>
          <w:tcPr>
            <w:tcW w:w="388"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D1T1-A1</w:t>
            </w:r>
          </w:p>
        </w:tc>
        <w:tc>
          <w:tcPr>
            <w:tcW w:w="968"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FDD UL: CW2D and D2R</w:t>
            </w:r>
          </w:p>
        </w:tc>
        <w:tc>
          <w:tcPr>
            <w:tcW w:w="611"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R2D: DL</w:t>
            </w:r>
          </w:p>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CW2D and D2R: UL</w:t>
            </w:r>
          </w:p>
        </w:tc>
        <w:tc>
          <w:tcPr>
            <w:tcW w:w="480"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CW and/or device</w:t>
            </w:r>
          </w:p>
        </w:tc>
        <w:tc>
          <w:tcPr>
            <w:tcW w:w="469"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FDD UL</w:t>
            </w:r>
          </w:p>
        </w:tc>
        <w:tc>
          <w:tcPr>
            <w:tcW w:w="209"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high</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580" w:hRule="atLeast"/>
          <w:tblCellSpacing w:w="0" w:type="dxa"/>
        </w:trPr>
        <w:tc>
          <w:tcPr>
            <w:tcW w:w="271"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317"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482"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388"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968"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611"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480"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FDD UL</w:t>
            </w:r>
          </w:p>
        </w:tc>
        <w:tc>
          <w:tcPr>
            <w:tcW w:w="469"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device and/or reader</w:t>
            </w:r>
          </w:p>
        </w:tc>
        <w:tc>
          <w:tcPr>
            <w:tcW w:w="209"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400" w:hRule="atLeast"/>
          <w:tblCellSpacing w:w="0" w:type="dxa"/>
        </w:trPr>
        <w:tc>
          <w:tcPr>
            <w:tcW w:w="271"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1-2</w:t>
            </w:r>
          </w:p>
        </w:tc>
        <w:tc>
          <w:tcPr>
            <w:tcW w:w="317"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482"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in-band</w:t>
            </w:r>
          </w:p>
        </w:tc>
        <w:tc>
          <w:tcPr>
            <w:tcW w:w="388"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968"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FDD DL: R2D</w:t>
            </w:r>
          </w:p>
        </w:tc>
        <w:tc>
          <w:tcPr>
            <w:tcW w:w="611"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480"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reader</w:t>
            </w:r>
          </w:p>
        </w:tc>
        <w:tc>
          <w:tcPr>
            <w:tcW w:w="469"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FDD DL</w:t>
            </w:r>
          </w:p>
        </w:tc>
        <w:tc>
          <w:tcPr>
            <w:tcW w:w="209"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high</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360" w:hRule="atLeast"/>
          <w:tblCellSpacing w:w="0" w:type="dxa"/>
        </w:trPr>
        <w:tc>
          <w:tcPr>
            <w:tcW w:w="271"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317"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482"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388"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968"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611"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480"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FDD DL</w:t>
            </w:r>
          </w:p>
        </w:tc>
        <w:tc>
          <w:tcPr>
            <w:tcW w:w="469"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device</w:t>
            </w:r>
          </w:p>
        </w:tc>
        <w:tc>
          <w:tcPr>
            <w:tcW w:w="209"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480" w:hRule="atLeast"/>
          <w:tblCellSpacing w:w="0" w:type="dxa"/>
        </w:trPr>
        <w:tc>
          <w:tcPr>
            <w:tcW w:w="271"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2-1</w:t>
            </w:r>
          </w:p>
        </w:tc>
        <w:tc>
          <w:tcPr>
            <w:tcW w:w="317"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482"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in-band</w:t>
            </w:r>
          </w:p>
        </w:tc>
        <w:tc>
          <w:tcPr>
            <w:tcW w:w="388"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968"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FDD DL: CW2D and D2R</w:t>
            </w:r>
          </w:p>
        </w:tc>
        <w:tc>
          <w:tcPr>
            <w:tcW w:w="611"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R2D: DL</w:t>
            </w:r>
          </w:p>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CW2D and D2R: DL</w:t>
            </w:r>
          </w:p>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including case 2-1 and case 1-2</w:t>
            </w:r>
          </w:p>
        </w:tc>
        <w:tc>
          <w:tcPr>
            <w:tcW w:w="480"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CW and/or device</w:t>
            </w:r>
          </w:p>
        </w:tc>
        <w:tc>
          <w:tcPr>
            <w:tcW w:w="469"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FDD DL</w:t>
            </w:r>
          </w:p>
        </w:tc>
        <w:tc>
          <w:tcPr>
            <w:tcW w:w="209"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high</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700" w:hRule="atLeast"/>
          <w:tblCellSpacing w:w="0" w:type="dxa"/>
        </w:trPr>
        <w:tc>
          <w:tcPr>
            <w:tcW w:w="271"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317"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482"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388"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968"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611"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480"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FDD DL</w:t>
            </w:r>
          </w:p>
        </w:tc>
        <w:tc>
          <w:tcPr>
            <w:tcW w:w="469"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device and/or reader</w:t>
            </w:r>
          </w:p>
        </w:tc>
        <w:tc>
          <w:tcPr>
            <w:tcW w:w="209"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308" w:hRule="atLeast"/>
          <w:tblCellSpacing w:w="0" w:type="dxa"/>
        </w:trPr>
        <w:tc>
          <w:tcPr>
            <w:tcW w:w="271"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3-1</w:t>
            </w:r>
          </w:p>
        </w:tc>
        <w:tc>
          <w:tcPr>
            <w:tcW w:w="317"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482"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in-band</w:t>
            </w:r>
          </w:p>
        </w:tc>
        <w:tc>
          <w:tcPr>
            <w:tcW w:w="388"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D1T1-A2</w:t>
            </w:r>
          </w:p>
        </w:tc>
        <w:tc>
          <w:tcPr>
            <w:tcW w:w="968"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FDD UL: CW2D and D2R</w:t>
            </w:r>
          </w:p>
        </w:tc>
        <w:tc>
          <w:tcPr>
            <w:tcW w:w="611"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R2D: DL</w:t>
            </w:r>
          </w:p>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CW2D and D2R: UL</w:t>
            </w:r>
          </w:p>
        </w:tc>
        <w:tc>
          <w:tcPr>
            <w:tcW w:w="480" w:type="pct"/>
            <w:tcBorders>
              <w:top w:val="single" w:color="000000" w:sz="4" w:space="0"/>
              <w:left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FDD UL</w:t>
            </w:r>
          </w:p>
        </w:tc>
        <w:tc>
          <w:tcPr>
            <w:tcW w:w="469" w:type="pct"/>
            <w:tcBorders>
              <w:top w:val="single" w:color="000000" w:sz="4" w:space="0"/>
              <w:left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device and/or reader</w:t>
            </w:r>
          </w:p>
        </w:tc>
        <w:tc>
          <w:tcPr>
            <w:tcW w:w="209"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high</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524" w:hRule="atLeast"/>
          <w:tblCellSpacing w:w="0" w:type="dxa"/>
        </w:trPr>
        <w:tc>
          <w:tcPr>
            <w:tcW w:w="271"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4-1</w:t>
            </w:r>
          </w:p>
        </w:tc>
        <w:tc>
          <w:tcPr>
            <w:tcW w:w="317"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482"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in-band</w:t>
            </w:r>
          </w:p>
        </w:tc>
        <w:tc>
          <w:tcPr>
            <w:tcW w:w="388"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968"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FDD DL: CW2D and D2R</w:t>
            </w:r>
          </w:p>
        </w:tc>
        <w:tc>
          <w:tcPr>
            <w:tcW w:w="611"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R2D: DL</w:t>
            </w:r>
          </w:p>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CW2D and D2R: DL</w:t>
            </w:r>
          </w:p>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including case 4-1 and case 3-2</w:t>
            </w:r>
          </w:p>
        </w:tc>
        <w:tc>
          <w:tcPr>
            <w:tcW w:w="480" w:type="pct"/>
            <w:tcBorders>
              <w:top w:val="single" w:color="000000" w:sz="4" w:space="0"/>
              <w:left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FDD DL</w:t>
            </w:r>
          </w:p>
        </w:tc>
        <w:tc>
          <w:tcPr>
            <w:tcW w:w="469" w:type="pct"/>
            <w:tcBorders>
              <w:top w:val="single" w:color="000000" w:sz="4" w:space="0"/>
              <w:left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device and/or reader</w:t>
            </w:r>
          </w:p>
        </w:tc>
        <w:tc>
          <w:tcPr>
            <w:tcW w:w="209"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high</w:t>
            </w:r>
          </w:p>
        </w:tc>
      </w:tr>
    </w:tbl>
    <w:p>
      <w:pPr>
        <w:pStyle w:val="4"/>
        <w:bidi w:val="0"/>
        <w:rPr>
          <w:rFonts w:hint="eastAsia"/>
          <w:lang w:val="en-US" w:eastAsia="zh-CN"/>
        </w:rPr>
      </w:pPr>
      <w:r>
        <w:rPr>
          <w:rFonts w:hint="eastAsia"/>
          <w:lang w:val="en-US" w:eastAsia="zh-CN"/>
        </w:rPr>
        <w:t>2.4 Key evaluation parameters</w:t>
      </w:r>
    </w:p>
    <w:p>
      <w:pPr>
        <w:numPr>
          <w:ilvl w:val="0"/>
          <w:numId w:val="4"/>
        </w:numPr>
        <w:ind w:left="420" w:leftChars="0" w:hanging="420" w:firstLineChars="0"/>
        <w:rPr>
          <w:rFonts w:hint="default" w:ascii="Times New Roman" w:hAnsi="Times New Roman" w:cs="Times New Roman"/>
          <w:b/>
          <w:bCs/>
          <w:sz w:val="24"/>
          <w:szCs w:val="24"/>
          <w:lang w:val="en-US" w:eastAsia="zh-CN"/>
        </w:rPr>
      </w:pPr>
      <w:r>
        <w:rPr>
          <w:rFonts w:hint="default" w:ascii="Times New Roman" w:hAnsi="Times New Roman" w:cs="Times New Roman"/>
          <w:b/>
          <w:bCs/>
          <w:sz w:val="24"/>
          <w:szCs w:val="24"/>
          <w:lang w:val="en-US" w:eastAsia="zh-CN"/>
        </w:rPr>
        <w:t>Performance metric</w:t>
      </w:r>
    </w:p>
    <w:p>
      <w:pPr>
        <w:spacing w:after="156" w:afterLines="50"/>
        <w:rPr>
          <w:rFonts w:hint="eastAsia" w:ascii="Times New Roman" w:hAnsi="Times New Roman"/>
          <w:sz w:val="20"/>
          <w:szCs w:val="20"/>
          <w:lang w:val="en-US" w:eastAsia="zh-CN"/>
        </w:rPr>
      </w:pPr>
      <w:r>
        <w:rPr>
          <w:rFonts w:hint="eastAsia" w:ascii="Times New Roman" w:hAnsi="Times New Roman"/>
          <w:sz w:val="20"/>
          <w:szCs w:val="20"/>
          <w:lang w:val="en-US" w:eastAsia="zh-CN"/>
        </w:rPr>
        <w:t>In legacy co-existence study, 5% throughput loss is assumed for final performance metric. But for A-IoT, throughput loss performance metric is not applicable anymore. For the performance metric, we have following two alternatives:</w:t>
      </w:r>
    </w:p>
    <w:p>
      <w:pPr>
        <w:numPr>
          <w:ilvl w:val="0"/>
          <w:numId w:val="5"/>
        </w:numPr>
        <w:spacing w:after="156" w:afterLines="50"/>
        <w:ind w:left="720" w:leftChars="0" w:hanging="360" w:firstLineChars="0"/>
        <w:rPr>
          <w:rFonts w:hint="default" w:ascii="Times New Roman" w:hAnsi="Times New Roman"/>
          <w:sz w:val="20"/>
          <w:szCs w:val="20"/>
          <w:lang w:val="en-US" w:eastAsia="zh-CN"/>
        </w:rPr>
      </w:pPr>
      <w:r>
        <w:rPr>
          <w:rFonts w:hint="eastAsia" w:ascii="Times New Roman" w:hAnsi="Times New Roman"/>
          <w:sz w:val="20"/>
          <w:szCs w:val="20"/>
          <w:lang w:val="en-US" w:eastAsia="zh-CN"/>
        </w:rPr>
        <w:t>SNR degradation</w:t>
      </w:r>
    </w:p>
    <w:p>
      <w:pPr>
        <w:numPr>
          <w:ilvl w:val="0"/>
          <w:numId w:val="5"/>
        </w:numPr>
        <w:spacing w:after="156" w:afterLines="50"/>
        <w:ind w:left="720" w:leftChars="0" w:hanging="360" w:firstLineChars="0"/>
        <w:rPr>
          <w:rFonts w:hint="default" w:ascii="Times New Roman" w:hAnsi="Times New Roman"/>
          <w:sz w:val="20"/>
          <w:szCs w:val="20"/>
          <w:lang w:val="en-US" w:eastAsia="zh-CN"/>
        </w:rPr>
      </w:pPr>
      <w:r>
        <w:rPr>
          <w:rFonts w:hint="eastAsia" w:ascii="Times New Roman" w:hAnsi="Times New Roman"/>
          <w:sz w:val="20"/>
          <w:szCs w:val="20"/>
          <w:lang w:val="en-US" w:eastAsia="zh-CN"/>
        </w:rPr>
        <w:t>BLER</w:t>
      </w:r>
    </w:p>
    <w:p>
      <w:pPr>
        <w:widowControl w:val="0"/>
        <w:numPr>
          <w:ilvl w:val="0"/>
          <w:numId w:val="0"/>
        </w:numPr>
        <w:spacing w:after="180"/>
        <w:jc w:val="both"/>
        <w:rPr>
          <w:rFonts w:hint="eastAsia"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If we still reuse legacy system level evaluation methodology, we can only derive baseline SNR value without interference and SNR degradation on top of no interference case. But there is no specific interference criteria to evaluate how much SINR degradation is allowed or not especially for this new A-IoT signal. In previous NB-IoT co-existence evaluation, 1dB SINR degradation is used as interference criteria. To be honest, there is no detailed analysis of the relationship between throughput loss/BLER and 1dB SNR degradation. Instead, 1dB SNR degradation is the experience value and is based on all companies</w:t>
      </w:r>
      <w:r>
        <w:rPr>
          <w:rFonts w:hint="default" w:ascii="Times New Roman" w:hAnsi="Times New Roman" w:cs="Times New Roman"/>
          <w:b w:val="0"/>
          <w:bCs w:val="0"/>
          <w:sz w:val="20"/>
          <w:szCs w:val="20"/>
          <w:lang w:val="en-US" w:eastAsia="zh-CN"/>
        </w:rPr>
        <w:t>’</w:t>
      </w:r>
      <w:r>
        <w:rPr>
          <w:rFonts w:hint="eastAsia" w:ascii="Times New Roman" w:hAnsi="Times New Roman" w:cs="Times New Roman"/>
          <w:b w:val="0"/>
          <w:bCs w:val="0"/>
          <w:sz w:val="20"/>
          <w:szCs w:val="20"/>
          <w:lang w:val="en-US" w:eastAsia="zh-CN"/>
        </w:rPr>
        <w:t xml:space="preserve"> compromise. So, it</w:t>
      </w:r>
      <w:r>
        <w:rPr>
          <w:rFonts w:hint="default" w:ascii="Times New Roman" w:hAnsi="Times New Roman" w:cs="Times New Roman"/>
          <w:b w:val="0"/>
          <w:bCs w:val="0"/>
          <w:sz w:val="20"/>
          <w:szCs w:val="20"/>
          <w:lang w:val="en-US" w:eastAsia="zh-CN"/>
        </w:rPr>
        <w:t>’</w:t>
      </w:r>
      <w:r>
        <w:rPr>
          <w:rFonts w:hint="eastAsia" w:ascii="Times New Roman" w:hAnsi="Times New Roman" w:cs="Times New Roman"/>
          <w:b w:val="0"/>
          <w:bCs w:val="0"/>
          <w:sz w:val="20"/>
          <w:szCs w:val="20"/>
          <w:lang w:val="en-US" w:eastAsia="zh-CN"/>
        </w:rPr>
        <w:t>s not reasonable to reuse this 1dB SNR degradation performance metric especially without detailed analysis.</w:t>
      </w:r>
    </w:p>
    <w:p>
      <w:pPr>
        <w:widowControl w:val="0"/>
        <w:numPr>
          <w:ilvl w:val="0"/>
          <w:numId w:val="0"/>
        </w:numPr>
        <w:spacing w:after="180"/>
        <w:jc w:val="both"/>
        <w:rPr>
          <w:rFonts w:hint="eastAsia" w:ascii="Times New Roman" w:hAnsi="Times New Roman" w:cs="Times New Roman"/>
          <w:b/>
          <w:bCs/>
          <w:sz w:val="20"/>
          <w:szCs w:val="20"/>
          <w:lang w:val="en-US" w:eastAsia="zh-CN"/>
        </w:rPr>
      </w:pPr>
      <w:r>
        <w:rPr>
          <w:rFonts w:hint="eastAsia" w:ascii="Times New Roman" w:hAnsi="Times New Roman" w:cs="Times New Roman"/>
          <w:b/>
          <w:bCs/>
          <w:sz w:val="20"/>
          <w:szCs w:val="20"/>
          <w:lang w:val="en-US" w:eastAsia="zh-CN"/>
        </w:rPr>
        <w:t>Observation 2: 1dB SNR degradation is just the experiential performance metric for OFDM signal and whether feasible for A-IoT signal needs further check.</w:t>
      </w:r>
    </w:p>
    <w:p>
      <w:pPr>
        <w:spacing w:after="156" w:afterLines="50"/>
        <w:rPr>
          <w:rFonts w:hint="eastAsia" w:ascii="Times New Roman" w:hAnsi="Times New Roman"/>
          <w:sz w:val="20"/>
          <w:szCs w:val="20"/>
          <w:lang w:val="en-US" w:eastAsia="zh-CN"/>
        </w:rPr>
      </w:pPr>
      <w:r>
        <w:rPr>
          <w:rFonts w:hint="eastAsia" w:ascii="Times New Roman" w:hAnsi="Times New Roman"/>
          <w:sz w:val="20"/>
          <w:szCs w:val="20"/>
          <w:lang w:val="en-US" w:eastAsia="zh-CN"/>
        </w:rPr>
        <w:t>Compared with SNR degradation, BLER seems more intuitive for final evaluation. At this study stage, it</w:t>
      </w:r>
      <w:r>
        <w:rPr>
          <w:rFonts w:hint="default" w:ascii="Times New Roman" w:hAnsi="Times New Roman"/>
          <w:sz w:val="20"/>
          <w:szCs w:val="20"/>
          <w:lang w:val="en-US" w:eastAsia="zh-CN"/>
        </w:rPr>
        <w:t>’</w:t>
      </w:r>
      <w:r>
        <w:rPr>
          <w:rFonts w:hint="eastAsia" w:ascii="Times New Roman" w:hAnsi="Times New Roman"/>
          <w:sz w:val="20"/>
          <w:szCs w:val="20"/>
          <w:lang w:val="en-US" w:eastAsia="zh-CN"/>
        </w:rPr>
        <w:t>s hard to have one uniformed relationship between SNR and BLER and it may also be time consuming if waiting for RAN1</w:t>
      </w:r>
      <w:r>
        <w:rPr>
          <w:rFonts w:hint="default" w:ascii="Times New Roman" w:hAnsi="Times New Roman"/>
          <w:sz w:val="20"/>
          <w:szCs w:val="20"/>
          <w:lang w:val="en-US" w:eastAsia="zh-CN"/>
        </w:rPr>
        <w:t>’</w:t>
      </w:r>
      <w:r>
        <w:rPr>
          <w:rFonts w:hint="eastAsia" w:ascii="Times New Roman" w:hAnsi="Times New Roman"/>
          <w:sz w:val="20"/>
          <w:szCs w:val="20"/>
          <w:lang w:val="en-US" w:eastAsia="zh-CN"/>
        </w:rPr>
        <w:t>s input. One choice is that in the evaluation, the relationship between SNR and BLER is based on companies</w:t>
      </w:r>
      <w:r>
        <w:rPr>
          <w:rFonts w:hint="default" w:ascii="Times New Roman" w:hAnsi="Times New Roman"/>
          <w:sz w:val="20"/>
          <w:szCs w:val="20"/>
          <w:lang w:val="en-US" w:eastAsia="zh-CN"/>
        </w:rPr>
        <w:t>’</w:t>
      </w:r>
      <w:r>
        <w:rPr>
          <w:rFonts w:hint="eastAsia" w:ascii="Times New Roman" w:hAnsi="Times New Roman"/>
          <w:sz w:val="20"/>
          <w:szCs w:val="20"/>
          <w:lang w:val="en-US" w:eastAsia="zh-CN"/>
        </w:rPr>
        <w:t xml:space="preserve"> input with assumed LLS evaluation parameters to help conclude final co-existence conclusion.</w:t>
      </w:r>
    </w:p>
    <w:p>
      <w:pPr>
        <w:spacing w:after="156" w:afterLines="50"/>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Proposal 6: it</w:t>
      </w:r>
      <w:r>
        <w:rPr>
          <w:rFonts w:hint="default" w:ascii="Times New Roman" w:hAnsi="Times New Roman"/>
          <w:b/>
          <w:bCs/>
          <w:sz w:val="20"/>
          <w:szCs w:val="20"/>
          <w:lang w:val="en-US" w:eastAsia="zh-CN"/>
        </w:rPr>
        <w:t>’</w:t>
      </w:r>
      <w:r>
        <w:rPr>
          <w:rFonts w:hint="eastAsia" w:ascii="Times New Roman" w:hAnsi="Times New Roman"/>
          <w:b/>
          <w:bCs/>
          <w:sz w:val="20"/>
          <w:szCs w:val="20"/>
          <w:lang w:val="en-US" w:eastAsia="zh-CN"/>
        </w:rPr>
        <w:t>s suggested to use 1% BLER as performance metric for all kinds of devices, reader of topology 1 and 2. Relationship between SINR and BLER are based on companies</w:t>
      </w:r>
      <w:r>
        <w:rPr>
          <w:rFonts w:hint="default" w:ascii="Times New Roman" w:hAnsi="Times New Roman"/>
          <w:b/>
          <w:bCs/>
          <w:sz w:val="20"/>
          <w:szCs w:val="20"/>
          <w:lang w:val="en-US" w:eastAsia="zh-CN"/>
        </w:rPr>
        <w:t>’</w:t>
      </w:r>
      <w:r>
        <w:rPr>
          <w:rFonts w:hint="eastAsia" w:ascii="Times New Roman" w:hAnsi="Times New Roman"/>
          <w:b/>
          <w:bCs/>
          <w:sz w:val="20"/>
          <w:szCs w:val="20"/>
          <w:lang w:val="en-US" w:eastAsia="zh-CN"/>
        </w:rPr>
        <w:t xml:space="preserve"> input.</w:t>
      </w:r>
    </w:p>
    <w:p>
      <w:pPr>
        <w:spacing w:after="156" w:afterLines="50"/>
        <w:rPr>
          <w:rFonts w:hint="eastAsia" w:ascii="Times New Roman" w:hAnsi="Times New Roman"/>
          <w:b w:val="0"/>
          <w:bCs w:val="0"/>
          <w:sz w:val="20"/>
          <w:szCs w:val="20"/>
          <w:lang w:val="en-US" w:eastAsia="zh-CN"/>
        </w:rPr>
      </w:pPr>
      <w:r>
        <w:rPr>
          <w:rFonts w:hint="eastAsia" w:ascii="Times New Roman" w:hAnsi="Times New Roman"/>
          <w:b w:val="0"/>
          <w:bCs w:val="0"/>
          <w:sz w:val="20"/>
          <w:szCs w:val="20"/>
          <w:lang w:val="en-US" w:eastAsia="zh-CN"/>
        </w:rPr>
        <w:t>Besides, the sensitivity of devices should also be taken into consideration. Only the devices that meet sensitivity threshold should be included into final BLER statistics.</w:t>
      </w:r>
    </w:p>
    <w:p>
      <w:pPr>
        <w:spacing w:after="156" w:afterLines="50"/>
        <w:rPr>
          <w:rFonts w:hint="eastAsia" w:ascii="Times New Roman" w:hAnsi="Times New Roman"/>
          <w:b w:val="0"/>
          <w:bCs w:val="0"/>
          <w:sz w:val="20"/>
          <w:szCs w:val="20"/>
          <w:lang w:val="en-US" w:eastAsia="zh-CN"/>
        </w:rPr>
      </w:pPr>
      <w:r>
        <w:rPr>
          <w:rFonts w:hint="eastAsia" w:ascii="Times New Roman" w:hAnsi="Times New Roman"/>
          <w:b/>
          <w:bCs/>
          <w:sz w:val="20"/>
          <w:szCs w:val="20"/>
          <w:lang w:val="en-US" w:eastAsia="zh-CN"/>
        </w:rPr>
        <w:t>Proposal 7: sensitivity of device should be taken into consideration and only the devices that meet sensitivity threshold should be included into final BLER statistics.</w:t>
      </w:r>
    </w:p>
    <w:p>
      <w:pPr>
        <w:spacing w:after="156" w:afterLines="50"/>
        <w:rPr>
          <w:rFonts w:hint="eastAsia" w:ascii="Times New Roman" w:hAnsi="Times New Roman"/>
          <w:b w:val="0"/>
          <w:bCs w:val="0"/>
          <w:sz w:val="20"/>
          <w:szCs w:val="20"/>
          <w:lang w:val="en-US" w:eastAsia="zh-CN"/>
        </w:rPr>
      </w:pPr>
      <w:r>
        <w:rPr>
          <w:rFonts w:hint="eastAsia" w:ascii="Times New Roman" w:hAnsi="Times New Roman"/>
          <w:b w:val="0"/>
          <w:bCs w:val="0"/>
          <w:sz w:val="20"/>
          <w:szCs w:val="20"/>
          <w:lang w:val="en-US" w:eastAsia="zh-CN"/>
        </w:rPr>
        <w:t>In legacy co-existence evaluation, we use cell edge 5% and average throughput loss to evaluate interference. If 1% BLER is used as performance metric, we should also consider the assumed outage to evaluate how many victim would meet this 1% BLER requirements. Some example outage probability is listed as below 5%, 10%.</w:t>
      </w:r>
    </w:p>
    <w:p>
      <w:pPr>
        <w:spacing w:after="156" w:afterLines="50"/>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Proposal 8: RAN4 need to discuss the outage probability if 1% BLER is used as performance metric. 5% worst victim is suggested as the candidate value.</w:t>
      </w:r>
    </w:p>
    <w:p>
      <w:pPr>
        <w:numPr>
          <w:ilvl w:val="0"/>
          <w:numId w:val="6"/>
        </w:numPr>
        <w:ind w:left="420" w:leftChars="0" w:hanging="420" w:firstLineChars="0"/>
        <w:rPr>
          <w:rFonts w:hint="default" w:ascii="Arial" w:hAnsi="Arial" w:cs="Arial"/>
          <w:b/>
          <w:bCs/>
          <w:sz w:val="24"/>
          <w:szCs w:val="24"/>
          <w:lang w:val="en-US" w:eastAsia="zh-CN"/>
        </w:rPr>
      </w:pPr>
      <w:r>
        <w:rPr>
          <w:rFonts w:hint="eastAsia" w:ascii="Arial" w:hAnsi="Arial" w:cs="Arial"/>
          <w:b/>
          <w:bCs/>
          <w:sz w:val="24"/>
          <w:szCs w:val="24"/>
          <w:lang w:val="en-US" w:eastAsia="zh-CN"/>
        </w:rPr>
        <w:t>Adjacent RB/carrier Tx leakage and Rx suppression characteristics</w:t>
      </w:r>
    </w:p>
    <w:p>
      <w:pPr>
        <w:spacing w:after="156" w:afterLines="50"/>
        <w:rPr>
          <w:rFonts w:hint="eastAsia" w:ascii="Times New Roman" w:hAnsi="Times New Roman"/>
          <w:b w:val="0"/>
          <w:bCs w:val="0"/>
          <w:sz w:val="20"/>
          <w:szCs w:val="20"/>
          <w:lang w:val="en-US" w:eastAsia="zh-CN"/>
        </w:rPr>
      </w:pPr>
      <w:r>
        <w:rPr>
          <w:rFonts w:hint="eastAsia" w:ascii="Times New Roman" w:hAnsi="Times New Roman"/>
          <w:b w:val="0"/>
          <w:bCs w:val="0"/>
          <w:sz w:val="20"/>
          <w:szCs w:val="20"/>
          <w:lang w:val="en-US" w:eastAsia="zh-CN"/>
        </w:rPr>
        <w:t>Following table list our suggestion for adjacent RB/carrier Tx leakage and Rx suppression characteristics.</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6"/>
        <w:gridCol w:w="1261"/>
        <w:gridCol w:w="1674"/>
        <w:gridCol w:w="1407"/>
        <w:gridCol w:w="1407"/>
        <w:gridCol w:w="1403"/>
        <w:gridCol w:w="14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6" w:type="dxa"/>
            <w:vMerge w:val="restart"/>
            <w:shd w:val="clear" w:color="auto" w:fill="D7D7D7" w:themeFill="background1" w:themeFillShade="D8"/>
          </w:tcPr>
          <w:p>
            <w:pPr>
              <w:spacing w:before="120" w:after="156" w:afterLines="50" w:line="280" w:lineRule="atLeast"/>
              <w:rPr>
                <w:rFonts w:hint="default" w:ascii="Times New Roman" w:hAnsi="Times New Roman"/>
                <w:b w:val="0"/>
                <w:bCs w:val="0"/>
                <w:sz w:val="20"/>
                <w:szCs w:val="20"/>
                <w:vertAlign w:val="baseline"/>
                <w:lang w:val="en-US" w:eastAsia="zh-CN"/>
              </w:rPr>
            </w:pPr>
          </w:p>
        </w:tc>
        <w:tc>
          <w:tcPr>
            <w:tcW w:w="2935" w:type="dxa"/>
            <w:gridSpan w:val="2"/>
            <w:shd w:val="clear" w:color="auto" w:fill="D7D7D7" w:themeFill="background1" w:themeFillShade="D8"/>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In-band</w:t>
            </w:r>
          </w:p>
        </w:tc>
        <w:tc>
          <w:tcPr>
            <w:tcW w:w="2814" w:type="dxa"/>
            <w:gridSpan w:val="2"/>
            <w:shd w:val="clear" w:color="auto" w:fill="D7D7D7" w:themeFill="background1" w:themeFillShade="D8"/>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Guard-band</w:t>
            </w:r>
          </w:p>
        </w:tc>
        <w:tc>
          <w:tcPr>
            <w:tcW w:w="2807" w:type="dxa"/>
            <w:gridSpan w:val="2"/>
            <w:shd w:val="clear" w:color="auto" w:fill="D7D7D7" w:themeFill="background1" w:themeFillShade="D8"/>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standalone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6" w:type="dxa"/>
            <w:vMerge w:val="continue"/>
            <w:shd w:val="clear" w:color="auto" w:fill="D7D7D7" w:themeFill="background1" w:themeFillShade="D8"/>
          </w:tcPr>
          <w:p>
            <w:pPr>
              <w:spacing w:before="120" w:after="156" w:afterLines="50" w:line="280" w:lineRule="atLeast"/>
              <w:rPr>
                <w:rFonts w:hint="default" w:ascii="Times New Roman" w:hAnsi="Times New Roman"/>
                <w:b w:val="0"/>
                <w:bCs w:val="0"/>
                <w:sz w:val="20"/>
                <w:szCs w:val="20"/>
                <w:vertAlign w:val="baseline"/>
                <w:lang w:val="en-US" w:eastAsia="zh-CN"/>
              </w:rPr>
            </w:pPr>
          </w:p>
        </w:tc>
        <w:tc>
          <w:tcPr>
            <w:tcW w:w="1261" w:type="dxa"/>
            <w:shd w:val="clear" w:color="auto" w:fill="D7D7D7" w:themeFill="background1" w:themeFillShade="D8"/>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Tx</w:t>
            </w:r>
          </w:p>
        </w:tc>
        <w:tc>
          <w:tcPr>
            <w:tcW w:w="1674" w:type="dxa"/>
            <w:shd w:val="clear" w:color="auto" w:fill="D7D7D7" w:themeFill="background1" w:themeFillShade="D8"/>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Rx</w:t>
            </w:r>
          </w:p>
        </w:tc>
        <w:tc>
          <w:tcPr>
            <w:tcW w:w="1407" w:type="dxa"/>
            <w:shd w:val="clear" w:color="auto" w:fill="D7D7D7" w:themeFill="background1" w:themeFillShade="D8"/>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Tx</w:t>
            </w:r>
          </w:p>
        </w:tc>
        <w:tc>
          <w:tcPr>
            <w:tcW w:w="1407" w:type="dxa"/>
            <w:shd w:val="clear" w:color="auto" w:fill="D7D7D7" w:themeFill="background1" w:themeFillShade="D8"/>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Rx</w:t>
            </w:r>
          </w:p>
        </w:tc>
        <w:tc>
          <w:tcPr>
            <w:tcW w:w="1403" w:type="dxa"/>
            <w:shd w:val="clear" w:color="auto" w:fill="D7D7D7" w:themeFill="background1" w:themeFillShade="D8"/>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Tx</w:t>
            </w:r>
          </w:p>
        </w:tc>
        <w:tc>
          <w:tcPr>
            <w:tcW w:w="1404" w:type="dxa"/>
            <w:shd w:val="clear" w:color="auto" w:fill="D7D7D7" w:themeFill="background1" w:themeFillShade="D8"/>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Rx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6" w:type="dxa"/>
            <w:shd w:val="clear" w:color="auto" w:fill="D7D7D7" w:themeFill="background1" w:themeFillShade="D8"/>
          </w:tcPr>
          <w:p>
            <w:p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Intermediate UE</w:t>
            </w:r>
          </w:p>
        </w:tc>
        <w:tc>
          <w:tcPr>
            <w:tcW w:w="1261" w:type="dxa"/>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Legacy UE IBE requirement</w:t>
            </w:r>
          </w:p>
        </w:tc>
        <w:tc>
          <w:tcPr>
            <w:tcW w:w="1674" w:type="dxa"/>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ICS=ACS value</w:t>
            </w:r>
          </w:p>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According to SBFD analysis, ICS could be equals to ACS</w:t>
            </w:r>
          </w:p>
        </w:tc>
        <w:tc>
          <w:tcPr>
            <w:tcW w:w="1407" w:type="dxa"/>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Based on companies</w:t>
            </w:r>
            <w:r>
              <w:rPr>
                <w:rFonts w:hint="default" w:ascii="Times New Roman" w:hAnsi="Times New Roman"/>
                <w:b w:val="0"/>
                <w:bCs w:val="0"/>
                <w:sz w:val="20"/>
                <w:szCs w:val="20"/>
                <w:vertAlign w:val="baseline"/>
                <w:lang w:val="en-US" w:eastAsia="zh-CN"/>
              </w:rPr>
              <w:t>’</w:t>
            </w:r>
            <w:r>
              <w:rPr>
                <w:rFonts w:hint="eastAsia" w:ascii="Times New Roman" w:hAnsi="Times New Roman"/>
                <w:b w:val="0"/>
                <w:bCs w:val="0"/>
                <w:sz w:val="20"/>
                <w:szCs w:val="20"/>
                <w:vertAlign w:val="baseline"/>
                <w:lang w:val="en-US" w:eastAsia="zh-CN"/>
              </w:rPr>
              <w:t xml:space="preserve"> input</w:t>
            </w:r>
          </w:p>
        </w:tc>
        <w:tc>
          <w:tcPr>
            <w:tcW w:w="1407" w:type="dxa"/>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Based on companies</w:t>
            </w:r>
            <w:r>
              <w:rPr>
                <w:rFonts w:hint="default" w:ascii="Times New Roman" w:hAnsi="Times New Roman"/>
                <w:b w:val="0"/>
                <w:bCs w:val="0"/>
                <w:sz w:val="20"/>
                <w:szCs w:val="20"/>
                <w:vertAlign w:val="baseline"/>
                <w:lang w:val="en-US" w:eastAsia="zh-CN"/>
              </w:rPr>
              <w:t>’</w:t>
            </w:r>
            <w:r>
              <w:rPr>
                <w:rFonts w:hint="eastAsia" w:ascii="Times New Roman" w:hAnsi="Times New Roman"/>
                <w:b w:val="0"/>
                <w:bCs w:val="0"/>
                <w:sz w:val="20"/>
                <w:szCs w:val="20"/>
                <w:vertAlign w:val="baseline"/>
                <w:lang w:val="en-US" w:eastAsia="zh-CN"/>
              </w:rPr>
              <w:t xml:space="preserve"> input</w:t>
            </w:r>
          </w:p>
        </w:tc>
        <w:tc>
          <w:tcPr>
            <w:tcW w:w="1403" w:type="dxa"/>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Legacy UE ACLR requirement</w:t>
            </w:r>
          </w:p>
        </w:tc>
        <w:tc>
          <w:tcPr>
            <w:tcW w:w="1404" w:type="dxa"/>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Legacy UE ACS requirement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6" w:type="dxa"/>
            <w:shd w:val="clear" w:color="auto" w:fill="D7D7D7" w:themeFill="background1" w:themeFillShade="D8"/>
          </w:tcPr>
          <w:p>
            <w:p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Existing gNB/reader of topology 1</w:t>
            </w:r>
          </w:p>
        </w:tc>
        <w:tc>
          <w:tcPr>
            <w:tcW w:w="1261" w:type="dxa"/>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Based on companies</w:t>
            </w:r>
            <w:r>
              <w:rPr>
                <w:rFonts w:hint="default" w:ascii="Times New Roman" w:hAnsi="Times New Roman"/>
                <w:b w:val="0"/>
                <w:bCs w:val="0"/>
                <w:sz w:val="20"/>
                <w:szCs w:val="20"/>
                <w:vertAlign w:val="baseline"/>
                <w:lang w:val="en-US" w:eastAsia="zh-CN"/>
              </w:rPr>
              <w:t>’</w:t>
            </w:r>
            <w:r>
              <w:rPr>
                <w:rFonts w:hint="eastAsia" w:ascii="Times New Roman" w:hAnsi="Times New Roman"/>
                <w:b w:val="0"/>
                <w:bCs w:val="0"/>
                <w:sz w:val="20"/>
                <w:szCs w:val="20"/>
                <w:vertAlign w:val="baseline"/>
                <w:lang w:val="en-US" w:eastAsia="zh-CN"/>
              </w:rPr>
              <w:t xml:space="preserve"> input since there is no such requirements in 38.104</w:t>
            </w:r>
          </w:p>
        </w:tc>
        <w:tc>
          <w:tcPr>
            <w:tcW w:w="1674" w:type="dxa"/>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Based on companies</w:t>
            </w:r>
            <w:r>
              <w:rPr>
                <w:rFonts w:hint="default" w:ascii="Times New Roman" w:hAnsi="Times New Roman"/>
                <w:b w:val="0"/>
                <w:bCs w:val="0"/>
                <w:sz w:val="20"/>
                <w:szCs w:val="20"/>
                <w:vertAlign w:val="baseline"/>
                <w:lang w:val="en-US" w:eastAsia="zh-CN"/>
              </w:rPr>
              <w:t>’</w:t>
            </w:r>
            <w:r>
              <w:rPr>
                <w:rFonts w:hint="eastAsia" w:ascii="Times New Roman" w:hAnsi="Times New Roman"/>
                <w:b w:val="0"/>
                <w:bCs w:val="0"/>
                <w:sz w:val="20"/>
                <w:szCs w:val="20"/>
                <w:vertAlign w:val="baseline"/>
                <w:lang w:val="en-US" w:eastAsia="zh-CN"/>
              </w:rPr>
              <w:t xml:space="preserve"> input in dB scale</w:t>
            </w:r>
          </w:p>
        </w:tc>
        <w:tc>
          <w:tcPr>
            <w:tcW w:w="1407" w:type="dxa"/>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Based on companies</w:t>
            </w:r>
            <w:r>
              <w:rPr>
                <w:rFonts w:hint="default" w:ascii="Times New Roman" w:hAnsi="Times New Roman"/>
                <w:b w:val="0"/>
                <w:bCs w:val="0"/>
                <w:sz w:val="20"/>
                <w:szCs w:val="20"/>
                <w:vertAlign w:val="baseline"/>
                <w:lang w:val="en-US" w:eastAsia="zh-CN"/>
              </w:rPr>
              <w:t>’</w:t>
            </w:r>
            <w:r>
              <w:rPr>
                <w:rFonts w:hint="eastAsia" w:ascii="Times New Roman" w:hAnsi="Times New Roman"/>
                <w:b w:val="0"/>
                <w:bCs w:val="0"/>
                <w:sz w:val="20"/>
                <w:szCs w:val="20"/>
                <w:vertAlign w:val="baseline"/>
                <w:lang w:val="en-US" w:eastAsia="zh-CN"/>
              </w:rPr>
              <w:t xml:space="preserve"> input</w:t>
            </w:r>
          </w:p>
        </w:tc>
        <w:tc>
          <w:tcPr>
            <w:tcW w:w="1407" w:type="dxa"/>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Based on companies</w:t>
            </w:r>
            <w:r>
              <w:rPr>
                <w:rFonts w:hint="default" w:ascii="Times New Roman" w:hAnsi="Times New Roman"/>
                <w:b w:val="0"/>
                <w:bCs w:val="0"/>
                <w:sz w:val="20"/>
                <w:szCs w:val="20"/>
                <w:vertAlign w:val="baseline"/>
                <w:lang w:val="en-US" w:eastAsia="zh-CN"/>
              </w:rPr>
              <w:t>’</w:t>
            </w:r>
            <w:r>
              <w:rPr>
                <w:rFonts w:hint="eastAsia" w:ascii="Times New Roman" w:hAnsi="Times New Roman"/>
                <w:b w:val="0"/>
                <w:bCs w:val="0"/>
                <w:sz w:val="20"/>
                <w:szCs w:val="20"/>
                <w:vertAlign w:val="baseline"/>
                <w:lang w:val="en-US" w:eastAsia="zh-CN"/>
              </w:rPr>
              <w:t xml:space="preserve"> input</w:t>
            </w:r>
          </w:p>
        </w:tc>
        <w:tc>
          <w:tcPr>
            <w:tcW w:w="1403" w:type="dxa"/>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Legacy gNB ACLR requirement</w:t>
            </w:r>
          </w:p>
        </w:tc>
        <w:tc>
          <w:tcPr>
            <w:tcW w:w="1404" w:type="dxa"/>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Legacy gNB ACS requirement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6" w:type="dxa"/>
            <w:vMerge w:val="restart"/>
            <w:shd w:val="clear" w:color="auto" w:fill="D7D7D7" w:themeFill="background1" w:themeFillShade="D8"/>
          </w:tcPr>
          <w:p>
            <w:p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devices</w:t>
            </w:r>
          </w:p>
        </w:tc>
        <w:tc>
          <w:tcPr>
            <w:tcW w:w="1261" w:type="dxa"/>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Based on BB LPF performance</w:t>
            </w:r>
          </w:p>
        </w:tc>
        <w:tc>
          <w:tcPr>
            <w:tcW w:w="1674" w:type="dxa"/>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Based on BB LPF performance</w:t>
            </w:r>
          </w:p>
        </w:tc>
        <w:tc>
          <w:tcPr>
            <w:tcW w:w="1407" w:type="dxa"/>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Based on BB LPF performance</w:t>
            </w:r>
          </w:p>
        </w:tc>
        <w:tc>
          <w:tcPr>
            <w:tcW w:w="1407" w:type="dxa"/>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Based on BB LPF performance</w:t>
            </w:r>
          </w:p>
        </w:tc>
        <w:tc>
          <w:tcPr>
            <w:tcW w:w="2807" w:type="dxa"/>
            <w:gridSpan w:val="2"/>
            <w:vAlign w:val="center"/>
          </w:tcPr>
          <w:p>
            <w:pPr>
              <w:spacing w:before="120" w:after="156" w:afterLines="50" w:line="280" w:lineRule="atLeast"/>
              <w:jc w:val="center"/>
              <w:rPr>
                <w:rFonts w:hint="eastAsia"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Further discuss whether we also consider RF filter suppression on top of BB LPF.</w:t>
            </w:r>
          </w:p>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Separate value for different devices types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6" w:type="dxa"/>
            <w:vMerge w:val="continue"/>
            <w:shd w:val="clear" w:color="auto" w:fill="D7D7D7" w:themeFill="background1" w:themeFillShade="D8"/>
          </w:tcPr>
          <w:p>
            <w:pPr>
              <w:spacing w:before="120" w:after="156" w:afterLines="50" w:line="280" w:lineRule="atLeast"/>
              <w:rPr>
                <w:rFonts w:hint="eastAsia" w:ascii="Times New Roman" w:hAnsi="Times New Roman"/>
                <w:b w:val="0"/>
                <w:bCs w:val="0"/>
                <w:sz w:val="20"/>
                <w:szCs w:val="20"/>
                <w:vertAlign w:val="baseline"/>
                <w:lang w:val="en-US" w:eastAsia="zh-CN"/>
              </w:rPr>
            </w:pPr>
          </w:p>
        </w:tc>
        <w:tc>
          <w:tcPr>
            <w:tcW w:w="8556" w:type="dxa"/>
            <w:gridSpan w:val="6"/>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 xml:space="preserve">One alternative solution is that we directly use filter into evaluation without transforming it into IBE/ICS/ACS requirements. </w:t>
            </w:r>
          </w:p>
        </w:tc>
      </w:tr>
    </w:tbl>
    <w:p>
      <w:pPr>
        <w:spacing w:after="156" w:afterLines="50"/>
        <w:rPr>
          <w:rFonts w:hint="eastAsia" w:ascii="Times New Roman" w:hAnsi="Times New Roman"/>
          <w:b/>
          <w:bCs/>
          <w:sz w:val="20"/>
          <w:szCs w:val="20"/>
          <w:lang w:val="en-US" w:eastAsia="zh-CN"/>
        </w:rPr>
      </w:pPr>
    </w:p>
    <w:p>
      <w:pPr>
        <w:spacing w:after="156" w:afterLines="50"/>
        <w:rPr>
          <w:rFonts w:hint="eastAsia" w:ascii="Times New Roman" w:hAnsi="Times New Roman"/>
          <w:b w:val="0"/>
          <w:bCs w:val="0"/>
          <w:sz w:val="20"/>
          <w:szCs w:val="20"/>
          <w:lang w:val="en-US" w:eastAsia="zh-CN"/>
        </w:rPr>
      </w:pPr>
      <w:r>
        <w:rPr>
          <w:rFonts w:hint="eastAsia" w:ascii="Times New Roman" w:hAnsi="Times New Roman"/>
          <w:b w:val="0"/>
          <w:bCs w:val="0"/>
          <w:sz w:val="20"/>
          <w:szCs w:val="20"/>
          <w:lang w:val="en-US" w:eastAsia="zh-CN"/>
        </w:rPr>
        <w:t>As for the devices</w:t>
      </w:r>
      <w:r>
        <w:rPr>
          <w:rFonts w:hint="default" w:ascii="Times New Roman" w:hAnsi="Times New Roman"/>
          <w:b w:val="0"/>
          <w:bCs w:val="0"/>
          <w:sz w:val="20"/>
          <w:szCs w:val="20"/>
          <w:lang w:val="en-US" w:eastAsia="zh-CN"/>
        </w:rPr>
        <w:t>’</w:t>
      </w:r>
      <w:r>
        <w:rPr>
          <w:rFonts w:hint="eastAsia" w:ascii="Times New Roman" w:hAnsi="Times New Roman"/>
          <w:b w:val="0"/>
          <w:bCs w:val="0"/>
          <w:sz w:val="20"/>
          <w:szCs w:val="20"/>
          <w:lang w:val="en-US" w:eastAsia="zh-CN"/>
        </w:rPr>
        <w:t xml:space="preserve"> BB LPF characteristics, we have following assumptions:</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82"/>
        <w:gridCol w:w="30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D7D7D7" w:themeFill="background1" w:themeFillShade="D8"/>
          </w:tcPr>
          <w:p>
            <w:p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Transmission bandwidth</w:t>
            </w:r>
          </w:p>
        </w:tc>
        <w:tc>
          <w:tcPr>
            <w:tcW w:w="0" w:type="auto"/>
          </w:tcPr>
          <w:p>
            <w:p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1PRB as baseline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D7D7D7" w:themeFill="background1" w:themeFillShade="D8"/>
          </w:tcPr>
          <w:p>
            <w:p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Cutoff frequency</w:t>
            </w:r>
          </w:p>
        </w:tc>
        <w:tc>
          <w:tcPr>
            <w:tcW w:w="0" w:type="auto"/>
          </w:tcPr>
          <w:p>
            <w:pPr>
              <w:spacing w:before="120" w:after="156" w:afterLines="50" w:line="280" w:lineRule="atLeast"/>
              <w:rPr>
                <w:rFonts w:hint="eastAsia"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FFS</w:t>
            </w:r>
          </w:p>
          <w:p>
            <w:p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e.g. 1PRB or related to DL data rate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D7D7D7" w:themeFill="background1" w:themeFillShade="D8"/>
          </w:tcPr>
          <w:p>
            <w:p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Filter type</w:t>
            </w:r>
          </w:p>
        </w:tc>
        <w:tc>
          <w:tcPr>
            <w:tcW w:w="0" w:type="auto"/>
          </w:tcPr>
          <w:p>
            <w:p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3th/5th butterworth filter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D7D7D7" w:themeFill="background1" w:themeFillShade="D8"/>
          </w:tcPr>
          <w:p>
            <w:p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Guard band</w:t>
            </w:r>
          </w:p>
        </w:tc>
        <w:tc>
          <w:tcPr>
            <w:tcW w:w="0" w:type="auto"/>
          </w:tcPr>
          <w:p>
            <w:pPr>
              <w:spacing w:before="120" w:after="156" w:afterLines="50" w:line="280" w:lineRule="atLeast"/>
              <w:rPr>
                <w:rFonts w:hint="eastAsia"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1PRB, 2PRB, etc</w:t>
            </w:r>
          </w:p>
          <w:p>
            <w:p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increasing in steps of 1dB</w:t>
            </w:r>
          </w:p>
        </w:tc>
      </w:tr>
    </w:tbl>
    <w:p>
      <w:pPr>
        <w:spacing w:after="156" w:afterLines="50"/>
        <w:rPr>
          <w:rFonts w:hint="default" w:ascii="Times New Roman" w:hAnsi="Times New Roman"/>
          <w:b/>
          <w:bCs/>
          <w:sz w:val="20"/>
          <w:szCs w:val="20"/>
          <w:lang w:val="en-US" w:eastAsia="zh-CN"/>
        </w:rPr>
      </w:pPr>
    </w:p>
    <w:p>
      <w:pPr>
        <w:spacing w:after="156" w:afterLines="50"/>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Proposal 9: it</w:t>
      </w:r>
      <w:r>
        <w:rPr>
          <w:rFonts w:hint="default" w:ascii="Times New Roman" w:hAnsi="Times New Roman"/>
          <w:b/>
          <w:bCs/>
          <w:sz w:val="20"/>
          <w:szCs w:val="20"/>
          <w:lang w:val="en-US" w:eastAsia="zh-CN"/>
        </w:rPr>
        <w:t>’</w:t>
      </w:r>
      <w:r>
        <w:rPr>
          <w:rFonts w:hint="eastAsia" w:ascii="Times New Roman" w:hAnsi="Times New Roman"/>
          <w:b/>
          <w:bCs/>
          <w:sz w:val="20"/>
          <w:szCs w:val="20"/>
          <w:lang w:val="en-US" w:eastAsia="zh-CN"/>
        </w:rPr>
        <w:t>s suggested to use above adjacent RB/carrier Tx leakage and Rx suppression characteristics in  evaluation as starting point. For devices</w:t>
      </w:r>
      <w:r>
        <w:rPr>
          <w:rFonts w:hint="default" w:ascii="Times New Roman" w:hAnsi="Times New Roman"/>
          <w:b/>
          <w:bCs/>
          <w:sz w:val="20"/>
          <w:szCs w:val="20"/>
          <w:lang w:val="en-US" w:eastAsia="zh-CN"/>
        </w:rPr>
        <w:t>’</w:t>
      </w:r>
      <w:r>
        <w:rPr>
          <w:rFonts w:hint="eastAsia" w:ascii="Times New Roman" w:hAnsi="Times New Roman"/>
          <w:b/>
          <w:bCs/>
          <w:sz w:val="20"/>
          <w:szCs w:val="20"/>
          <w:lang w:val="en-US" w:eastAsia="zh-CN"/>
        </w:rPr>
        <w:t xml:space="preserve"> ACS, it depends on devices RF architecture and RAN4 needs further discuss.</w:t>
      </w:r>
    </w:p>
    <w:p>
      <w:pPr>
        <w:numPr>
          <w:ilvl w:val="0"/>
          <w:numId w:val="6"/>
        </w:numPr>
        <w:spacing w:after="156" w:afterLines="50"/>
        <w:ind w:left="420" w:leftChars="0" w:hanging="420" w:firstLineChars="0"/>
        <w:rPr>
          <w:rFonts w:hint="default" w:ascii="Times New Roman" w:hAnsi="Times New Roman"/>
          <w:b/>
          <w:bCs/>
          <w:sz w:val="24"/>
          <w:szCs w:val="24"/>
          <w:lang w:val="en-US" w:eastAsia="zh-CN"/>
        </w:rPr>
      </w:pPr>
      <w:r>
        <w:rPr>
          <w:rFonts w:hint="eastAsia" w:ascii="Times New Roman" w:hAnsi="Times New Roman"/>
          <w:b/>
          <w:bCs/>
          <w:sz w:val="24"/>
          <w:szCs w:val="24"/>
          <w:lang w:val="en-US" w:eastAsia="zh-CN"/>
        </w:rPr>
        <w:t>CW-interference cancellation capability when CW inside and outside topology</w:t>
      </w:r>
    </w:p>
    <w:p>
      <w:pPr>
        <w:numPr>
          <w:ilvl w:val="0"/>
          <w:numId w:val="0"/>
        </w:numPr>
        <w:spacing w:after="156" w:afterLines="50"/>
        <w:ind w:leftChars="0"/>
        <w:rPr>
          <w:rFonts w:hint="eastAsia" w:ascii="Times New Roman" w:hAnsi="Times New Roman"/>
          <w:b w:val="0"/>
          <w:bCs w:val="0"/>
          <w:sz w:val="20"/>
          <w:szCs w:val="20"/>
          <w:lang w:val="en-US" w:eastAsia="zh-CN"/>
        </w:rPr>
      </w:pPr>
      <w:r>
        <w:rPr>
          <w:rFonts w:hint="eastAsia" w:ascii="Times New Roman" w:hAnsi="Times New Roman"/>
          <w:b w:val="0"/>
          <w:bCs w:val="0"/>
          <w:sz w:val="20"/>
          <w:szCs w:val="20"/>
          <w:lang w:val="en-US" w:eastAsia="zh-CN"/>
        </w:rPr>
        <w:t>We suggest to use following simple methodology to evaluate remaining CW interference at reader side for both CW inside and outside topology.</w:t>
      </w:r>
    </w:p>
    <w:p>
      <w:pPr>
        <w:numPr>
          <w:ilvl w:val="0"/>
          <w:numId w:val="7"/>
        </w:numPr>
        <w:spacing w:after="156" w:afterLines="50"/>
        <w:ind w:left="720" w:leftChars="0" w:hanging="360" w:firstLineChars="0"/>
        <w:rPr>
          <w:rFonts w:hint="default" w:ascii="Times New Roman" w:hAnsi="Times New Roman"/>
          <w:b w:val="0"/>
          <w:bCs w:val="0"/>
          <w:sz w:val="20"/>
          <w:szCs w:val="20"/>
          <w:lang w:val="en-US" w:eastAsia="zh-CN"/>
        </w:rPr>
      </w:pPr>
      <w:r>
        <w:rPr>
          <w:rFonts w:hint="default" w:ascii="Times New Roman" w:hAnsi="Times New Roman"/>
          <w:b w:val="0"/>
          <w:bCs w:val="0"/>
          <w:sz w:val="20"/>
          <w:szCs w:val="20"/>
          <w:lang w:val="en-US" w:eastAsia="zh-CN"/>
        </w:rPr>
        <w:t>Meth</w:t>
      </w:r>
      <w:r>
        <w:rPr>
          <w:rFonts w:hint="eastAsia" w:ascii="Times New Roman" w:hAnsi="Times New Roman"/>
          <w:b w:val="0"/>
          <w:bCs w:val="0"/>
          <w:sz w:val="20"/>
          <w:szCs w:val="20"/>
          <w:lang w:val="en-US" w:eastAsia="zh-CN"/>
        </w:rPr>
        <w:t>o</w:t>
      </w:r>
      <w:r>
        <w:rPr>
          <w:rFonts w:hint="default" w:ascii="Times New Roman" w:hAnsi="Times New Roman"/>
          <w:b w:val="0"/>
          <w:bCs w:val="0"/>
          <w:sz w:val="20"/>
          <w:szCs w:val="20"/>
          <w:lang w:val="en-US" w:eastAsia="zh-CN"/>
        </w:rPr>
        <w:t>dology: residual self-interference= Tx power - self-interference cancellation capability</w:t>
      </w:r>
    </w:p>
    <w:p>
      <w:pPr>
        <w:numPr>
          <w:ilvl w:val="0"/>
          <w:numId w:val="7"/>
        </w:numPr>
        <w:spacing w:after="156" w:afterLines="50"/>
        <w:ind w:left="720" w:leftChars="0" w:hanging="360" w:firstLineChars="0"/>
        <w:rPr>
          <w:rFonts w:hint="default" w:ascii="Times New Roman" w:hAnsi="Times New Roman"/>
          <w:b w:val="0"/>
          <w:bCs w:val="0"/>
          <w:sz w:val="20"/>
          <w:szCs w:val="20"/>
          <w:lang w:val="en-US" w:eastAsia="zh-CN"/>
        </w:rPr>
      </w:pPr>
      <w:r>
        <w:rPr>
          <w:rFonts w:hint="default" w:ascii="Times New Roman" w:hAnsi="Times New Roman"/>
          <w:b w:val="0"/>
          <w:bCs w:val="0"/>
          <w:sz w:val="20"/>
          <w:szCs w:val="20"/>
          <w:lang w:val="en-US" w:eastAsia="zh-CN"/>
        </w:rPr>
        <w:t>self-interference cancellation capability = spatial isolation + RF cancellation + digital cancellation if applicable</w:t>
      </w:r>
    </w:p>
    <w:p>
      <w:pPr>
        <w:numPr>
          <w:ilvl w:val="0"/>
          <w:numId w:val="7"/>
        </w:numPr>
        <w:spacing w:after="156" w:afterLines="50"/>
        <w:ind w:left="720" w:leftChars="0" w:hanging="360" w:firstLineChars="0"/>
        <w:rPr>
          <w:rFonts w:hint="default" w:ascii="Times New Roman" w:hAnsi="Times New Roman"/>
          <w:b w:val="0"/>
          <w:bCs w:val="0"/>
          <w:sz w:val="20"/>
          <w:szCs w:val="20"/>
          <w:lang w:val="en-US" w:eastAsia="zh-CN"/>
        </w:rPr>
      </w:pPr>
      <w:r>
        <w:rPr>
          <w:rFonts w:hint="default" w:ascii="Times New Roman" w:hAnsi="Times New Roman"/>
          <w:b w:val="0"/>
          <w:bCs w:val="0"/>
          <w:sz w:val="20"/>
          <w:szCs w:val="20"/>
          <w:lang w:val="en-US" w:eastAsia="zh-CN"/>
        </w:rPr>
        <w:t>spatial isolation is based on isolation distance assumption</w:t>
      </w:r>
    </w:p>
    <w:p>
      <w:pPr>
        <w:numPr>
          <w:ilvl w:val="0"/>
          <w:numId w:val="0"/>
        </w:numPr>
        <w:spacing w:after="156" w:afterLines="50"/>
        <w:ind w:leftChars="0"/>
        <w:rPr>
          <w:rFonts w:hint="eastAsia" w:ascii="Times New Roman" w:hAnsi="Times New Roman"/>
          <w:b w:val="0"/>
          <w:bCs w:val="0"/>
          <w:sz w:val="20"/>
          <w:szCs w:val="20"/>
          <w:lang w:val="en-US" w:eastAsia="zh-CN"/>
        </w:rPr>
      </w:pPr>
      <w:r>
        <w:rPr>
          <w:rFonts w:hint="eastAsia" w:ascii="Times New Roman" w:hAnsi="Times New Roman"/>
          <w:b w:val="0"/>
          <w:bCs w:val="0"/>
          <w:sz w:val="20"/>
          <w:szCs w:val="20"/>
          <w:lang w:val="en-US" w:eastAsia="zh-CN"/>
        </w:rPr>
        <w:t>One issue is if the CW interference cancellation capability is much high, e.g. remaining CW interference is much less than noise floor, final evaluation conclusion would be similar for -A1(Reader 1 transmit and reader 2 receive) and -A2 (reader 1 both transmit and receive) evaluation case. If so, it seems there is no need for -A2 evaluation cases and the -A1 evaluation cases are already enough.</w:t>
      </w:r>
    </w:p>
    <w:p>
      <w:pPr>
        <w:numPr>
          <w:ilvl w:val="0"/>
          <w:numId w:val="0"/>
        </w:numPr>
        <w:spacing w:after="156" w:afterLines="50"/>
        <w:ind w:leftChars="0"/>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Proposal 10: following CW interference cancellation evaluation methodology is suggested. Besides, RAN4 needs to further discuss whether it is still necessary to evaluate -A2 evaluation case if CW interference cancellation capability is already much high, i.e. remaining CW interference is much lower than noise floor.</w:t>
      </w:r>
    </w:p>
    <w:p>
      <w:pPr>
        <w:numPr>
          <w:ilvl w:val="0"/>
          <w:numId w:val="7"/>
        </w:numPr>
        <w:spacing w:after="156" w:afterLines="50"/>
        <w:ind w:left="720" w:leftChars="0" w:hanging="360" w:firstLineChars="0"/>
        <w:rPr>
          <w:rFonts w:hint="default" w:ascii="Times New Roman" w:hAnsi="Times New Roman"/>
          <w:b/>
          <w:bCs/>
          <w:sz w:val="20"/>
          <w:szCs w:val="20"/>
          <w:lang w:val="en-US" w:eastAsia="zh-CN"/>
        </w:rPr>
      </w:pPr>
      <w:r>
        <w:rPr>
          <w:rFonts w:hint="default" w:ascii="Times New Roman" w:hAnsi="Times New Roman"/>
          <w:b/>
          <w:bCs/>
          <w:sz w:val="20"/>
          <w:szCs w:val="20"/>
          <w:lang w:val="en-US" w:eastAsia="zh-CN"/>
        </w:rPr>
        <w:t>Meth</w:t>
      </w:r>
      <w:r>
        <w:rPr>
          <w:rFonts w:hint="eastAsia" w:ascii="Times New Roman" w:hAnsi="Times New Roman"/>
          <w:b/>
          <w:bCs/>
          <w:sz w:val="20"/>
          <w:szCs w:val="20"/>
          <w:lang w:val="en-US" w:eastAsia="zh-CN"/>
        </w:rPr>
        <w:t>o</w:t>
      </w:r>
      <w:r>
        <w:rPr>
          <w:rFonts w:hint="default" w:ascii="Times New Roman" w:hAnsi="Times New Roman"/>
          <w:b/>
          <w:bCs/>
          <w:sz w:val="20"/>
          <w:szCs w:val="20"/>
          <w:lang w:val="en-US" w:eastAsia="zh-CN"/>
        </w:rPr>
        <w:t>dology: residual self-interference= Tx power - self-interference cancellation capability</w:t>
      </w:r>
    </w:p>
    <w:p>
      <w:pPr>
        <w:numPr>
          <w:ilvl w:val="0"/>
          <w:numId w:val="7"/>
        </w:numPr>
        <w:spacing w:after="156" w:afterLines="50"/>
        <w:ind w:left="720" w:leftChars="0" w:hanging="360" w:firstLineChars="0"/>
        <w:rPr>
          <w:rFonts w:hint="default" w:ascii="Times New Roman" w:hAnsi="Times New Roman"/>
          <w:b/>
          <w:bCs/>
          <w:sz w:val="20"/>
          <w:szCs w:val="20"/>
          <w:lang w:val="en-US" w:eastAsia="zh-CN"/>
        </w:rPr>
      </w:pPr>
      <w:r>
        <w:rPr>
          <w:rFonts w:hint="default" w:ascii="Times New Roman" w:hAnsi="Times New Roman"/>
          <w:b/>
          <w:bCs/>
          <w:sz w:val="20"/>
          <w:szCs w:val="20"/>
          <w:lang w:val="en-US" w:eastAsia="zh-CN"/>
        </w:rPr>
        <w:t>self-interference cancellation capability = spatial isolation + RF cancellation + digital cancellation if applicable</w:t>
      </w:r>
    </w:p>
    <w:p>
      <w:pPr>
        <w:numPr>
          <w:ilvl w:val="0"/>
          <w:numId w:val="7"/>
        </w:numPr>
        <w:spacing w:after="156" w:afterLines="50"/>
        <w:ind w:left="720" w:leftChars="0" w:hanging="360" w:firstLineChars="0"/>
        <w:rPr>
          <w:rFonts w:hint="default" w:ascii="Times New Roman" w:hAnsi="Times New Roman"/>
          <w:b/>
          <w:bCs/>
          <w:sz w:val="20"/>
          <w:szCs w:val="20"/>
          <w:lang w:val="en-US" w:eastAsia="zh-CN"/>
        </w:rPr>
      </w:pPr>
      <w:r>
        <w:rPr>
          <w:rFonts w:hint="default" w:ascii="Times New Roman" w:hAnsi="Times New Roman"/>
          <w:b/>
          <w:bCs/>
          <w:sz w:val="20"/>
          <w:szCs w:val="20"/>
          <w:lang w:val="en-US" w:eastAsia="zh-CN"/>
        </w:rPr>
        <w:t>spatial isolation is based on isolation distance assumption</w:t>
      </w:r>
    </w:p>
    <w:p>
      <w:pPr>
        <w:numPr>
          <w:ilvl w:val="0"/>
          <w:numId w:val="8"/>
        </w:numPr>
        <w:spacing w:after="156" w:afterLines="50"/>
        <w:ind w:left="420" w:leftChars="0" w:hanging="420" w:firstLineChars="0"/>
        <w:rPr>
          <w:rFonts w:hint="default" w:ascii="Times New Roman" w:hAnsi="Times New Roman"/>
          <w:b/>
          <w:bCs/>
          <w:sz w:val="24"/>
          <w:szCs w:val="24"/>
          <w:lang w:val="en-US" w:eastAsia="zh-CN"/>
        </w:rPr>
      </w:pPr>
      <w:r>
        <w:rPr>
          <w:rFonts w:hint="eastAsia" w:ascii="Times New Roman" w:hAnsi="Times New Roman"/>
          <w:b/>
          <w:bCs/>
          <w:sz w:val="24"/>
          <w:szCs w:val="24"/>
          <w:lang w:val="en-US" w:eastAsia="zh-CN"/>
        </w:rPr>
        <w:t>Power and antenna configuration related evaluation parameters</w:t>
      </w:r>
    </w:p>
    <w:p>
      <w:pPr>
        <w:numPr>
          <w:ilvl w:val="0"/>
          <w:numId w:val="0"/>
        </w:numPr>
        <w:spacing w:after="156" w:afterLines="50"/>
        <w:ind w:leftChars="0"/>
        <w:rPr>
          <w:rFonts w:hint="eastAsia" w:ascii="Times New Roman" w:hAnsi="Times New Roman"/>
          <w:b w:val="0"/>
          <w:bCs w:val="0"/>
          <w:sz w:val="20"/>
          <w:szCs w:val="20"/>
          <w:lang w:val="en-US" w:eastAsia="zh-CN"/>
        </w:rPr>
      </w:pPr>
      <w:r>
        <w:rPr>
          <w:rFonts w:hint="eastAsia" w:ascii="Times New Roman" w:hAnsi="Times New Roman"/>
          <w:b w:val="0"/>
          <w:bCs w:val="0"/>
          <w:sz w:val="20"/>
          <w:szCs w:val="20"/>
          <w:lang w:val="en-US" w:eastAsia="zh-CN"/>
        </w:rPr>
        <w:t>Following table list power and antenna configuration related evaluation parameters, which are suggested as baseline for further discussion</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81"/>
        <w:gridCol w:w="3707"/>
        <w:gridCol w:w="39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1" w:type="dxa"/>
            <w:shd w:val="clear" w:color="auto" w:fill="D7D7D7" w:themeFill="background1" w:themeFillShade="D8"/>
          </w:tcPr>
          <w:p>
            <w:pPr>
              <w:numPr>
                <w:ilvl w:val="0"/>
                <w:numId w:val="0"/>
              </w:numPr>
              <w:spacing w:before="120" w:after="156" w:afterLines="50" w:line="280" w:lineRule="atLeast"/>
              <w:rPr>
                <w:rFonts w:hint="default" w:ascii="Times New Roman" w:hAnsi="Times New Roman"/>
                <w:b w:val="0"/>
                <w:bCs w:val="0"/>
                <w:sz w:val="20"/>
                <w:szCs w:val="20"/>
                <w:vertAlign w:val="baseline"/>
                <w:lang w:val="en-US" w:eastAsia="zh-CN"/>
              </w:rPr>
            </w:pPr>
          </w:p>
        </w:tc>
        <w:tc>
          <w:tcPr>
            <w:tcW w:w="3707" w:type="dxa"/>
            <w:shd w:val="clear" w:color="auto" w:fill="D7D7D7" w:themeFill="background1" w:themeFillShade="D8"/>
          </w:tcPr>
          <w:p>
            <w:pPr>
              <w:numPr>
                <w:ilvl w:val="0"/>
                <w:numId w:val="0"/>
              </w:num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Tx power</w:t>
            </w:r>
          </w:p>
        </w:tc>
        <w:tc>
          <w:tcPr>
            <w:tcW w:w="3974" w:type="dxa"/>
            <w:shd w:val="clear" w:color="auto" w:fill="D7D7D7" w:themeFill="background1" w:themeFillShade="D8"/>
          </w:tcPr>
          <w:p>
            <w:pPr>
              <w:numPr>
                <w:ilvl w:val="0"/>
                <w:numId w:val="0"/>
              </w:num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Antenna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1" w:type="dxa"/>
            <w:shd w:val="clear" w:color="auto" w:fill="D7D7D7" w:themeFill="background1" w:themeFillShade="D8"/>
          </w:tcPr>
          <w:p>
            <w:pPr>
              <w:numPr>
                <w:ilvl w:val="0"/>
                <w:numId w:val="0"/>
              </w:num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Intermediate UE</w:t>
            </w:r>
          </w:p>
        </w:tc>
        <w:tc>
          <w:tcPr>
            <w:tcW w:w="3707" w:type="dxa"/>
          </w:tcPr>
          <w:p>
            <w:pPr>
              <w:numPr>
                <w:ilvl w:val="0"/>
                <w:numId w:val="0"/>
              </w:num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23dBm and 26dBm/PRB</w:t>
            </w:r>
          </w:p>
        </w:tc>
        <w:tc>
          <w:tcPr>
            <w:tcW w:w="3974" w:type="dxa"/>
          </w:tcPr>
          <w:p>
            <w:pPr>
              <w:numPr>
                <w:ilvl w:val="0"/>
                <w:numId w:val="0"/>
              </w:numPr>
              <w:spacing w:before="120" w:after="156" w:afterLines="50" w:line="280" w:lineRule="atLeast"/>
              <w:rPr>
                <w:rFonts w:hint="default" w:ascii="Times New Roman" w:hAnsi="Times New Roman"/>
                <w:b w:val="0"/>
                <w:bCs w:val="0"/>
                <w:sz w:val="20"/>
                <w:szCs w:val="20"/>
                <w:vertAlign w:val="baseline"/>
                <w:lang w:val="en-US" w:eastAsia="zh-CN"/>
              </w:rPr>
            </w:pPr>
            <w:r>
              <w:rPr>
                <w:rFonts w:hint="default" w:ascii="Times New Roman" w:hAnsi="Times New Roman"/>
                <w:b w:val="0"/>
                <w:bCs w:val="0"/>
                <w:sz w:val="20"/>
                <w:szCs w:val="20"/>
                <w:vertAlign w:val="baseline"/>
                <w:lang w:val="en-US" w:eastAsia="zh-CN"/>
              </w:rPr>
              <w:t>omni-direction</w:t>
            </w:r>
            <w:r>
              <w:rPr>
                <w:rFonts w:hint="eastAsia" w:ascii="Times New Roman" w:hAnsi="Times New Roman"/>
                <w:b w:val="0"/>
                <w:bCs w:val="0"/>
                <w:sz w:val="20"/>
                <w:szCs w:val="20"/>
                <w:vertAlign w:val="baseline"/>
                <w:lang w:val="en-US" w:eastAsia="zh-CN"/>
              </w:rPr>
              <w:t xml:space="preserve"> antenna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1" w:type="dxa"/>
            <w:shd w:val="clear" w:color="auto" w:fill="D7D7D7" w:themeFill="background1" w:themeFillShade="D8"/>
          </w:tcPr>
          <w:p>
            <w:pPr>
              <w:numPr>
                <w:ilvl w:val="0"/>
                <w:numId w:val="0"/>
              </w:num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device</w:t>
            </w:r>
          </w:p>
        </w:tc>
        <w:tc>
          <w:tcPr>
            <w:tcW w:w="3707" w:type="dxa"/>
          </w:tcPr>
          <w:p>
            <w:pPr>
              <w:numPr>
                <w:ilvl w:val="0"/>
                <w:numId w:val="0"/>
              </w:num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Align with RAN1 agreements</w:t>
            </w:r>
          </w:p>
        </w:tc>
        <w:tc>
          <w:tcPr>
            <w:tcW w:w="3974" w:type="dxa"/>
          </w:tcPr>
          <w:p>
            <w:pPr>
              <w:numPr>
                <w:ilvl w:val="0"/>
                <w:numId w:val="0"/>
              </w:num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Omni direction antenna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1" w:type="dxa"/>
            <w:shd w:val="clear" w:color="auto" w:fill="D7D7D7" w:themeFill="background1" w:themeFillShade="D8"/>
          </w:tcPr>
          <w:p>
            <w:pPr>
              <w:numPr>
                <w:ilvl w:val="0"/>
                <w:numId w:val="0"/>
              </w:num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CW for topology 1</w:t>
            </w:r>
          </w:p>
        </w:tc>
        <w:tc>
          <w:tcPr>
            <w:tcW w:w="3707" w:type="dxa"/>
          </w:tcPr>
          <w:p>
            <w:pPr>
              <w:numPr>
                <w:ilvl w:val="0"/>
                <w:numId w:val="0"/>
              </w:num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Topology 1:</w:t>
            </w:r>
          </w:p>
          <w:p>
            <w:pPr>
              <w:numPr>
                <w:ilvl w:val="0"/>
                <w:numId w:val="9"/>
              </w:numPr>
              <w:spacing w:before="120" w:after="156" w:afterLines="50" w:line="280" w:lineRule="atLeast"/>
              <w:ind w:left="720" w:leftChars="0" w:hanging="360" w:firstLineChars="0"/>
              <w:rPr>
                <w:rFonts w:hint="eastAsia"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33dBm/PRB when using DL spectrum,</w:t>
            </w:r>
          </w:p>
          <w:p>
            <w:pPr>
              <w:numPr>
                <w:ilvl w:val="0"/>
                <w:numId w:val="9"/>
              </w:numPr>
              <w:spacing w:before="120" w:after="156" w:afterLines="50" w:line="280" w:lineRule="atLeast"/>
              <w:ind w:left="720" w:leftChars="0" w:hanging="360" w:firstLineChars="0"/>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23/26dBm/PRB when using UL spectrum to meet regulatory requirements</w:t>
            </w:r>
          </w:p>
        </w:tc>
        <w:tc>
          <w:tcPr>
            <w:tcW w:w="3974" w:type="dxa"/>
          </w:tcPr>
          <w:p>
            <w:pPr>
              <w:numPr>
                <w:ilvl w:val="0"/>
                <w:numId w:val="0"/>
              </w:num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Topology 1:</w:t>
            </w:r>
          </w:p>
          <w:p>
            <w:pPr>
              <w:numPr>
                <w:ilvl w:val="0"/>
                <w:numId w:val="9"/>
              </w:numPr>
              <w:spacing w:before="120" w:after="156" w:afterLines="50" w:line="280" w:lineRule="atLeast"/>
              <w:ind w:left="720" w:leftChars="0" w:hanging="360" w:firstLineChars="0"/>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Inside topology: 2 or 4 antenna elements, with (M,N,P,Mg,Ng) = (1,1,2,1,1) or (M,N,P,Mg,Ng) = (2,1,2,1,1)</w:t>
            </w:r>
          </w:p>
          <w:p>
            <w:pPr>
              <w:numPr>
                <w:ilvl w:val="0"/>
                <w:numId w:val="9"/>
              </w:numPr>
              <w:spacing w:before="120" w:after="156" w:afterLines="50" w:line="280" w:lineRule="atLeast"/>
              <w:ind w:left="720" w:leftChars="0" w:hanging="360" w:firstLineChars="0"/>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Outside topology and using UL spectrum: omni-direction antenna</w:t>
            </w:r>
          </w:p>
        </w:tc>
      </w:tr>
    </w:tbl>
    <w:p>
      <w:pPr>
        <w:numPr>
          <w:ilvl w:val="0"/>
          <w:numId w:val="0"/>
        </w:numPr>
        <w:spacing w:after="156" w:afterLines="50"/>
        <w:ind w:leftChars="0"/>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Proposal 11: it</w:t>
      </w:r>
      <w:r>
        <w:rPr>
          <w:rFonts w:hint="default" w:ascii="Times New Roman" w:hAnsi="Times New Roman"/>
          <w:b/>
          <w:bCs/>
          <w:sz w:val="20"/>
          <w:szCs w:val="20"/>
          <w:lang w:val="en-US" w:eastAsia="zh-CN"/>
        </w:rPr>
        <w:t>’</w:t>
      </w:r>
      <w:r>
        <w:rPr>
          <w:rFonts w:hint="eastAsia" w:ascii="Times New Roman" w:hAnsi="Times New Roman"/>
          <w:b/>
          <w:bCs/>
          <w:sz w:val="20"/>
          <w:szCs w:val="20"/>
          <w:lang w:val="en-US" w:eastAsia="zh-CN"/>
        </w:rPr>
        <w:t>s suggested to use above power and antenna configuration related evaluation parameters.</w:t>
      </w:r>
    </w:p>
    <w:p>
      <w:pPr>
        <w:numPr>
          <w:ilvl w:val="0"/>
          <w:numId w:val="10"/>
        </w:numPr>
        <w:spacing w:after="156" w:afterLines="50"/>
        <w:ind w:left="420" w:leftChars="0" w:hanging="420" w:firstLineChars="0"/>
        <w:rPr>
          <w:rFonts w:hint="default" w:ascii="Times New Roman" w:hAnsi="Times New Roman"/>
          <w:b/>
          <w:bCs/>
          <w:sz w:val="24"/>
          <w:szCs w:val="24"/>
          <w:lang w:val="en-US" w:eastAsia="zh-CN"/>
        </w:rPr>
      </w:pPr>
      <w:r>
        <w:rPr>
          <w:rFonts w:hint="eastAsia" w:ascii="Times New Roman" w:hAnsi="Times New Roman"/>
          <w:b/>
          <w:bCs/>
          <w:sz w:val="24"/>
          <w:szCs w:val="24"/>
          <w:lang w:val="en-US" w:eastAsia="zh-CN"/>
        </w:rPr>
        <w:t>Deployment distribution</w:t>
      </w:r>
    </w:p>
    <w:p>
      <w:pPr>
        <w:numPr>
          <w:ilvl w:val="0"/>
          <w:numId w:val="0"/>
        </w:numPr>
        <w:spacing w:after="156" w:afterLines="50"/>
        <w:ind w:leftChars="0"/>
        <w:rPr>
          <w:rFonts w:hint="eastAsia" w:ascii="Times New Roman" w:hAnsi="Times New Roman"/>
          <w:b w:val="0"/>
          <w:bCs w:val="0"/>
          <w:sz w:val="20"/>
          <w:szCs w:val="20"/>
          <w:lang w:val="en-US" w:eastAsia="zh-CN"/>
        </w:rPr>
      </w:pPr>
      <w:r>
        <w:rPr>
          <w:rFonts w:hint="eastAsia" w:ascii="Times New Roman" w:hAnsi="Times New Roman"/>
          <w:b w:val="0"/>
          <w:bCs w:val="0"/>
          <w:sz w:val="20"/>
          <w:szCs w:val="20"/>
          <w:lang w:val="en-US" w:eastAsia="zh-CN"/>
        </w:rPr>
        <w:t>The main commercial deployment scenario for A-IoT is indoor factory. The indoor factory distribution model in TR 38.901 could be referred. Following table list the gNB deployment distribution. For topology 2, following distribution could also be used but replacing gNB by intermediate UE.</w:t>
      </w:r>
    </w:p>
    <w:p>
      <w:pPr>
        <w:numPr>
          <w:ilvl w:val="0"/>
          <w:numId w:val="0"/>
        </w:numPr>
        <w:spacing w:after="156" w:afterLines="50"/>
        <w:ind w:leftChars="0"/>
        <w:jc w:val="center"/>
        <w:rPr>
          <w:rFonts w:hint="eastAsia" w:ascii="Times New Roman" w:hAnsi="Times New Roman"/>
          <w:b w:val="0"/>
          <w:bCs w:val="0"/>
          <w:sz w:val="20"/>
          <w:szCs w:val="20"/>
          <w:lang w:val="en-US" w:eastAsia="zh-CN"/>
        </w:rPr>
      </w:pPr>
      <w:r>
        <w:drawing>
          <wp:inline distT="0" distB="0" distL="114300" distR="114300">
            <wp:extent cx="3924935" cy="2598420"/>
            <wp:effectExtent l="0" t="0" r="0" b="0"/>
            <wp:docPr id="8" name="图片 7"/>
            <wp:cNvGraphicFramePr/>
            <a:graphic xmlns:a="http://schemas.openxmlformats.org/drawingml/2006/main">
              <a:graphicData uri="http://schemas.openxmlformats.org/drawingml/2006/picture">
                <pic:pic xmlns:pic="http://schemas.openxmlformats.org/drawingml/2006/picture">
                  <pic:nvPicPr>
                    <pic:cNvPr id="8" name="图片 7"/>
                    <pic:cNvPicPr/>
                  </pic:nvPicPr>
                  <pic:blipFill>
                    <a:blip r:embed="rId11"/>
                    <a:stretch>
                      <a:fillRect/>
                    </a:stretch>
                  </pic:blipFill>
                  <pic:spPr>
                    <a:xfrm>
                      <a:off x="0" y="0"/>
                      <a:ext cx="3924935" cy="2598420"/>
                    </a:xfrm>
                    <a:prstGeom prst="rect">
                      <a:avLst/>
                    </a:prstGeom>
                    <a:noFill/>
                    <a:ln w="9525">
                      <a:noFill/>
                    </a:ln>
                  </pic:spPr>
                </pic:pic>
              </a:graphicData>
            </a:graphic>
          </wp:inline>
        </w:drawing>
      </w:r>
    </w:p>
    <w:tbl>
      <w:tblPr>
        <w:tblStyle w:val="16"/>
        <w:tblW w:w="8120" w:type="dxa"/>
        <w:jc w:val="center"/>
        <w:tblCellSpacing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0" w:type="dxa"/>
          <w:bottom w:w="0" w:type="dxa"/>
          <w:right w:w="0" w:type="dxa"/>
        </w:tblCellMar>
      </w:tblPr>
      <w:tblGrid>
        <w:gridCol w:w="1760"/>
        <w:gridCol w:w="636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20" w:hRule="atLeast"/>
          <w:tblCellSpacing w:w="0" w:type="dxa"/>
          <w:jc w:val="center"/>
        </w:trPr>
        <w:tc>
          <w:tcPr>
            <w:tcW w:w="1760" w:type="dxa"/>
            <w:tcBorders>
              <w:top w:val="single" w:color="080000" w:sz="4" w:space="0"/>
              <w:left w:val="single" w:color="080000" w:sz="4" w:space="0"/>
              <w:bottom w:val="single" w:color="080000" w:sz="4" w:space="0"/>
              <w:right w:val="single" w:color="080000" w:sz="4" w:space="0"/>
            </w:tcBorders>
            <w:shd w:val="clear" w:color="auto" w:fill="D7D7D7" w:themeFill="background1" w:themeFillShade="D8"/>
            <w:tcMar>
              <w:left w:w="108" w:type="dxa"/>
              <w:right w:w="108" w:type="dxa"/>
            </w:tcMar>
            <w:vAlign w:val="top"/>
          </w:tcPr>
          <w:p>
            <w:pPr>
              <w:pStyle w:val="14"/>
              <w:keepNext w:val="0"/>
              <w:keepLines w:val="0"/>
              <w:widowControl/>
              <w:suppressLineNumbers w:val="0"/>
              <w:rPr>
                <w:sz w:val="20"/>
                <w:szCs w:val="20"/>
                <w:highlight w:val="none"/>
              </w:rPr>
            </w:pPr>
            <w:r>
              <w:rPr>
                <w:rFonts w:hint="default" w:ascii="Times New Roman" w:hAnsi="Times New Roman" w:cs="Times New Roman"/>
                <w:color w:val="000000"/>
                <w:sz w:val="20"/>
                <w:szCs w:val="20"/>
                <w:highlight w:val="none"/>
              </w:rPr>
              <w:t>Hall size</w:t>
            </w:r>
          </w:p>
        </w:tc>
        <w:tc>
          <w:tcPr>
            <w:tcW w:w="636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top"/>
          </w:tcPr>
          <w:p>
            <w:pPr>
              <w:pStyle w:val="14"/>
              <w:keepNext w:val="0"/>
              <w:keepLines w:val="0"/>
              <w:widowControl/>
              <w:suppressLineNumbers w:val="0"/>
              <w:rPr>
                <w:sz w:val="20"/>
                <w:szCs w:val="20"/>
                <w:highlight w:val="none"/>
              </w:rPr>
            </w:pPr>
            <w:r>
              <w:rPr>
                <w:rFonts w:hint="default" w:ascii="Times New Roman" w:hAnsi="Times New Roman" w:cs="Times New Roman"/>
                <w:color w:val="000000"/>
                <w:sz w:val="20"/>
                <w:szCs w:val="20"/>
                <w:highlight w:val="none"/>
              </w:rPr>
              <w:t>InF-SH: 300x150 m InF-DH:</w:t>
            </w:r>
            <w:r>
              <w:rPr>
                <w:rFonts w:hint="default" w:ascii="Times New Roman" w:hAnsi="Times New Roman" w:cs="Times New Roman"/>
                <w:b/>
                <w:bCs/>
                <w:color w:val="000000"/>
                <w:sz w:val="20"/>
                <w:szCs w:val="20"/>
                <w:highlight w:val="none"/>
              </w:rPr>
              <w:t> 120x60 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440" w:hRule="atLeast"/>
          <w:tblCellSpacing w:w="0" w:type="dxa"/>
          <w:jc w:val="center"/>
        </w:trPr>
        <w:tc>
          <w:tcPr>
            <w:tcW w:w="1760" w:type="dxa"/>
            <w:tcBorders>
              <w:top w:val="single" w:color="080000" w:sz="4" w:space="0"/>
              <w:left w:val="single" w:color="080000" w:sz="4" w:space="0"/>
              <w:bottom w:val="single" w:color="080000" w:sz="4" w:space="0"/>
              <w:right w:val="single" w:color="080000" w:sz="4" w:space="0"/>
            </w:tcBorders>
            <w:shd w:val="clear" w:color="auto" w:fill="D7D7D7" w:themeFill="background1" w:themeFillShade="D8"/>
            <w:tcMar>
              <w:left w:w="108" w:type="dxa"/>
              <w:right w:w="108" w:type="dxa"/>
            </w:tcMar>
            <w:vAlign w:val="top"/>
          </w:tcPr>
          <w:p>
            <w:pPr>
              <w:pStyle w:val="14"/>
              <w:keepNext w:val="0"/>
              <w:keepLines w:val="0"/>
              <w:widowControl/>
              <w:suppressLineNumbers w:val="0"/>
              <w:rPr>
                <w:sz w:val="20"/>
                <w:szCs w:val="20"/>
              </w:rPr>
            </w:pPr>
            <w:r>
              <w:rPr>
                <w:rFonts w:hint="default" w:ascii="Times New Roman" w:hAnsi="Times New Roman" w:cs="Times New Roman"/>
                <w:color w:val="000000"/>
                <w:sz w:val="20"/>
                <w:szCs w:val="20"/>
              </w:rPr>
              <w:t>Room height</w:t>
            </w:r>
          </w:p>
        </w:tc>
        <w:tc>
          <w:tcPr>
            <w:tcW w:w="636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top"/>
          </w:tcPr>
          <w:p>
            <w:pPr>
              <w:pStyle w:val="14"/>
              <w:keepNext w:val="0"/>
              <w:keepLines w:val="0"/>
              <w:widowControl/>
              <w:suppressLineNumbers w:val="0"/>
              <w:rPr>
                <w:sz w:val="20"/>
                <w:szCs w:val="20"/>
              </w:rPr>
            </w:pPr>
            <w:r>
              <w:rPr>
                <w:rFonts w:hint="default" w:ascii="Times New Roman" w:hAnsi="Times New Roman" w:cs="Times New Roman"/>
                <w:color w:val="000000"/>
                <w:sz w:val="20"/>
                <w:szCs w:val="20"/>
              </w:rPr>
              <w:t>10 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440" w:hRule="atLeast"/>
          <w:tblCellSpacing w:w="0" w:type="dxa"/>
          <w:jc w:val="center"/>
        </w:trPr>
        <w:tc>
          <w:tcPr>
            <w:tcW w:w="1760" w:type="dxa"/>
            <w:tcBorders>
              <w:top w:val="single" w:color="080000" w:sz="4" w:space="0"/>
              <w:left w:val="single" w:color="080000" w:sz="4" w:space="0"/>
              <w:bottom w:val="single" w:color="080000" w:sz="4" w:space="0"/>
              <w:right w:val="single" w:color="080000" w:sz="4" w:space="0"/>
            </w:tcBorders>
            <w:shd w:val="clear" w:color="auto" w:fill="D7D7D7" w:themeFill="background1" w:themeFillShade="D8"/>
            <w:tcMar>
              <w:left w:w="108" w:type="dxa"/>
              <w:right w:w="108" w:type="dxa"/>
            </w:tcMar>
            <w:vAlign w:val="top"/>
          </w:tcPr>
          <w:p>
            <w:pPr>
              <w:pStyle w:val="14"/>
              <w:keepNext w:val="0"/>
              <w:keepLines w:val="0"/>
              <w:widowControl/>
              <w:suppressLineNumbers w:val="0"/>
              <w:rPr>
                <w:sz w:val="20"/>
                <w:szCs w:val="20"/>
              </w:rPr>
            </w:pPr>
            <w:r>
              <w:rPr>
                <w:rFonts w:hint="default" w:ascii="Times New Roman" w:hAnsi="Times New Roman" w:cs="Times New Roman"/>
                <w:color w:val="000000"/>
                <w:sz w:val="20"/>
                <w:szCs w:val="20"/>
              </w:rPr>
              <w:t>Sectorization</w:t>
            </w:r>
          </w:p>
        </w:tc>
        <w:tc>
          <w:tcPr>
            <w:tcW w:w="636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top"/>
          </w:tcPr>
          <w:p>
            <w:pPr>
              <w:pStyle w:val="14"/>
              <w:keepNext w:val="0"/>
              <w:keepLines w:val="0"/>
              <w:widowControl/>
              <w:suppressLineNumbers w:val="0"/>
              <w:rPr>
                <w:sz w:val="20"/>
                <w:szCs w:val="20"/>
              </w:rPr>
            </w:pPr>
            <w:r>
              <w:rPr>
                <w:rFonts w:hint="default" w:ascii="Times New Roman" w:hAnsi="Times New Roman" w:cs="Times New Roman"/>
                <w:color w:val="000000"/>
                <w:sz w:val="20"/>
                <w:szCs w:val="20"/>
              </w:rPr>
              <w:t>None</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7" w:hRule="atLeast"/>
          <w:tblCellSpacing w:w="0" w:type="dxa"/>
          <w:jc w:val="center"/>
        </w:trPr>
        <w:tc>
          <w:tcPr>
            <w:tcW w:w="1760" w:type="dxa"/>
            <w:tcBorders>
              <w:top w:val="single" w:color="080000" w:sz="4" w:space="0"/>
              <w:left w:val="single" w:color="080000" w:sz="4" w:space="0"/>
              <w:bottom w:val="single" w:color="080000" w:sz="4" w:space="0"/>
              <w:right w:val="single" w:color="080000" w:sz="4" w:space="0"/>
            </w:tcBorders>
            <w:shd w:val="clear" w:color="auto" w:fill="D7D7D7" w:themeFill="background1" w:themeFillShade="D8"/>
            <w:tcMar>
              <w:left w:w="108" w:type="dxa"/>
              <w:right w:w="108" w:type="dxa"/>
            </w:tcMar>
            <w:vAlign w:val="center"/>
          </w:tcPr>
          <w:p>
            <w:pPr>
              <w:pStyle w:val="14"/>
              <w:keepNext w:val="0"/>
              <w:keepLines w:val="0"/>
              <w:widowControl/>
              <w:suppressLineNumbers w:val="0"/>
              <w:rPr>
                <w:sz w:val="20"/>
                <w:szCs w:val="20"/>
                <w:highlight w:val="none"/>
              </w:rPr>
            </w:pPr>
            <w:r>
              <w:rPr>
                <w:rFonts w:hint="default" w:ascii="Times New Roman" w:hAnsi="Times New Roman" w:cs="Times New Roman"/>
                <w:color w:val="000000"/>
                <w:sz w:val="20"/>
                <w:szCs w:val="20"/>
                <w:highlight w:val="none"/>
              </w:rPr>
              <w:t>BS deployment</w:t>
            </w:r>
          </w:p>
        </w:tc>
        <w:tc>
          <w:tcPr>
            <w:tcW w:w="636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top"/>
          </w:tcPr>
          <w:p>
            <w:pPr>
              <w:pStyle w:val="1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textAlignment w:val="auto"/>
              <w:rPr>
                <w:sz w:val="20"/>
                <w:szCs w:val="20"/>
                <w:highlight w:val="none"/>
              </w:rPr>
            </w:pPr>
            <w:r>
              <w:rPr>
                <w:rFonts w:hint="default" w:ascii="Times New Roman" w:hAnsi="Times New Roman" w:cs="Times New Roman"/>
                <w:b/>
                <w:bCs/>
                <w:color w:val="000000"/>
                <w:sz w:val="20"/>
                <w:szCs w:val="20"/>
                <w:highlight w:val="none"/>
              </w:rPr>
              <w:t>18</w:t>
            </w:r>
            <w:r>
              <w:rPr>
                <w:rFonts w:hint="default" w:ascii="Times New Roman" w:hAnsi="Times New Roman" w:cs="Times New Roman"/>
                <w:color w:val="000000"/>
                <w:sz w:val="20"/>
                <w:szCs w:val="20"/>
                <w:highlight w:val="none"/>
              </w:rPr>
              <w:t> BSs on a square lattice with spacing D, located D/2 from the walls.</w:t>
            </w:r>
          </w:p>
          <w:p>
            <w:pPr>
              <w:pStyle w:val="14"/>
              <w:keepNext w:val="0"/>
              <w:keepLines w:val="0"/>
              <w:pageBreakBefore w:val="0"/>
              <w:widowControl/>
              <w:numPr>
                <w:ilvl w:val="0"/>
                <w:numId w:val="11"/>
              </w:numPr>
              <w:suppressLineNumbers w:val="0"/>
              <w:kinsoku/>
              <w:wordWrap/>
              <w:overflowPunct/>
              <w:topLinePunct w:val="0"/>
              <w:autoSpaceDE/>
              <w:autoSpaceDN/>
              <w:bidi w:val="0"/>
              <w:adjustRightInd/>
              <w:snapToGrid/>
              <w:spacing w:before="0" w:beforeAutospacing="0" w:after="0" w:afterAutospacing="0" w:line="360" w:lineRule="auto"/>
              <w:ind w:left="720" w:leftChars="0" w:hanging="360" w:firstLineChars="0"/>
              <w:textAlignment w:val="auto"/>
              <w:rPr>
                <w:sz w:val="20"/>
                <w:szCs w:val="20"/>
                <w:highlight w:val="none"/>
              </w:rPr>
            </w:pPr>
            <w:r>
              <w:rPr>
                <w:rFonts w:hint="default" w:ascii="Times New Roman" w:hAnsi="Times New Roman" w:cs="Times New Roman"/>
                <w:color w:val="000000"/>
                <w:sz w:val="20"/>
                <w:szCs w:val="20"/>
                <w:highlight w:val="none"/>
              </w:rPr>
              <w:t>for the small hall (L=120m x W=60m): D=20m</w:t>
            </w:r>
          </w:p>
          <w:p>
            <w:pPr>
              <w:pStyle w:val="14"/>
              <w:keepNext w:val="0"/>
              <w:keepLines w:val="0"/>
              <w:pageBreakBefore w:val="0"/>
              <w:widowControl/>
              <w:numPr>
                <w:ilvl w:val="0"/>
                <w:numId w:val="11"/>
              </w:numPr>
              <w:suppressLineNumbers w:val="0"/>
              <w:kinsoku/>
              <w:wordWrap/>
              <w:overflowPunct/>
              <w:topLinePunct w:val="0"/>
              <w:autoSpaceDE/>
              <w:autoSpaceDN/>
              <w:bidi w:val="0"/>
              <w:adjustRightInd/>
              <w:snapToGrid/>
              <w:spacing w:before="0" w:beforeAutospacing="0" w:after="0" w:afterAutospacing="0" w:line="360" w:lineRule="auto"/>
              <w:ind w:left="720" w:leftChars="0" w:hanging="360" w:firstLineChars="0"/>
              <w:textAlignment w:val="auto"/>
              <w:rPr>
                <w:sz w:val="20"/>
                <w:szCs w:val="20"/>
                <w:highlight w:val="none"/>
              </w:rPr>
            </w:pPr>
            <w:r>
              <w:rPr>
                <w:rFonts w:hint="default" w:ascii="Times New Roman" w:hAnsi="Times New Roman" w:cs="Times New Roman"/>
                <w:color w:val="000000"/>
                <w:sz w:val="20"/>
                <w:szCs w:val="20"/>
                <w:highlight w:val="none"/>
              </w:rPr>
              <w:t>for the big hall (L=300m x W=150m): D=50m</w:t>
            </w:r>
          </w:p>
          <w:p>
            <w:pPr>
              <w:pStyle w:val="14"/>
              <w:keepNext w:val="0"/>
              <w:keepLines w:val="0"/>
              <w:pageBreakBefore w:val="0"/>
              <w:widowControl/>
              <w:numPr>
                <w:ilvl w:val="0"/>
                <w:numId w:val="11"/>
              </w:numPr>
              <w:suppressLineNumbers w:val="0"/>
              <w:kinsoku/>
              <w:wordWrap/>
              <w:overflowPunct/>
              <w:topLinePunct w:val="0"/>
              <w:autoSpaceDE/>
              <w:autoSpaceDN/>
              <w:bidi w:val="0"/>
              <w:adjustRightInd/>
              <w:snapToGrid/>
              <w:spacing w:before="0" w:beforeAutospacing="0" w:after="0" w:afterAutospacing="0" w:line="360" w:lineRule="auto"/>
              <w:ind w:left="720" w:leftChars="0" w:hanging="360" w:firstLineChars="0"/>
              <w:textAlignment w:val="auto"/>
              <w:rPr>
                <w:sz w:val="20"/>
                <w:szCs w:val="20"/>
                <w:highlight w:val="none"/>
              </w:rPr>
            </w:pPr>
            <w:r>
              <w:rPr>
                <w:rFonts w:hint="default" w:ascii="Times New Roman" w:hAnsi="Times New Roman" w:cs="Times New Roman"/>
                <w:color w:val="000000"/>
                <w:sz w:val="20"/>
                <w:szCs w:val="20"/>
                <w:highlight w:val="none"/>
              </w:rPr>
              <w:t>BS-height = 8 m for for InF-SH and InF-DH</w:t>
            </w:r>
            <w:r>
              <w:rPr>
                <w:rFonts w:ascii="Times" w:hAnsi="Times" w:eastAsia="Times" w:cs="Times"/>
                <w:color w:val="000000"/>
                <w:sz w:val="20"/>
                <w:szCs w:val="20"/>
                <w:highlight w:val="none"/>
              </w:rPr>
              <w:t> </w:t>
            </w:r>
          </w:p>
        </w:tc>
      </w:tr>
    </w:tbl>
    <w:p>
      <w:pPr>
        <w:numPr>
          <w:ilvl w:val="0"/>
          <w:numId w:val="0"/>
        </w:numPr>
        <w:spacing w:after="156" w:afterLines="50"/>
        <w:ind w:leftChars="0"/>
        <w:rPr>
          <w:rFonts w:hint="default" w:ascii="Times New Roman" w:hAnsi="Times New Roman"/>
          <w:b w:val="0"/>
          <w:bCs w:val="0"/>
          <w:sz w:val="20"/>
          <w:szCs w:val="20"/>
          <w:lang w:val="en-US" w:eastAsia="zh-CN"/>
        </w:rPr>
      </w:pPr>
    </w:p>
    <w:p>
      <w:pPr>
        <w:spacing w:after="156" w:afterLines="50"/>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Proposal 12: it</w:t>
      </w:r>
      <w:r>
        <w:rPr>
          <w:rFonts w:hint="default" w:ascii="Times New Roman" w:hAnsi="Times New Roman"/>
          <w:b/>
          <w:bCs/>
          <w:sz w:val="20"/>
          <w:szCs w:val="20"/>
          <w:lang w:val="en-US" w:eastAsia="zh-CN"/>
        </w:rPr>
        <w:t>’</w:t>
      </w:r>
      <w:r>
        <w:rPr>
          <w:rFonts w:hint="eastAsia" w:ascii="Times New Roman" w:hAnsi="Times New Roman"/>
          <w:b/>
          <w:bCs/>
          <w:sz w:val="20"/>
          <w:szCs w:val="20"/>
          <w:lang w:val="en-US" w:eastAsia="zh-CN"/>
        </w:rPr>
        <w:t>s suggested to use above gNB deployment distribution for topology 1 and replacing gNB by intermediate UE for topology 2, referring from TR 38.901 for indoor factory.</w:t>
      </w:r>
    </w:p>
    <w:p>
      <w:pPr>
        <w:spacing w:after="156" w:afterLines="50"/>
        <w:rPr>
          <w:rFonts w:hint="eastAsia" w:ascii="Times New Roman" w:hAnsi="Times New Roman"/>
          <w:b w:val="0"/>
          <w:bCs w:val="0"/>
          <w:sz w:val="20"/>
          <w:szCs w:val="20"/>
          <w:lang w:val="en-US" w:eastAsia="zh-CN"/>
        </w:rPr>
      </w:pPr>
      <w:r>
        <w:rPr>
          <w:rFonts w:hint="eastAsia" w:ascii="Times New Roman" w:hAnsi="Times New Roman"/>
          <w:b w:val="0"/>
          <w:bCs w:val="0"/>
          <w:sz w:val="20"/>
          <w:szCs w:val="20"/>
          <w:lang w:val="en-US" w:eastAsia="zh-CN"/>
        </w:rPr>
        <w:t>For the devices distribution, we have following suggestion. Since RAN1 has involved three kinds of device types, device 1, 2a, 2b with different RF characteristics and coverage performance. RAN4 need to further discuss whether to differentiate distribution for these three devices.</w:t>
      </w:r>
    </w:p>
    <w:p>
      <w:pPr>
        <w:numPr>
          <w:ilvl w:val="0"/>
          <w:numId w:val="11"/>
        </w:numPr>
        <w:spacing w:after="156" w:afterLines="50"/>
        <w:ind w:left="720" w:leftChars="0" w:hanging="360" w:firstLineChars="0"/>
        <w:rPr>
          <w:rFonts w:hint="default" w:ascii="Times New Roman" w:hAnsi="Times New Roman"/>
          <w:b/>
          <w:bCs/>
          <w:sz w:val="20"/>
          <w:szCs w:val="20"/>
          <w:lang w:val="en-US" w:eastAsia="zh-CN"/>
        </w:rPr>
      </w:pPr>
      <w:r>
        <w:rPr>
          <w:rFonts w:hint="eastAsia" w:ascii="Times New Roman" w:hAnsi="Times New Roman"/>
          <w:b/>
          <w:bCs/>
          <w:sz w:val="20"/>
          <w:szCs w:val="20"/>
          <w:lang w:val="en-US" w:eastAsia="zh-CN"/>
        </w:rPr>
        <w:t>Random uniform distribution as baseline. Further discuss whether to consider cluster based distribution or not.</w:t>
      </w:r>
    </w:p>
    <w:p>
      <w:pPr>
        <w:numPr>
          <w:ilvl w:val="0"/>
          <w:numId w:val="11"/>
        </w:numPr>
        <w:spacing w:after="156" w:afterLines="50"/>
        <w:ind w:left="720" w:leftChars="0" w:hanging="360" w:firstLineChars="0"/>
        <w:rPr>
          <w:rFonts w:hint="default" w:ascii="Times New Roman" w:hAnsi="Times New Roman"/>
          <w:b/>
          <w:bCs/>
          <w:sz w:val="20"/>
          <w:szCs w:val="20"/>
          <w:lang w:val="en-US" w:eastAsia="zh-CN"/>
        </w:rPr>
      </w:pPr>
      <w:r>
        <w:rPr>
          <w:rFonts w:hint="eastAsia" w:ascii="Times New Roman" w:hAnsi="Times New Roman"/>
          <w:b/>
          <w:bCs/>
          <w:sz w:val="20"/>
          <w:szCs w:val="20"/>
          <w:lang w:val="en-US" w:eastAsia="zh-CN"/>
        </w:rPr>
        <w:t>Total activated device number: Total area × activated density</w:t>
      </w:r>
    </w:p>
    <w:p>
      <w:pPr>
        <w:numPr>
          <w:ilvl w:val="1"/>
          <w:numId w:val="11"/>
        </w:numPr>
        <w:spacing w:after="156" w:afterLines="50"/>
        <w:ind w:left="1440" w:leftChars="0" w:hanging="360" w:firstLineChars="0"/>
        <w:rPr>
          <w:rFonts w:hint="default" w:ascii="Times New Roman" w:hAnsi="Times New Roman"/>
          <w:b/>
          <w:bCs/>
          <w:sz w:val="20"/>
          <w:szCs w:val="20"/>
          <w:lang w:val="en-US" w:eastAsia="zh-CN"/>
        </w:rPr>
      </w:pPr>
      <w:r>
        <w:rPr>
          <w:rFonts w:hint="eastAsia" w:ascii="Times New Roman" w:hAnsi="Times New Roman"/>
          <w:b/>
          <w:bCs/>
          <w:sz w:val="20"/>
          <w:szCs w:val="20"/>
          <w:lang w:val="en-US" w:eastAsia="zh-CN"/>
        </w:rPr>
        <w:t>FFS: activated device density</w:t>
      </w:r>
    </w:p>
    <w:p>
      <w:pPr>
        <w:numPr>
          <w:ilvl w:val="0"/>
          <w:numId w:val="11"/>
        </w:numPr>
        <w:spacing w:after="156" w:afterLines="50"/>
        <w:ind w:left="720" w:leftChars="0" w:hanging="360" w:firstLineChars="0"/>
        <w:rPr>
          <w:rFonts w:hint="default" w:ascii="Times New Roman" w:hAnsi="Times New Roman"/>
          <w:b/>
          <w:bCs/>
          <w:sz w:val="20"/>
          <w:szCs w:val="20"/>
          <w:lang w:val="en-US" w:eastAsia="zh-CN"/>
        </w:rPr>
      </w:pPr>
      <w:r>
        <w:rPr>
          <w:rFonts w:hint="eastAsia" w:ascii="Times New Roman" w:hAnsi="Times New Roman"/>
          <w:b/>
          <w:bCs/>
          <w:sz w:val="20"/>
          <w:szCs w:val="20"/>
          <w:lang w:val="en-US" w:eastAsia="zh-CN"/>
        </w:rPr>
        <w:t>FFS: whether to differentiate distribution for different kinds of devices</w:t>
      </w:r>
    </w:p>
    <w:p>
      <w:pPr>
        <w:spacing w:after="156" w:afterLines="50"/>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Proposal 13: it</w:t>
      </w:r>
      <w:r>
        <w:rPr>
          <w:rFonts w:hint="default" w:ascii="Times New Roman" w:hAnsi="Times New Roman"/>
          <w:b/>
          <w:bCs/>
          <w:sz w:val="20"/>
          <w:szCs w:val="20"/>
          <w:lang w:val="en-US" w:eastAsia="zh-CN"/>
        </w:rPr>
        <w:t>’</w:t>
      </w:r>
      <w:r>
        <w:rPr>
          <w:rFonts w:hint="eastAsia" w:ascii="Times New Roman" w:hAnsi="Times New Roman"/>
          <w:b/>
          <w:bCs/>
          <w:sz w:val="20"/>
          <w:szCs w:val="20"/>
          <w:lang w:val="en-US" w:eastAsia="zh-CN"/>
        </w:rPr>
        <w:t>s suggested to use above device deployment distribution for topology 1 and 2.</w:t>
      </w:r>
    </w:p>
    <w:p>
      <w:pPr>
        <w:numPr>
          <w:ilvl w:val="0"/>
          <w:numId w:val="12"/>
        </w:numPr>
        <w:spacing w:after="156" w:afterLines="50"/>
        <w:ind w:left="420" w:leftChars="0" w:hanging="420" w:firstLineChars="0"/>
        <w:rPr>
          <w:rFonts w:hint="default" w:ascii="Times New Roman" w:hAnsi="Times New Roman"/>
          <w:b/>
          <w:bCs/>
          <w:sz w:val="24"/>
          <w:szCs w:val="24"/>
          <w:lang w:val="en-US" w:eastAsia="zh-CN"/>
        </w:rPr>
      </w:pPr>
      <w:r>
        <w:rPr>
          <w:rFonts w:hint="eastAsia" w:ascii="Times New Roman" w:hAnsi="Times New Roman"/>
          <w:b/>
          <w:bCs/>
          <w:sz w:val="24"/>
          <w:szCs w:val="24"/>
          <w:lang w:val="en-US" w:eastAsia="zh-CN"/>
        </w:rPr>
        <w:t>Path loss model</w:t>
      </w:r>
    </w:p>
    <w:p>
      <w:pPr>
        <w:numPr>
          <w:ilvl w:val="0"/>
          <w:numId w:val="0"/>
        </w:numPr>
        <w:spacing w:after="156" w:afterLines="50"/>
        <w:ind w:leftChars="0"/>
        <w:rPr>
          <w:rFonts w:hint="eastAsia" w:ascii="Times New Roman" w:hAnsi="Times New Roman"/>
          <w:b w:val="0"/>
          <w:bCs w:val="0"/>
          <w:sz w:val="20"/>
          <w:szCs w:val="20"/>
          <w:lang w:val="en-US" w:eastAsia="zh-CN"/>
        </w:rPr>
      </w:pPr>
      <w:r>
        <w:rPr>
          <w:rFonts w:hint="eastAsia" w:ascii="Times New Roman" w:hAnsi="Times New Roman"/>
          <w:b w:val="0"/>
          <w:bCs w:val="0"/>
          <w:sz w:val="20"/>
          <w:szCs w:val="20"/>
          <w:lang w:val="en-US" w:eastAsia="zh-CN"/>
        </w:rPr>
        <w:t xml:space="preserve">For topology 1, we can still use the indoor factory path loss model. But one issue is to choose which indoor factory model for different links. Following table list our suggestions. The basic logic is that when the Tx node is high while Rx node is low, inF-DH is suggested. When the Tx node and Rx node both are high, inF-HH is suggested. When the Tx node and Rx node both are low, inF-DL is suggested. </w:t>
      </w:r>
    </w:p>
    <w:tbl>
      <w:tblPr>
        <w:tblStyle w:val="16"/>
        <w:tblW w:w="4998" w:type="pct"/>
        <w:tblCellSpacing w:w="0" w:type="dxa"/>
        <w:tblInd w:w="-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0" w:type="dxa"/>
          <w:bottom w:w="0" w:type="dxa"/>
          <w:right w:w="0" w:type="dxa"/>
        </w:tblCellMar>
      </w:tblPr>
      <w:tblGrid>
        <w:gridCol w:w="1562"/>
        <w:gridCol w:w="2409"/>
        <w:gridCol w:w="2377"/>
        <w:gridCol w:w="2457"/>
        <w:gridCol w:w="1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420" w:hRule="atLeast"/>
          <w:tblCellSpacing w:w="0" w:type="dxa"/>
        </w:trPr>
        <w:tc>
          <w:tcPr>
            <w:tcW w:w="777" w:type="pct"/>
            <w:shd w:val="clear" w:color="auto" w:fill="D7D7D7" w:themeFill="background1" w:themeFillShade="D8"/>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p>
        </w:tc>
        <w:tc>
          <w:tcPr>
            <w:tcW w:w="1198" w:type="pct"/>
            <w:shd w:val="clear" w:color="auto" w:fill="D7D7D7" w:themeFill="background1" w:themeFillShade="D8"/>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b/>
                <w:bCs/>
                <w:color w:val="000000"/>
                <w:sz w:val="20"/>
                <w:szCs w:val="20"/>
              </w:rPr>
              <w:t>D1T1-A1</w:t>
            </w:r>
          </w:p>
        </w:tc>
        <w:tc>
          <w:tcPr>
            <w:tcW w:w="1182" w:type="pct"/>
            <w:shd w:val="clear" w:color="auto" w:fill="D7D7D7" w:themeFill="background1" w:themeFillShade="D8"/>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b/>
                <w:bCs/>
                <w:color w:val="000000"/>
                <w:sz w:val="20"/>
                <w:szCs w:val="20"/>
              </w:rPr>
              <w:t>D1T1-A2</w:t>
            </w:r>
          </w:p>
        </w:tc>
        <w:tc>
          <w:tcPr>
            <w:tcW w:w="1222" w:type="pct"/>
            <w:shd w:val="clear" w:color="auto" w:fill="D7D7D7" w:themeFill="background1" w:themeFillShade="D8"/>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b/>
                <w:bCs/>
                <w:color w:val="000000"/>
                <w:sz w:val="20"/>
                <w:szCs w:val="20"/>
              </w:rPr>
              <w:t>D1T1-B</w:t>
            </w:r>
          </w:p>
        </w:tc>
        <w:tc>
          <w:tcPr>
            <w:tcW w:w="619" w:type="pct"/>
            <w:shd w:val="clear" w:color="auto" w:fill="D7D7D7" w:themeFill="background1" w:themeFillShade="D8"/>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b/>
                <w:bCs/>
                <w:color w:val="000000"/>
                <w:sz w:val="20"/>
                <w:szCs w:val="20"/>
              </w:rPr>
              <w:t>D1T1-C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420" w:hRule="atLeast"/>
          <w:tblCellSpacing w:w="0" w:type="dxa"/>
        </w:trPr>
        <w:tc>
          <w:tcPr>
            <w:tcW w:w="777" w:type="pct"/>
            <w:shd w:val="clear" w:color="auto" w:fill="D7D7D7" w:themeFill="background1" w:themeFillShade="D8"/>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CW2D</w:t>
            </w:r>
          </w:p>
        </w:tc>
        <w:tc>
          <w:tcPr>
            <w:tcW w:w="1198"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inF-DH(reusing RAN1)</w:t>
            </w:r>
          </w:p>
        </w:tc>
        <w:tc>
          <w:tcPr>
            <w:tcW w:w="1182"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inF-DH(reusing RAN1)</w:t>
            </w:r>
          </w:p>
        </w:tc>
        <w:tc>
          <w:tcPr>
            <w:tcW w:w="1222"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inF-DL</w:t>
            </w:r>
          </w:p>
        </w:tc>
        <w:tc>
          <w:tcPr>
            <w:tcW w:w="619"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420" w:hRule="atLeast"/>
          <w:tblCellSpacing w:w="0" w:type="dxa"/>
        </w:trPr>
        <w:tc>
          <w:tcPr>
            <w:tcW w:w="777" w:type="pct"/>
            <w:shd w:val="clear" w:color="auto" w:fill="D7D7D7" w:themeFill="background1" w:themeFillShade="D8"/>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R2D and D2R</w:t>
            </w:r>
          </w:p>
        </w:tc>
        <w:tc>
          <w:tcPr>
            <w:tcW w:w="1198"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inF-DH(reusing RAN1)</w:t>
            </w:r>
          </w:p>
        </w:tc>
        <w:tc>
          <w:tcPr>
            <w:tcW w:w="1182"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inF-DH(reusing RAN1)</w:t>
            </w:r>
          </w:p>
        </w:tc>
        <w:tc>
          <w:tcPr>
            <w:tcW w:w="1222"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inF-DH(reusing RAN1)</w:t>
            </w:r>
          </w:p>
        </w:tc>
        <w:tc>
          <w:tcPr>
            <w:tcW w:w="619"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420" w:hRule="atLeast"/>
          <w:tblCellSpacing w:w="0" w:type="dxa"/>
        </w:trPr>
        <w:tc>
          <w:tcPr>
            <w:tcW w:w="777" w:type="pct"/>
            <w:shd w:val="clear" w:color="auto" w:fill="D7D7D7" w:themeFill="background1" w:themeFillShade="D8"/>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reader to UE</w:t>
            </w:r>
          </w:p>
        </w:tc>
        <w:tc>
          <w:tcPr>
            <w:tcW w:w="1198"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w:t>
            </w:r>
          </w:p>
        </w:tc>
        <w:tc>
          <w:tcPr>
            <w:tcW w:w="1182"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w:t>
            </w:r>
          </w:p>
        </w:tc>
        <w:tc>
          <w:tcPr>
            <w:tcW w:w="1222"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w:t>
            </w:r>
          </w:p>
        </w:tc>
        <w:tc>
          <w:tcPr>
            <w:tcW w:w="619"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420" w:hRule="atLeast"/>
          <w:tblCellSpacing w:w="0" w:type="dxa"/>
        </w:trPr>
        <w:tc>
          <w:tcPr>
            <w:tcW w:w="777" w:type="pct"/>
            <w:shd w:val="clear" w:color="auto" w:fill="D7D7D7" w:themeFill="background1" w:themeFillShade="D8"/>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CW to UE</w:t>
            </w:r>
          </w:p>
        </w:tc>
        <w:tc>
          <w:tcPr>
            <w:tcW w:w="1198"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w:t>
            </w:r>
          </w:p>
        </w:tc>
        <w:tc>
          <w:tcPr>
            <w:tcW w:w="1182"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w:t>
            </w:r>
          </w:p>
        </w:tc>
        <w:tc>
          <w:tcPr>
            <w:tcW w:w="1222"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inF-DL</w:t>
            </w:r>
          </w:p>
        </w:tc>
        <w:tc>
          <w:tcPr>
            <w:tcW w:w="619"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420" w:hRule="atLeast"/>
          <w:tblCellSpacing w:w="0" w:type="dxa"/>
        </w:trPr>
        <w:tc>
          <w:tcPr>
            <w:tcW w:w="777" w:type="pct"/>
            <w:shd w:val="clear" w:color="auto" w:fill="D7D7D7" w:themeFill="background1" w:themeFillShade="D8"/>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gNB to device</w:t>
            </w:r>
          </w:p>
        </w:tc>
        <w:tc>
          <w:tcPr>
            <w:tcW w:w="1198"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w:t>
            </w:r>
          </w:p>
        </w:tc>
        <w:tc>
          <w:tcPr>
            <w:tcW w:w="1182"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w:t>
            </w:r>
          </w:p>
        </w:tc>
        <w:tc>
          <w:tcPr>
            <w:tcW w:w="1222"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w:t>
            </w:r>
          </w:p>
        </w:tc>
        <w:tc>
          <w:tcPr>
            <w:tcW w:w="619"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420" w:hRule="atLeast"/>
          <w:tblCellSpacing w:w="0" w:type="dxa"/>
        </w:trPr>
        <w:tc>
          <w:tcPr>
            <w:tcW w:w="777" w:type="pct"/>
            <w:shd w:val="clear" w:color="auto" w:fill="D7D7D7" w:themeFill="background1" w:themeFillShade="D8"/>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CW to gNB</w:t>
            </w:r>
          </w:p>
        </w:tc>
        <w:tc>
          <w:tcPr>
            <w:tcW w:w="1198"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inF-HH</w:t>
            </w:r>
          </w:p>
        </w:tc>
        <w:tc>
          <w:tcPr>
            <w:tcW w:w="1182"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inF-HH</w:t>
            </w:r>
          </w:p>
        </w:tc>
        <w:tc>
          <w:tcPr>
            <w:tcW w:w="1222"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w:t>
            </w:r>
          </w:p>
        </w:tc>
        <w:tc>
          <w:tcPr>
            <w:tcW w:w="619"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0" w:hRule="atLeast"/>
          <w:tblCellSpacing w:w="0" w:type="dxa"/>
        </w:trPr>
        <w:tc>
          <w:tcPr>
            <w:tcW w:w="777" w:type="pct"/>
            <w:shd w:val="clear" w:color="auto" w:fill="D7D7D7" w:themeFill="background1" w:themeFillShade="D8"/>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reader to gNB</w:t>
            </w:r>
          </w:p>
        </w:tc>
        <w:tc>
          <w:tcPr>
            <w:tcW w:w="1198"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inF-HH</w:t>
            </w:r>
          </w:p>
        </w:tc>
        <w:tc>
          <w:tcPr>
            <w:tcW w:w="1182"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inF-HH</w:t>
            </w:r>
          </w:p>
        </w:tc>
        <w:tc>
          <w:tcPr>
            <w:tcW w:w="1222"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inF-HH</w:t>
            </w:r>
          </w:p>
        </w:tc>
        <w:tc>
          <w:tcPr>
            <w:tcW w:w="619"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inF-HH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0" w:hRule="atLeast"/>
          <w:tblCellSpacing w:w="0" w:type="dxa"/>
        </w:trPr>
        <w:tc>
          <w:tcPr>
            <w:tcW w:w="777" w:type="pct"/>
            <w:shd w:val="clear" w:color="auto" w:fill="D7D7D7" w:themeFill="background1" w:themeFillShade="D8"/>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UE-to-device</w:t>
            </w:r>
          </w:p>
        </w:tc>
        <w:tc>
          <w:tcPr>
            <w:tcW w:w="1198"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inF-DL</w:t>
            </w:r>
          </w:p>
        </w:tc>
        <w:tc>
          <w:tcPr>
            <w:tcW w:w="1182"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inF-DL</w:t>
            </w:r>
          </w:p>
        </w:tc>
        <w:tc>
          <w:tcPr>
            <w:tcW w:w="1222"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inF-DL</w:t>
            </w:r>
          </w:p>
        </w:tc>
        <w:tc>
          <w:tcPr>
            <w:tcW w:w="619"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inF-DL</w:t>
            </w:r>
          </w:p>
        </w:tc>
      </w:tr>
    </w:tbl>
    <w:p>
      <w:pPr>
        <w:spacing w:after="156" w:afterLines="50"/>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Proposal 14: it</w:t>
      </w:r>
      <w:r>
        <w:rPr>
          <w:rFonts w:hint="default" w:ascii="Times New Roman" w:hAnsi="Times New Roman"/>
          <w:b/>
          <w:bCs/>
          <w:sz w:val="20"/>
          <w:szCs w:val="20"/>
          <w:lang w:val="en-US" w:eastAsia="zh-CN"/>
        </w:rPr>
        <w:t>’</w:t>
      </w:r>
      <w:r>
        <w:rPr>
          <w:rFonts w:hint="eastAsia" w:ascii="Times New Roman" w:hAnsi="Times New Roman"/>
          <w:b/>
          <w:bCs/>
          <w:sz w:val="20"/>
          <w:szCs w:val="20"/>
          <w:lang w:val="en-US" w:eastAsia="zh-CN"/>
        </w:rPr>
        <w:t>s suggested to use above pathloss model for topology 1.</w:t>
      </w:r>
    </w:p>
    <w:p>
      <w:pPr>
        <w:spacing w:after="156" w:afterLines="50"/>
        <w:rPr>
          <w:rFonts w:hint="default" w:ascii="Times New Roman" w:hAnsi="Times New Roman"/>
          <w:b w:val="0"/>
          <w:bCs w:val="0"/>
          <w:sz w:val="20"/>
          <w:szCs w:val="20"/>
          <w:lang w:val="en-US" w:eastAsia="zh-CN"/>
        </w:rPr>
      </w:pPr>
      <w:r>
        <w:rPr>
          <w:rFonts w:hint="eastAsia" w:ascii="Times New Roman" w:hAnsi="Times New Roman"/>
          <w:b w:val="0"/>
          <w:bCs w:val="0"/>
          <w:sz w:val="20"/>
          <w:szCs w:val="20"/>
          <w:lang w:val="en-US" w:eastAsia="zh-CN"/>
        </w:rPr>
        <w:t>For topology 2, intermediate UE is low, so if seems indoor office is also applicable. Both inF-DL and indoor office model is OK for use.</w:t>
      </w:r>
    </w:p>
    <w:p>
      <w:pPr>
        <w:spacing w:after="156" w:afterLines="50"/>
        <w:rPr>
          <w:rFonts w:hint="default" w:ascii="Times New Roman" w:hAnsi="Times New Roman"/>
          <w:b w:val="0"/>
          <w:bCs w:val="0"/>
          <w:sz w:val="20"/>
          <w:szCs w:val="20"/>
          <w:lang w:val="en-US" w:eastAsia="zh-CN"/>
        </w:rPr>
      </w:pPr>
      <w:r>
        <w:rPr>
          <w:rFonts w:hint="eastAsia" w:ascii="Times New Roman" w:hAnsi="Times New Roman"/>
          <w:b/>
          <w:bCs/>
          <w:sz w:val="20"/>
          <w:szCs w:val="20"/>
          <w:lang w:val="en-US" w:eastAsia="zh-CN"/>
        </w:rPr>
        <w:t>Proposal 15: for topology 2, both inF-DL and indoor office pathloss model is OK for us.</w:t>
      </w:r>
    </w:p>
    <w:p>
      <w:pPr>
        <w:keepNext/>
        <w:keepLines/>
        <w:widowControl/>
        <w:pBdr>
          <w:top w:val="single" w:color="auto" w:sz="12" w:space="1"/>
        </w:pBdr>
        <w:tabs>
          <w:tab w:val="left" w:pos="567"/>
        </w:tabs>
        <w:adjustRightInd w:val="0"/>
        <w:spacing w:before="240" w:after="180"/>
        <w:ind w:left="510" w:hanging="510"/>
        <w:outlineLvl w:val="0"/>
        <w:rPr>
          <w:rFonts w:ascii="Arial" w:hAnsi="Arial" w:eastAsiaTheme="minorEastAsia" w:cstheme="minorBidi"/>
          <w:sz w:val="32"/>
          <w:szCs w:val="36"/>
        </w:rPr>
      </w:pPr>
      <w:r>
        <w:rPr>
          <w:rFonts w:ascii="Arial" w:hAnsi="Arial" w:eastAsiaTheme="minorEastAsia" w:cstheme="minorBidi"/>
          <w:sz w:val="32"/>
          <w:szCs w:val="36"/>
        </w:rPr>
        <w:t>3. Conclusions</w:t>
      </w:r>
    </w:p>
    <w:p>
      <w:pPr>
        <w:spacing w:after="156" w:afterLines="50"/>
        <w:rPr>
          <w:rFonts w:hint="eastAsia" w:ascii="Times New Roman" w:hAnsi="Times New Roman"/>
          <w:sz w:val="20"/>
          <w:szCs w:val="20"/>
          <w:lang w:val="en-US" w:eastAsia="zh-CN"/>
        </w:rPr>
      </w:pPr>
      <w:r>
        <w:rPr>
          <w:rFonts w:ascii="Times New Roman" w:hAnsi="Times New Roman"/>
          <w:sz w:val="20"/>
          <w:szCs w:val="20"/>
        </w:rPr>
        <w:t xml:space="preserve">In this contribution, </w:t>
      </w:r>
      <w:r>
        <w:rPr>
          <w:rFonts w:hint="eastAsia" w:ascii="Times New Roman" w:hAnsi="Times New Roman"/>
          <w:sz w:val="20"/>
          <w:szCs w:val="20"/>
          <w:lang w:val="en-US" w:eastAsia="zh-CN"/>
        </w:rPr>
        <w:t>co-existence interference scenario and key evaluation parameters are discussed with following observations and proposals.</w:t>
      </w:r>
    </w:p>
    <w:p>
      <w:pPr>
        <w:widowControl w:val="0"/>
        <w:numPr>
          <w:ilvl w:val="0"/>
          <w:numId w:val="0"/>
        </w:numPr>
        <w:spacing w:after="180"/>
        <w:jc w:val="both"/>
        <w:rPr>
          <w:rFonts w:hint="eastAsia" w:ascii="Times New Roman" w:hAnsi="Times New Roman" w:cs="Times New Roman"/>
          <w:b/>
          <w:bCs/>
          <w:sz w:val="20"/>
          <w:szCs w:val="20"/>
          <w:lang w:val="en-US" w:eastAsia="zh-CN"/>
        </w:rPr>
      </w:pPr>
      <w:r>
        <w:rPr>
          <w:rFonts w:hint="eastAsia" w:ascii="Times New Roman" w:hAnsi="Times New Roman" w:cs="Times New Roman"/>
          <w:b/>
          <w:bCs/>
          <w:sz w:val="20"/>
          <w:szCs w:val="20"/>
          <w:lang w:val="en-US" w:eastAsia="zh-CN"/>
        </w:rPr>
        <w:t>Proposal 1: following evaluation cases are suggested for topology 1.</w:t>
      </w:r>
    </w:p>
    <w:p>
      <w:pPr>
        <w:numPr>
          <w:ilvl w:val="0"/>
          <w:numId w:val="3"/>
        </w:numPr>
        <w:spacing w:after="180"/>
        <w:ind w:left="720" w:leftChars="0" w:hanging="360" w:firstLineChars="0"/>
        <w:jc w:val="left"/>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Option 1 (high priority from CMCC point of view): for topology 1, existing NR/LTE gNB are outdoor macro gNB while A-IoT reader/CW/devices are all indoors</w:t>
      </w:r>
    </w:p>
    <w:p>
      <w:pPr>
        <w:numPr>
          <w:ilvl w:val="1"/>
          <w:numId w:val="3"/>
        </w:numPr>
        <w:spacing w:after="180"/>
        <w:ind w:left="1440" w:leftChars="0" w:hanging="360" w:firstLineChars="0"/>
        <w:jc w:val="left"/>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R2D: using DL spectrum</w:t>
      </w:r>
    </w:p>
    <w:p>
      <w:pPr>
        <w:numPr>
          <w:ilvl w:val="1"/>
          <w:numId w:val="3"/>
        </w:numPr>
        <w:spacing w:after="180"/>
        <w:ind w:left="1440" w:leftChars="0" w:hanging="360" w:firstLineChars="0"/>
        <w:jc w:val="left"/>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CW: CW is transmitted from inside the topology and transmitting in DL/UL spectrum (both DL and UL spectrum are high priority)</w:t>
      </w:r>
    </w:p>
    <w:p>
      <w:pPr>
        <w:numPr>
          <w:ilvl w:val="1"/>
          <w:numId w:val="3"/>
        </w:numPr>
        <w:spacing w:after="180"/>
        <w:ind w:left="1440" w:leftChars="0" w:hanging="360" w:firstLineChars="0"/>
        <w:jc w:val="left"/>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Note: existing NR UE are only allowed outdoors</w:t>
      </w:r>
    </w:p>
    <w:p>
      <w:pPr>
        <w:numPr>
          <w:ilvl w:val="0"/>
          <w:numId w:val="3"/>
        </w:numPr>
        <w:spacing w:after="180"/>
        <w:ind w:left="720" w:leftChars="0" w:hanging="360" w:firstLineChars="0"/>
        <w:jc w:val="left"/>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Option 2 (low priority): for topology 1, existing NR/LTE gNB are co-located with gNB like reader and CW. All are indoors.</w:t>
      </w:r>
    </w:p>
    <w:p>
      <w:pPr>
        <w:numPr>
          <w:ilvl w:val="1"/>
          <w:numId w:val="3"/>
        </w:numPr>
        <w:spacing w:after="180"/>
        <w:ind w:left="1440" w:leftChars="0" w:hanging="360" w:firstLineChars="0"/>
        <w:jc w:val="left"/>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R2D: using DL spectrum</w:t>
      </w:r>
    </w:p>
    <w:p>
      <w:pPr>
        <w:numPr>
          <w:ilvl w:val="1"/>
          <w:numId w:val="3"/>
        </w:numPr>
        <w:spacing w:after="180"/>
        <w:ind w:left="1440" w:leftChars="0" w:hanging="360" w:firstLineChars="0"/>
        <w:jc w:val="left"/>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CW: CW is transmitted from inside the topology and transmitting in DL/UL spectrum (both DL and UL spectrum are high priority)</w:t>
      </w:r>
    </w:p>
    <w:p>
      <w:pPr>
        <w:numPr>
          <w:ilvl w:val="1"/>
          <w:numId w:val="3"/>
        </w:numPr>
        <w:spacing w:after="180"/>
        <w:ind w:left="1440" w:leftChars="0" w:hanging="360" w:firstLineChars="0"/>
        <w:jc w:val="left"/>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Note: existing NR UE are indoors</w:t>
      </w:r>
    </w:p>
    <w:p>
      <w:pPr>
        <w:widowControl w:val="0"/>
        <w:numPr>
          <w:ilvl w:val="0"/>
          <w:numId w:val="0"/>
        </w:numPr>
        <w:spacing w:after="180"/>
        <w:jc w:val="left"/>
        <w:rPr>
          <w:rFonts w:hint="eastAsia" w:ascii="Times New Roman" w:hAnsi="Times New Roman"/>
          <w:b/>
          <w:bCs/>
          <w:sz w:val="20"/>
          <w:szCs w:val="20"/>
          <w:highlight w:val="none"/>
          <w:lang w:val="en-US" w:eastAsia="zh-CN"/>
        </w:rPr>
      </w:pPr>
      <w:r>
        <w:rPr>
          <w:rFonts w:hint="eastAsia" w:ascii="Times New Roman" w:hAnsi="Times New Roman"/>
          <w:b/>
          <w:bCs/>
          <w:sz w:val="20"/>
          <w:szCs w:val="20"/>
          <w:highlight w:val="none"/>
          <w:lang w:val="en-US" w:eastAsia="zh-CN"/>
        </w:rPr>
        <w:t>Observation 1: the interference of topology 2 is less than topology 1 if we assume all existing UE are outdoors.</w:t>
      </w:r>
    </w:p>
    <w:p>
      <w:pPr>
        <w:widowControl w:val="0"/>
        <w:numPr>
          <w:ilvl w:val="0"/>
          <w:numId w:val="0"/>
        </w:numPr>
        <w:spacing w:after="180"/>
        <w:jc w:val="left"/>
        <w:rPr>
          <w:rFonts w:hint="default" w:ascii="Times New Roman" w:hAnsi="Times New Roman"/>
          <w:b/>
          <w:bCs/>
          <w:sz w:val="20"/>
          <w:szCs w:val="20"/>
          <w:highlight w:val="none"/>
          <w:lang w:val="en-US" w:eastAsia="zh-CN"/>
        </w:rPr>
      </w:pPr>
      <w:r>
        <w:rPr>
          <w:rFonts w:hint="eastAsia" w:ascii="Times New Roman" w:hAnsi="Times New Roman"/>
          <w:b/>
          <w:bCs/>
          <w:sz w:val="20"/>
          <w:szCs w:val="20"/>
          <w:highlight w:val="none"/>
          <w:lang w:val="en-US" w:eastAsia="zh-CN"/>
        </w:rPr>
        <w:t>Proposal 2: if we assume all existing UE are outdoors, simulation is not needed. Instead, the calculation for the worst interference link is enough.</w:t>
      </w:r>
    </w:p>
    <w:p>
      <w:pPr>
        <w:spacing w:after="156" w:afterLines="50"/>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Proposal 3: in-band/guard-band/standalone modes are categorized in terms of spectrum deployment mode and is the separate concept from the operation mode</w:t>
      </w:r>
    </w:p>
    <w:p>
      <w:pPr>
        <w:numPr>
          <w:ilvl w:val="0"/>
          <w:numId w:val="3"/>
        </w:numPr>
        <w:spacing w:after="156" w:afterLines="50"/>
        <w:ind w:left="720" w:leftChars="0" w:hanging="360" w:firstLineChars="0"/>
        <w:rPr>
          <w:rFonts w:hint="default" w:ascii="Times New Roman" w:hAnsi="Times New Roman"/>
          <w:b/>
          <w:bCs/>
          <w:sz w:val="20"/>
          <w:szCs w:val="20"/>
          <w:lang w:val="en-US" w:eastAsia="zh-CN"/>
        </w:rPr>
      </w:pPr>
      <w:r>
        <w:rPr>
          <w:rFonts w:hint="default" w:ascii="Times New Roman" w:hAnsi="Times New Roman"/>
          <w:b/>
          <w:bCs/>
          <w:sz w:val="20"/>
          <w:szCs w:val="20"/>
          <w:lang w:val="en-US" w:eastAsia="zh-CN"/>
        </w:rPr>
        <w:t>in-band: A-IoT is operating in-band when it is located within a NR transmission bandwidth configuration but not within the NR minimum guard band.</w:t>
      </w:r>
    </w:p>
    <w:p>
      <w:pPr>
        <w:numPr>
          <w:ilvl w:val="0"/>
          <w:numId w:val="3"/>
        </w:numPr>
        <w:spacing w:after="156" w:afterLines="50"/>
        <w:ind w:left="720" w:leftChars="0" w:hanging="360" w:firstLineChars="0"/>
        <w:rPr>
          <w:rFonts w:hint="default" w:ascii="Times New Roman" w:hAnsi="Times New Roman"/>
          <w:b/>
          <w:bCs/>
          <w:sz w:val="20"/>
          <w:szCs w:val="20"/>
          <w:lang w:val="en-US" w:eastAsia="zh-CN"/>
        </w:rPr>
      </w:pPr>
      <w:r>
        <w:rPr>
          <w:rFonts w:hint="default" w:ascii="Times New Roman" w:hAnsi="Times New Roman"/>
          <w:b/>
          <w:bCs/>
          <w:sz w:val="20"/>
          <w:szCs w:val="20"/>
          <w:lang w:val="en-US" w:eastAsia="zh-CN"/>
        </w:rPr>
        <w:t>guard-band: A-IoT is operating in guard band when it is located within a NR BS channel bandwidth but is not NB-IoT operation in NR in-band.</w:t>
      </w:r>
    </w:p>
    <w:p>
      <w:pPr>
        <w:numPr>
          <w:ilvl w:val="0"/>
          <w:numId w:val="3"/>
        </w:numPr>
        <w:spacing w:after="156" w:afterLines="50"/>
        <w:ind w:left="720" w:leftChars="0" w:hanging="360" w:firstLineChars="0"/>
        <w:rPr>
          <w:rFonts w:hint="default" w:ascii="Times New Roman" w:hAnsi="Times New Roman"/>
          <w:b/>
          <w:bCs/>
          <w:sz w:val="20"/>
          <w:szCs w:val="20"/>
          <w:lang w:val="en-US" w:eastAsia="zh-CN"/>
        </w:rPr>
      </w:pPr>
      <w:r>
        <w:rPr>
          <w:rFonts w:hint="default" w:ascii="Times New Roman" w:hAnsi="Times New Roman"/>
          <w:b/>
          <w:bCs/>
          <w:sz w:val="20"/>
          <w:szCs w:val="20"/>
          <w:lang w:val="en-US" w:eastAsia="zh-CN"/>
        </w:rPr>
        <w:t>standalone: A-IoT utilize its own carrier. A-IoT and NR using different carriers.</w:t>
      </w:r>
    </w:p>
    <w:p>
      <w:pPr>
        <w:spacing w:after="156" w:afterLines="50"/>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Proposal 4: RAN4 should further discuss the operation mode, i.e. whether reader of topology 1 and CW inside topology can share same hardware with existing gNB or not. This issue will impact final power boosting RF requirement definition.</w:t>
      </w:r>
    </w:p>
    <w:p>
      <w:pPr>
        <w:spacing w:after="156" w:afterLines="50"/>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Proposal 5: it</w:t>
      </w:r>
      <w:r>
        <w:rPr>
          <w:rFonts w:hint="default" w:ascii="Times New Roman" w:hAnsi="Times New Roman"/>
          <w:b/>
          <w:bCs/>
          <w:sz w:val="20"/>
          <w:szCs w:val="20"/>
          <w:lang w:val="en-US" w:eastAsia="zh-CN"/>
        </w:rPr>
        <w:t>’</w:t>
      </w:r>
      <w:r>
        <w:rPr>
          <w:rFonts w:hint="eastAsia" w:ascii="Times New Roman" w:hAnsi="Times New Roman"/>
          <w:b/>
          <w:bCs/>
          <w:sz w:val="20"/>
          <w:szCs w:val="20"/>
          <w:lang w:val="en-US" w:eastAsia="zh-CN"/>
        </w:rPr>
        <w:t>s suggested to use following evaluation cases as high priority.</w:t>
      </w:r>
    </w:p>
    <w:tbl>
      <w:tblPr>
        <w:tblStyle w:val="16"/>
        <w:tblW w:w="5000" w:type="pct"/>
        <w:tblCellSpacing w:w="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0" w:type="dxa"/>
          <w:bottom w:w="0" w:type="dxa"/>
          <w:right w:w="0" w:type="dxa"/>
        </w:tblCellMar>
      </w:tblPr>
      <w:tblGrid>
        <w:gridCol w:w="533"/>
        <w:gridCol w:w="623"/>
        <w:gridCol w:w="1570"/>
        <w:gridCol w:w="946"/>
        <w:gridCol w:w="761"/>
        <w:gridCol w:w="1900"/>
        <w:gridCol w:w="1200"/>
        <w:gridCol w:w="942"/>
        <w:gridCol w:w="920"/>
        <w:gridCol w:w="41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460" w:hRule="atLeast"/>
          <w:tblCellSpacing w:w="0" w:type="dxa"/>
        </w:trPr>
        <w:tc>
          <w:tcPr>
            <w:tcW w:w="271"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Cases</w:t>
            </w:r>
          </w:p>
        </w:tc>
        <w:tc>
          <w:tcPr>
            <w:tcW w:w="317"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device</w:t>
            </w:r>
          </w:p>
        </w:tc>
        <w:tc>
          <w:tcPr>
            <w:tcW w:w="800"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co-existence with existing 3GPP</w:t>
            </w:r>
          </w:p>
        </w:tc>
        <w:tc>
          <w:tcPr>
            <w:tcW w:w="482"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Spectrum deploymentmode</w:t>
            </w:r>
          </w:p>
        </w:tc>
        <w:tc>
          <w:tcPr>
            <w:tcW w:w="388"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Deployment scenario and topology</w:t>
            </w:r>
          </w:p>
        </w:tc>
        <w:tc>
          <w:tcPr>
            <w:tcW w:w="968"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spectrum</w:t>
            </w:r>
          </w:p>
        </w:tc>
        <w:tc>
          <w:tcPr>
            <w:tcW w:w="611"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spectrum combination</w:t>
            </w:r>
          </w:p>
        </w:tc>
        <w:tc>
          <w:tcPr>
            <w:tcW w:w="480"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aggressor</w:t>
            </w:r>
          </w:p>
        </w:tc>
        <w:tc>
          <w:tcPr>
            <w:tcW w:w="469"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victim</w:t>
            </w:r>
          </w:p>
        </w:tc>
        <w:tc>
          <w:tcPr>
            <w:tcW w:w="209"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priority</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580" w:hRule="atLeast"/>
          <w:tblCellSpacing w:w="0" w:type="dxa"/>
        </w:trPr>
        <w:tc>
          <w:tcPr>
            <w:tcW w:w="271"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1-1</w:t>
            </w:r>
          </w:p>
        </w:tc>
        <w:tc>
          <w:tcPr>
            <w:tcW w:w="317"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device 1 and 2a</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existing NR/LTE gNB is outdoor and all A-IoT reader/CW/devices are indoors.</w:t>
            </w:r>
          </w:p>
          <w:p>
            <w:pPr>
              <w:pStyle w:val="14"/>
              <w:keepNext w:val="0"/>
              <w:keepLines w:val="0"/>
              <w:widowControl/>
              <w:suppressLineNumbers w:val="0"/>
              <w:jc w:val="center"/>
              <w:rPr>
                <w:b/>
                <w:bCs/>
              </w:rPr>
            </w:pPr>
          </w:p>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existing UE is outdoors.</w:t>
            </w:r>
          </w:p>
          <w:p>
            <w:pPr>
              <w:pStyle w:val="14"/>
              <w:keepNext w:val="0"/>
              <w:keepLines w:val="0"/>
              <w:widowControl/>
              <w:suppressLineNumbers w:val="0"/>
              <w:jc w:val="center"/>
              <w:rPr>
                <w:b/>
                <w:bCs/>
              </w:rPr>
            </w:pPr>
          </w:p>
          <w:p>
            <w:pPr>
              <w:pStyle w:val="14"/>
              <w:keepNext w:val="0"/>
              <w:keepLines w:val="0"/>
              <w:widowControl/>
              <w:suppressLineNumbers w:val="0"/>
              <w:jc w:val="center"/>
              <w:rPr>
                <w:b/>
                <w:bCs/>
              </w:rPr>
            </w:pPr>
          </w:p>
        </w:tc>
        <w:tc>
          <w:tcPr>
            <w:tcW w:w="482"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in-band</w:t>
            </w:r>
          </w:p>
        </w:tc>
        <w:tc>
          <w:tcPr>
            <w:tcW w:w="388"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D1T1-A1</w:t>
            </w:r>
          </w:p>
        </w:tc>
        <w:tc>
          <w:tcPr>
            <w:tcW w:w="968"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FDD UL: CW2D and D2R</w:t>
            </w:r>
          </w:p>
        </w:tc>
        <w:tc>
          <w:tcPr>
            <w:tcW w:w="611"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R2D: DL</w:t>
            </w:r>
          </w:p>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CW2D and D2R: UL</w:t>
            </w:r>
          </w:p>
        </w:tc>
        <w:tc>
          <w:tcPr>
            <w:tcW w:w="480"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CW and/or device</w:t>
            </w:r>
          </w:p>
        </w:tc>
        <w:tc>
          <w:tcPr>
            <w:tcW w:w="469"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FDD UL</w:t>
            </w:r>
          </w:p>
        </w:tc>
        <w:tc>
          <w:tcPr>
            <w:tcW w:w="209"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high</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580" w:hRule="atLeast"/>
          <w:tblCellSpacing w:w="0" w:type="dxa"/>
        </w:trPr>
        <w:tc>
          <w:tcPr>
            <w:tcW w:w="271"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317"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482"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388"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968"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611"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480"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FDD UL</w:t>
            </w:r>
          </w:p>
        </w:tc>
        <w:tc>
          <w:tcPr>
            <w:tcW w:w="469"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device and/or reader</w:t>
            </w:r>
          </w:p>
        </w:tc>
        <w:tc>
          <w:tcPr>
            <w:tcW w:w="209"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400" w:hRule="atLeast"/>
          <w:tblCellSpacing w:w="0" w:type="dxa"/>
        </w:trPr>
        <w:tc>
          <w:tcPr>
            <w:tcW w:w="271"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1-2</w:t>
            </w:r>
          </w:p>
        </w:tc>
        <w:tc>
          <w:tcPr>
            <w:tcW w:w="317"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482"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in-band</w:t>
            </w:r>
          </w:p>
        </w:tc>
        <w:tc>
          <w:tcPr>
            <w:tcW w:w="388"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968"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FDD DL: R2D</w:t>
            </w:r>
          </w:p>
        </w:tc>
        <w:tc>
          <w:tcPr>
            <w:tcW w:w="611"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480"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reader</w:t>
            </w:r>
          </w:p>
        </w:tc>
        <w:tc>
          <w:tcPr>
            <w:tcW w:w="469"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FDD DL</w:t>
            </w:r>
          </w:p>
        </w:tc>
        <w:tc>
          <w:tcPr>
            <w:tcW w:w="209"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high</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360" w:hRule="atLeast"/>
          <w:tblCellSpacing w:w="0" w:type="dxa"/>
        </w:trPr>
        <w:tc>
          <w:tcPr>
            <w:tcW w:w="271"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317"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482"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388"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968"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611"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480"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FDD DL</w:t>
            </w:r>
          </w:p>
        </w:tc>
        <w:tc>
          <w:tcPr>
            <w:tcW w:w="469"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device</w:t>
            </w:r>
          </w:p>
        </w:tc>
        <w:tc>
          <w:tcPr>
            <w:tcW w:w="209"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480" w:hRule="atLeast"/>
          <w:tblCellSpacing w:w="0" w:type="dxa"/>
        </w:trPr>
        <w:tc>
          <w:tcPr>
            <w:tcW w:w="271"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2-1</w:t>
            </w:r>
          </w:p>
        </w:tc>
        <w:tc>
          <w:tcPr>
            <w:tcW w:w="317"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482"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in-band</w:t>
            </w:r>
          </w:p>
        </w:tc>
        <w:tc>
          <w:tcPr>
            <w:tcW w:w="388"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968"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FDD DL: CW2D and D2R</w:t>
            </w:r>
          </w:p>
        </w:tc>
        <w:tc>
          <w:tcPr>
            <w:tcW w:w="611"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R2D: DL</w:t>
            </w:r>
          </w:p>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CW2D and D2R: DL</w:t>
            </w:r>
          </w:p>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including case 2-1 and case 1-2</w:t>
            </w:r>
          </w:p>
        </w:tc>
        <w:tc>
          <w:tcPr>
            <w:tcW w:w="480"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CW and/or device</w:t>
            </w:r>
          </w:p>
        </w:tc>
        <w:tc>
          <w:tcPr>
            <w:tcW w:w="469"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FDD DL</w:t>
            </w:r>
          </w:p>
        </w:tc>
        <w:tc>
          <w:tcPr>
            <w:tcW w:w="209"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high</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700" w:hRule="atLeast"/>
          <w:tblCellSpacing w:w="0" w:type="dxa"/>
        </w:trPr>
        <w:tc>
          <w:tcPr>
            <w:tcW w:w="271"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317"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482"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388"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968"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611"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480"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FDD DL</w:t>
            </w:r>
          </w:p>
        </w:tc>
        <w:tc>
          <w:tcPr>
            <w:tcW w:w="469"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device and/or reader</w:t>
            </w:r>
          </w:p>
        </w:tc>
        <w:tc>
          <w:tcPr>
            <w:tcW w:w="209"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308" w:hRule="atLeast"/>
          <w:tblCellSpacing w:w="0" w:type="dxa"/>
        </w:trPr>
        <w:tc>
          <w:tcPr>
            <w:tcW w:w="271"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3-1</w:t>
            </w:r>
          </w:p>
        </w:tc>
        <w:tc>
          <w:tcPr>
            <w:tcW w:w="317"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482"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in-band</w:t>
            </w:r>
          </w:p>
        </w:tc>
        <w:tc>
          <w:tcPr>
            <w:tcW w:w="388" w:type="pct"/>
            <w:vMerge w:val="restar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D1T1-A2</w:t>
            </w:r>
          </w:p>
        </w:tc>
        <w:tc>
          <w:tcPr>
            <w:tcW w:w="968"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FDD UL: CW2D and D2R</w:t>
            </w:r>
          </w:p>
        </w:tc>
        <w:tc>
          <w:tcPr>
            <w:tcW w:w="611"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R2D: DL</w:t>
            </w:r>
          </w:p>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CW2D and D2R: UL</w:t>
            </w:r>
          </w:p>
        </w:tc>
        <w:tc>
          <w:tcPr>
            <w:tcW w:w="480" w:type="pct"/>
            <w:tcBorders>
              <w:top w:val="single" w:color="000000" w:sz="4" w:space="0"/>
              <w:left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FDD UL</w:t>
            </w:r>
          </w:p>
        </w:tc>
        <w:tc>
          <w:tcPr>
            <w:tcW w:w="469" w:type="pct"/>
            <w:tcBorders>
              <w:top w:val="single" w:color="000000" w:sz="4" w:space="0"/>
              <w:left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device and/or reader</w:t>
            </w:r>
          </w:p>
        </w:tc>
        <w:tc>
          <w:tcPr>
            <w:tcW w:w="209"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high</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2524" w:hRule="atLeast"/>
          <w:tblCellSpacing w:w="0" w:type="dxa"/>
        </w:trPr>
        <w:tc>
          <w:tcPr>
            <w:tcW w:w="271"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4-1</w:t>
            </w:r>
          </w:p>
        </w:tc>
        <w:tc>
          <w:tcPr>
            <w:tcW w:w="317"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482"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in-band</w:t>
            </w:r>
          </w:p>
        </w:tc>
        <w:tc>
          <w:tcPr>
            <w:tcW w:w="388" w:type="pct"/>
            <w:vMerge w:val="continue"/>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jc w:val="center"/>
              <w:rPr>
                <w:rFonts w:hint="eastAsia" w:ascii="宋体"/>
                <w:b/>
                <w:bCs/>
                <w:sz w:val="24"/>
                <w:szCs w:val="24"/>
              </w:rPr>
            </w:pPr>
          </w:p>
        </w:tc>
        <w:tc>
          <w:tcPr>
            <w:tcW w:w="968"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FDD DL: CW2D and D2R</w:t>
            </w:r>
          </w:p>
        </w:tc>
        <w:tc>
          <w:tcPr>
            <w:tcW w:w="611"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R2D: DL</w:t>
            </w:r>
          </w:p>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CW2D and D2R: DL</w:t>
            </w:r>
          </w:p>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including case 4-1 and case 3-2</w:t>
            </w:r>
          </w:p>
        </w:tc>
        <w:tc>
          <w:tcPr>
            <w:tcW w:w="480" w:type="pct"/>
            <w:tcBorders>
              <w:top w:val="single" w:color="000000" w:sz="4" w:space="0"/>
              <w:left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FDD DL</w:t>
            </w:r>
          </w:p>
        </w:tc>
        <w:tc>
          <w:tcPr>
            <w:tcW w:w="469" w:type="pct"/>
            <w:tcBorders>
              <w:top w:val="single" w:color="000000" w:sz="4" w:space="0"/>
              <w:left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device and/or reader</w:t>
            </w:r>
          </w:p>
        </w:tc>
        <w:tc>
          <w:tcPr>
            <w:tcW w:w="209" w:type="pct"/>
            <w:tcBorders>
              <w:top w:val="single" w:color="000000" w:sz="4" w:space="0"/>
              <w:left w:val="single" w:color="000000" w:sz="4" w:space="0"/>
              <w:bottom w:val="single" w:color="000000" w:sz="4" w:space="0"/>
              <w:right w:val="single" w:color="000000" w:sz="4" w:space="0"/>
            </w:tcBorders>
            <w:shd w:val="clear" w:color="auto" w:fill="auto"/>
            <w:tcMar>
              <w:top w:w="20" w:type="dxa"/>
              <w:left w:w="20" w:type="dxa"/>
              <w:bottom w:w="72" w:type="dxa"/>
              <w:right w:w="20" w:type="dxa"/>
            </w:tcMar>
            <w:vAlign w:val="center"/>
          </w:tcPr>
          <w:p>
            <w:pPr>
              <w:pStyle w:val="14"/>
              <w:keepNext w:val="0"/>
              <w:keepLines w:val="0"/>
              <w:widowControl/>
              <w:suppressLineNumbers w:val="0"/>
              <w:jc w:val="center"/>
              <w:rPr>
                <w:b/>
                <w:bCs/>
              </w:rPr>
            </w:pPr>
            <w:r>
              <w:rPr>
                <w:rFonts w:hint="default" w:ascii="Times New Roman" w:hAnsi="Times New Roman" w:cs="Times New Roman"/>
                <w:b/>
                <w:bCs/>
                <w:color w:val="000000"/>
                <w:sz w:val="16"/>
                <w:szCs w:val="16"/>
              </w:rPr>
              <w:t>high</w:t>
            </w:r>
          </w:p>
        </w:tc>
      </w:tr>
    </w:tbl>
    <w:p>
      <w:pPr>
        <w:numPr>
          <w:ilvl w:val="0"/>
          <w:numId w:val="0"/>
        </w:numPr>
        <w:spacing w:after="180"/>
        <w:ind w:leftChars="0"/>
        <w:rPr>
          <w:rFonts w:hint="default" w:ascii="Times New Roman" w:hAnsi="Times New Roman" w:cs="Times New Roman"/>
          <w:b/>
          <w:bCs/>
          <w:sz w:val="20"/>
          <w:szCs w:val="20"/>
          <w:lang w:val="en-US" w:eastAsia="zh-CN"/>
        </w:rPr>
      </w:pPr>
    </w:p>
    <w:p>
      <w:pPr>
        <w:widowControl w:val="0"/>
        <w:numPr>
          <w:ilvl w:val="0"/>
          <w:numId w:val="0"/>
        </w:numPr>
        <w:spacing w:after="180"/>
        <w:jc w:val="both"/>
        <w:rPr>
          <w:rFonts w:hint="eastAsia" w:ascii="Times New Roman" w:hAnsi="Times New Roman" w:cs="Times New Roman"/>
          <w:b/>
          <w:bCs/>
          <w:sz w:val="20"/>
          <w:szCs w:val="20"/>
          <w:lang w:val="en-US" w:eastAsia="zh-CN"/>
        </w:rPr>
      </w:pPr>
      <w:r>
        <w:rPr>
          <w:rFonts w:hint="eastAsia" w:ascii="Times New Roman" w:hAnsi="Times New Roman" w:cs="Times New Roman"/>
          <w:b/>
          <w:bCs/>
          <w:sz w:val="20"/>
          <w:szCs w:val="20"/>
          <w:lang w:val="en-US" w:eastAsia="zh-CN"/>
        </w:rPr>
        <w:t>Observation 2: 1dB SNR degradation is just the experiential performance metric for OFDM signal and whether feasible for A-IoT signal needs further check.</w:t>
      </w:r>
    </w:p>
    <w:p>
      <w:pPr>
        <w:spacing w:after="156" w:afterLines="50"/>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Proposal 6: it</w:t>
      </w:r>
      <w:r>
        <w:rPr>
          <w:rFonts w:hint="default" w:ascii="Times New Roman" w:hAnsi="Times New Roman"/>
          <w:b/>
          <w:bCs/>
          <w:sz w:val="20"/>
          <w:szCs w:val="20"/>
          <w:lang w:val="en-US" w:eastAsia="zh-CN"/>
        </w:rPr>
        <w:t>’</w:t>
      </w:r>
      <w:r>
        <w:rPr>
          <w:rFonts w:hint="eastAsia" w:ascii="Times New Roman" w:hAnsi="Times New Roman"/>
          <w:b/>
          <w:bCs/>
          <w:sz w:val="20"/>
          <w:szCs w:val="20"/>
          <w:lang w:val="en-US" w:eastAsia="zh-CN"/>
        </w:rPr>
        <w:t>s suggested to use 1% BLER as performance metric for all kinds of devices, reader of topology 1 and 2. Relationship between SINR and BLER are based on companies</w:t>
      </w:r>
      <w:r>
        <w:rPr>
          <w:rFonts w:hint="default" w:ascii="Times New Roman" w:hAnsi="Times New Roman"/>
          <w:b/>
          <w:bCs/>
          <w:sz w:val="20"/>
          <w:szCs w:val="20"/>
          <w:lang w:val="en-US" w:eastAsia="zh-CN"/>
        </w:rPr>
        <w:t>’</w:t>
      </w:r>
      <w:r>
        <w:rPr>
          <w:rFonts w:hint="eastAsia" w:ascii="Times New Roman" w:hAnsi="Times New Roman"/>
          <w:b/>
          <w:bCs/>
          <w:sz w:val="20"/>
          <w:szCs w:val="20"/>
          <w:lang w:val="en-US" w:eastAsia="zh-CN"/>
        </w:rPr>
        <w:t xml:space="preserve"> input.</w:t>
      </w:r>
    </w:p>
    <w:p>
      <w:pPr>
        <w:spacing w:after="156" w:afterLines="50"/>
        <w:rPr>
          <w:rFonts w:hint="eastAsia" w:ascii="Times New Roman" w:hAnsi="Times New Roman"/>
          <w:b w:val="0"/>
          <w:bCs w:val="0"/>
          <w:sz w:val="20"/>
          <w:szCs w:val="20"/>
          <w:lang w:val="en-US" w:eastAsia="zh-CN"/>
        </w:rPr>
      </w:pPr>
      <w:r>
        <w:rPr>
          <w:rFonts w:hint="eastAsia" w:ascii="Times New Roman" w:hAnsi="Times New Roman"/>
          <w:b/>
          <w:bCs/>
          <w:sz w:val="20"/>
          <w:szCs w:val="20"/>
          <w:lang w:val="en-US" w:eastAsia="zh-CN"/>
        </w:rPr>
        <w:t>Proposal 7: sensitivity of device should be taken into consideration and only the devices that meet sensitivity threshold should be included into final BLER statistics.</w:t>
      </w:r>
    </w:p>
    <w:p>
      <w:pPr>
        <w:spacing w:after="156" w:afterLines="50"/>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Proposal 8: RAN4 need to discuss the outage probability if 1% BLER is used as performance metric. 5% worst victim is suggested as the candidate value.</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6"/>
        <w:gridCol w:w="1261"/>
        <w:gridCol w:w="1674"/>
        <w:gridCol w:w="1407"/>
        <w:gridCol w:w="1407"/>
        <w:gridCol w:w="1403"/>
        <w:gridCol w:w="14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6" w:type="dxa"/>
            <w:vMerge w:val="restart"/>
            <w:shd w:val="clear" w:color="auto" w:fill="D7D7D7" w:themeFill="background1" w:themeFillShade="D8"/>
          </w:tcPr>
          <w:p>
            <w:pPr>
              <w:spacing w:before="120" w:after="156" w:afterLines="50" w:line="280" w:lineRule="atLeast"/>
              <w:rPr>
                <w:rFonts w:hint="default" w:ascii="Times New Roman" w:hAnsi="Times New Roman"/>
                <w:b w:val="0"/>
                <w:bCs w:val="0"/>
                <w:sz w:val="20"/>
                <w:szCs w:val="20"/>
                <w:vertAlign w:val="baseline"/>
                <w:lang w:val="en-US" w:eastAsia="zh-CN"/>
              </w:rPr>
            </w:pPr>
          </w:p>
        </w:tc>
        <w:tc>
          <w:tcPr>
            <w:tcW w:w="2935" w:type="dxa"/>
            <w:gridSpan w:val="2"/>
            <w:shd w:val="clear" w:color="auto" w:fill="D7D7D7" w:themeFill="background1" w:themeFillShade="D8"/>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In-band</w:t>
            </w:r>
          </w:p>
        </w:tc>
        <w:tc>
          <w:tcPr>
            <w:tcW w:w="2814" w:type="dxa"/>
            <w:gridSpan w:val="2"/>
            <w:shd w:val="clear" w:color="auto" w:fill="D7D7D7" w:themeFill="background1" w:themeFillShade="D8"/>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Guard-band</w:t>
            </w:r>
          </w:p>
        </w:tc>
        <w:tc>
          <w:tcPr>
            <w:tcW w:w="2807" w:type="dxa"/>
            <w:gridSpan w:val="2"/>
            <w:shd w:val="clear" w:color="auto" w:fill="D7D7D7" w:themeFill="background1" w:themeFillShade="D8"/>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standalone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6" w:type="dxa"/>
            <w:vMerge w:val="continue"/>
            <w:shd w:val="clear" w:color="auto" w:fill="D7D7D7" w:themeFill="background1" w:themeFillShade="D8"/>
          </w:tcPr>
          <w:p>
            <w:pPr>
              <w:spacing w:before="120" w:after="156" w:afterLines="50" w:line="280" w:lineRule="atLeast"/>
              <w:rPr>
                <w:rFonts w:hint="default" w:ascii="Times New Roman" w:hAnsi="Times New Roman"/>
                <w:b w:val="0"/>
                <w:bCs w:val="0"/>
                <w:sz w:val="20"/>
                <w:szCs w:val="20"/>
                <w:vertAlign w:val="baseline"/>
                <w:lang w:val="en-US" w:eastAsia="zh-CN"/>
              </w:rPr>
            </w:pPr>
          </w:p>
        </w:tc>
        <w:tc>
          <w:tcPr>
            <w:tcW w:w="1261" w:type="dxa"/>
            <w:shd w:val="clear" w:color="auto" w:fill="D7D7D7" w:themeFill="background1" w:themeFillShade="D8"/>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Tx</w:t>
            </w:r>
          </w:p>
        </w:tc>
        <w:tc>
          <w:tcPr>
            <w:tcW w:w="1674" w:type="dxa"/>
            <w:shd w:val="clear" w:color="auto" w:fill="D7D7D7" w:themeFill="background1" w:themeFillShade="D8"/>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Rx</w:t>
            </w:r>
          </w:p>
        </w:tc>
        <w:tc>
          <w:tcPr>
            <w:tcW w:w="1407" w:type="dxa"/>
            <w:shd w:val="clear" w:color="auto" w:fill="D7D7D7" w:themeFill="background1" w:themeFillShade="D8"/>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Tx</w:t>
            </w:r>
          </w:p>
        </w:tc>
        <w:tc>
          <w:tcPr>
            <w:tcW w:w="1407" w:type="dxa"/>
            <w:shd w:val="clear" w:color="auto" w:fill="D7D7D7" w:themeFill="background1" w:themeFillShade="D8"/>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Rx</w:t>
            </w:r>
          </w:p>
        </w:tc>
        <w:tc>
          <w:tcPr>
            <w:tcW w:w="1403" w:type="dxa"/>
            <w:shd w:val="clear" w:color="auto" w:fill="D7D7D7" w:themeFill="background1" w:themeFillShade="D8"/>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Tx</w:t>
            </w:r>
          </w:p>
        </w:tc>
        <w:tc>
          <w:tcPr>
            <w:tcW w:w="1404" w:type="dxa"/>
            <w:shd w:val="clear" w:color="auto" w:fill="D7D7D7" w:themeFill="background1" w:themeFillShade="D8"/>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Rx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6" w:type="dxa"/>
            <w:shd w:val="clear" w:color="auto" w:fill="D7D7D7" w:themeFill="background1" w:themeFillShade="D8"/>
          </w:tcPr>
          <w:p>
            <w:p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Intermediate UE</w:t>
            </w:r>
          </w:p>
        </w:tc>
        <w:tc>
          <w:tcPr>
            <w:tcW w:w="1261" w:type="dxa"/>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Legacy UE IBE requirement</w:t>
            </w:r>
          </w:p>
        </w:tc>
        <w:tc>
          <w:tcPr>
            <w:tcW w:w="1674" w:type="dxa"/>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ICS=ACS value</w:t>
            </w:r>
          </w:p>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According to SBFD analysis, ICS could be equals to ACS</w:t>
            </w:r>
          </w:p>
        </w:tc>
        <w:tc>
          <w:tcPr>
            <w:tcW w:w="1407" w:type="dxa"/>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Based on companies</w:t>
            </w:r>
            <w:r>
              <w:rPr>
                <w:rFonts w:hint="default" w:ascii="Times New Roman" w:hAnsi="Times New Roman"/>
                <w:b w:val="0"/>
                <w:bCs w:val="0"/>
                <w:sz w:val="20"/>
                <w:szCs w:val="20"/>
                <w:vertAlign w:val="baseline"/>
                <w:lang w:val="en-US" w:eastAsia="zh-CN"/>
              </w:rPr>
              <w:t>’</w:t>
            </w:r>
            <w:r>
              <w:rPr>
                <w:rFonts w:hint="eastAsia" w:ascii="Times New Roman" w:hAnsi="Times New Roman"/>
                <w:b w:val="0"/>
                <w:bCs w:val="0"/>
                <w:sz w:val="20"/>
                <w:szCs w:val="20"/>
                <w:vertAlign w:val="baseline"/>
                <w:lang w:val="en-US" w:eastAsia="zh-CN"/>
              </w:rPr>
              <w:t xml:space="preserve"> input</w:t>
            </w:r>
          </w:p>
        </w:tc>
        <w:tc>
          <w:tcPr>
            <w:tcW w:w="1407" w:type="dxa"/>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Based on companies</w:t>
            </w:r>
            <w:r>
              <w:rPr>
                <w:rFonts w:hint="default" w:ascii="Times New Roman" w:hAnsi="Times New Roman"/>
                <w:b w:val="0"/>
                <w:bCs w:val="0"/>
                <w:sz w:val="20"/>
                <w:szCs w:val="20"/>
                <w:vertAlign w:val="baseline"/>
                <w:lang w:val="en-US" w:eastAsia="zh-CN"/>
              </w:rPr>
              <w:t>’</w:t>
            </w:r>
            <w:r>
              <w:rPr>
                <w:rFonts w:hint="eastAsia" w:ascii="Times New Roman" w:hAnsi="Times New Roman"/>
                <w:b w:val="0"/>
                <w:bCs w:val="0"/>
                <w:sz w:val="20"/>
                <w:szCs w:val="20"/>
                <w:vertAlign w:val="baseline"/>
                <w:lang w:val="en-US" w:eastAsia="zh-CN"/>
              </w:rPr>
              <w:t xml:space="preserve"> input</w:t>
            </w:r>
          </w:p>
        </w:tc>
        <w:tc>
          <w:tcPr>
            <w:tcW w:w="1403" w:type="dxa"/>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Legacy UE ACLR requirement</w:t>
            </w:r>
          </w:p>
        </w:tc>
        <w:tc>
          <w:tcPr>
            <w:tcW w:w="1404" w:type="dxa"/>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Legacy UE ACS requirement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6" w:type="dxa"/>
            <w:shd w:val="clear" w:color="auto" w:fill="D7D7D7" w:themeFill="background1" w:themeFillShade="D8"/>
          </w:tcPr>
          <w:p>
            <w:p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Existing gNB/reader of topology 1</w:t>
            </w:r>
          </w:p>
        </w:tc>
        <w:tc>
          <w:tcPr>
            <w:tcW w:w="1261" w:type="dxa"/>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Based on companies</w:t>
            </w:r>
            <w:r>
              <w:rPr>
                <w:rFonts w:hint="default" w:ascii="Times New Roman" w:hAnsi="Times New Roman"/>
                <w:b w:val="0"/>
                <w:bCs w:val="0"/>
                <w:sz w:val="20"/>
                <w:szCs w:val="20"/>
                <w:vertAlign w:val="baseline"/>
                <w:lang w:val="en-US" w:eastAsia="zh-CN"/>
              </w:rPr>
              <w:t>’</w:t>
            </w:r>
            <w:r>
              <w:rPr>
                <w:rFonts w:hint="eastAsia" w:ascii="Times New Roman" w:hAnsi="Times New Roman"/>
                <w:b w:val="0"/>
                <w:bCs w:val="0"/>
                <w:sz w:val="20"/>
                <w:szCs w:val="20"/>
                <w:vertAlign w:val="baseline"/>
                <w:lang w:val="en-US" w:eastAsia="zh-CN"/>
              </w:rPr>
              <w:t xml:space="preserve"> input since there is no such requirements in 38.104</w:t>
            </w:r>
          </w:p>
        </w:tc>
        <w:tc>
          <w:tcPr>
            <w:tcW w:w="1674" w:type="dxa"/>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Based on companies</w:t>
            </w:r>
            <w:r>
              <w:rPr>
                <w:rFonts w:hint="default" w:ascii="Times New Roman" w:hAnsi="Times New Roman"/>
                <w:b w:val="0"/>
                <w:bCs w:val="0"/>
                <w:sz w:val="20"/>
                <w:szCs w:val="20"/>
                <w:vertAlign w:val="baseline"/>
                <w:lang w:val="en-US" w:eastAsia="zh-CN"/>
              </w:rPr>
              <w:t>’</w:t>
            </w:r>
            <w:r>
              <w:rPr>
                <w:rFonts w:hint="eastAsia" w:ascii="Times New Roman" w:hAnsi="Times New Roman"/>
                <w:b w:val="0"/>
                <w:bCs w:val="0"/>
                <w:sz w:val="20"/>
                <w:szCs w:val="20"/>
                <w:vertAlign w:val="baseline"/>
                <w:lang w:val="en-US" w:eastAsia="zh-CN"/>
              </w:rPr>
              <w:t xml:space="preserve"> input in dB scale</w:t>
            </w:r>
          </w:p>
        </w:tc>
        <w:tc>
          <w:tcPr>
            <w:tcW w:w="1407" w:type="dxa"/>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Based on companies</w:t>
            </w:r>
            <w:r>
              <w:rPr>
                <w:rFonts w:hint="default" w:ascii="Times New Roman" w:hAnsi="Times New Roman"/>
                <w:b w:val="0"/>
                <w:bCs w:val="0"/>
                <w:sz w:val="20"/>
                <w:szCs w:val="20"/>
                <w:vertAlign w:val="baseline"/>
                <w:lang w:val="en-US" w:eastAsia="zh-CN"/>
              </w:rPr>
              <w:t>’</w:t>
            </w:r>
            <w:r>
              <w:rPr>
                <w:rFonts w:hint="eastAsia" w:ascii="Times New Roman" w:hAnsi="Times New Roman"/>
                <w:b w:val="0"/>
                <w:bCs w:val="0"/>
                <w:sz w:val="20"/>
                <w:szCs w:val="20"/>
                <w:vertAlign w:val="baseline"/>
                <w:lang w:val="en-US" w:eastAsia="zh-CN"/>
              </w:rPr>
              <w:t xml:space="preserve"> input</w:t>
            </w:r>
          </w:p>
        </w:tc>
        <w:tc>
          <w:tcPr>
            <w:tcW w:w="1407" w:type="dxa"/>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Based on companies</w:t>
            </w:r>
            <w:r>
              <w:rPr>
                <w:rFonts w:hint="default" w:ascii="Times New Roman" w:hAnsi="Times New Roman"/>
                <w:b w:val="0"/>
                <w:bCs w:val="0"/>
                <w:sz w:val="20"/>
                <w:szCs w:val="20"/>
                <w:vertAlign w:val="baseline"/>
                <w:lang w:val="en-US" w:eastAsia="zh-CN"/>
              </w:rPr>
              <w:t>’</w:t>
            </w:r>
            <w:r>
              <w:rPr>
                <w:rFonts w:hint="eastAsia" w:ascii="Times New Roman" w:hAnsi="Times New Roman"/>
                <w:b w:val="0"/>
                <w:bCs w:val="0"/>
                <w:sz w:val="20"/>
                <w:szCs w:val="20"/>
                <w:vertAlign w:val="baseline"/>
                <w:lang w:val="en-US" w:eastAsia="zh-CN"/>
              </w:rPr>
              <w:t xml:space="preserve"> input</w:t>
            </w:r>
          </w:p>
        </w:tc>
        <w:tc>
          <w:tcPr>
            <w:tcW w:w="1403" w:type="dxa"/>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Legacy gNB ACLR requirement</w:t>
            </w:r>
          </w:p>
        </w:tc>
        <w:tc>
          <w:tcPr>
            <w:tcW w:w="1404" w:type="dxa"/>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Legacy gNB ACS requirement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6" w:type="dxa"/>
            <w:vMerge w:val="restart"/>
            <w:shd w:val="clear" w:color="auto" w:fill="D7D7D7" w:themeFill="background1" w:themeFillShade="D8"/>
          </w:tcPr>
          <w:p>
            <w:p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devices</w:t>
            </w:r>
          </w:p>
        </w:tc>
        <w:tc>
          <w:tcPr>
            <w:tcW w:w="1261" w:type="dxa"/>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Based on BB LPF performance</w:t>
            </w:r>
          </w:p>
        </w:tc>
        <w:tc>
          <w:tcPr>
            <w:tcW w:w="1674" w:type="dxa"/>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Based on BB LPF performance</w:t>
            </w:r>
          </w:p>
        </w:tc>
        <w:tc>
          <w:tcPr>
            <w:tcW w:w="1407" w:type="dxa"/>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Based on BB LPF performance</w:t>
            </w:r>
          </w:p>
        </w:tc>
        <w:tc>
          <w:tcPr>
            <w:tcW w:w="1407" w:type="dxa"/>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Based on BB LPF performance</w:t>
            </w:r>
          </w:p>
        </w:tc>
        <w:tc>
          <w:tcPr>
            <w:tcW w:w="2807" w:type="dxa"/>
            <w:gridSpan w:val="2"/>
            <w:vAlign w:val="center"/>
          </w:tcPr>
          <w:p>
            <w:pPr>
              <w:spacing w:before="120" w:after="156" w:afterLines="50" w:line="280" w:lineRule="atLeast"/>
              <w:jc w:val="center"/>
              <w:rPr>
                <w:rFonts w:hint="eastAsia"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Further discuss whether we also consider RF filter suppression on top of BB LPF.</w:t>
            </w:r>
          </w:p>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Separate value for different devices types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6" w:type="dxa"/>
            <w:vMerge w:val="continue"/>
            <w:shd w:val="clear" w:color="auto" w:fill="D7D7D7" w:themeFill="background1" w:themeFillShade="D8"/>
          </w:tcPr>
          <w:p>
            <w:pPr>
              <w:spacing w:before="120" w:after="156" w:afterLines="50" w:line="280" w:lineRule="atLeast"/>
              <w:rPr>
                <w:rFonts w:hint="eastAsia" w:ascii="Times New Roman" w:hAnsi="Times New Roman"/>
                <w:b w:val="0"/>
                <w:bCs w:val="0"/>
                <w:sz w:val="20"/>
                <w:szCs w:val="20"/>
                <w:vertAlign w:val="baseline"/>
                <w:lang w:val="en-US" w:eastAsia="zh-CN"/>
              </w:rPr>
            </w:pPr>
          </w:p>
        </w:tc>
        <w:tc>
          <w:tcPr>
            <w:tcW w:w="8556" w:type="dxa"/>
            <w:gridSpan w:val="6"/>
            <w:vAlign w:val="center"/>
          </w:tcPr>
          <w:p>
            <w:pPr>
              <w:spacing w:before="120" w:after="156" w:afterLines="50" w:line="280" w:lineRule="atLeast"/>
              <w:jc w:val="center"/>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 xml:space="preserve">One alternative solution is that we directly use filter into evaluation without transforming it into IBE/ICS/ACS requirements. </w:t>
            </w:r>
          </w:p>
        </w:tc>
      </w:tr>
    </w:tbl>
    <w:p>
      <w:pPr>
        <w:spacing w:after="156" w:afterLines="50"/>
        <w:rPr>
          <w:rFonts w:hint="eastAsia" w:ascii="Times New Roman" w:hAnsi="Times New Roman"/>
          <w:b/>
          <w:bCs/>
          <w:sz w:val="20"/>
          <w:szCs w:val="20"/>
          <w:lang w:val="en-US" w:eastAsia="zh-CN"/>
        </w:rPr>
      </w:pP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82"/>
        <w:gridCol w:w="30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D7D7D7" w:themeFill="background1" w:themeFillShade="D8"/>
          </w:tcPr>
          <w:p>
            <w:p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Transmission bandwidth</w:t>
            </w:r>
          </w:p>
        </w:tc>
        <w:tc>
          <w:tcPr>
            <w:tcW w:w="0" w:type="auto"/>
          </w:tcPr>
          <w:p>
            <w:p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1PRB as baseline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D7D7D7" w:themeFill="background1" w:themeFillShade="D8"/>
          </w:tcPr>
          <w:p>
            <w:p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Cutoff frequency</w:t>
            </w:r>
          </w:p>
        </w:tc>
        <w:tc>
          <w:tcPr>
            <w:tcW w:w="0" w:type="auto"/>
          </w:tcPr>
          <w:p>
            <w:pPr>
              <w:spacing w:before="120" w:after="156" w:afterLines="50" w:line="280" w:lineRule="atLeast"/>
              <w:rPr>
                <w:rFonts w:hint="eastAsia"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FFS</w:t>
            </w:r>
          </w:p>
          <w:p>
            <w:p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e.g. 1PRB or related to DL data rate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D7D7D7" w:themeFill="background1" w:themeFillShade="D8"/>
          </w:tcPr>
          <w:p>
            <w:p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Filter type</w:t>
            </w:r>
          </w:p>
        </w:tc>
        <w:tc>
          <w:tcPr>
            <w:tcW w:w="0" w:type="auto"/>
          </w:tcPr>
          <w:p>
            <w:p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3th/5th butterworth filter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D7D7D7" w:themeFill="background1" w:themeFillShade="D8"/>
          </w:tcPr>
          <w:p>
            <w:p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Guard band</w:t>
            </w:r>
          </w:p>
        </w:tc>
        <w:tc>
          <w:tcPr>
            <w:tcW w:w="0" w:type="auto"/>
          </w:tcPr>
          <w:p>
            <w:pPr>
              <w:spacing w:before="120" w:after="156" w:afterLines="50" w:line="280" w:lineRule="atLeast"/>
              <w:rPr>
                <w:rFonts w:hint="eastAsia"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1PRB, 2PRB, etc</w:t>
            </w:r>
          </w:p>
          <w:p>
            <w:p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increasing in steps of 1dB</w:t>
            </w:r>
          </w:p>
        </w:tc>
      </w:tr>
    </w:tbl>
    <w:p>
      <w:pPr>
        <w:spacing w:after="156" w:afterLines="50"/>
        <w:rPr>
          <w:rFonts w:hint="default" w:ascii="Times New Roman" w:hAnsi="Times New Roman"/>
          <w:b/>
          <w:bCs/>
          <w:sz w:val="20"/>
          <w:szCs w:val="20"/>
          <w:lang w:val="en-US" w:eastAsia="zh-CN"/>
        </w:rPr>
      </w:pPr>
    </w:p>
    <w:p>
      <w:pPr>
        <w:spacing w:after="156" w:afterLines="50"/>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Proposal 9: it</w:t>
      </w:r>
      <w:r>
        <w:rPr>
          <w:rFonts w:hint="default" w:ascii="Times New Roman" w:hAnsi="Times New Roman"/>
          <w:b/>
          <w:bCs/>
          <w:sz w:val="20"/>
          <w:szCs w:val="20"/>
          <w:lang w:val="en-US" w:eastAsia="zh-CN"/>
        </w:rPr>
        <w:t>’</w:t>
      </w:r>
      <w:r>
        <w:rPr>
          <w:rFonts w:hint="eastAsia" w:ascii="Times New Roman" w:hAnsi="Times New Roman"/>
          <w:b/>
          <w:bCs/>
          <w:sz w:val="20"/>
          <w:szCs w:val="20"/>
          <w:lang w:val="en-US" w:eastAsia="zh-CN"/>
        </w:rPr>
        <w:t>s suggested to use above adjacent RB/carrier Tx leakage and Rx suppression characteristics in  evaluation as starting point. For devices</w:t>
      </w:r>
      <w:r>
        <w:rPr>
          <w:rFonts w:hint="default" w:ascii="Times New Roman" w:hAnsi="Times New Roman"/>
          <w:b/>
          <w:bCs/>
          <w:sz w:val="20"/>
          <w:szCs w:val="20"/>
          <w:lang w:val="en-US" w:eastAsia="zh-CN"/>
        </w:rPr>
        <w:t>’</w:t>
      </w:r>
      <w:r>
        <w:rPr>
          <w:rFonts w:hint="eastAsia" w:ascii="Times New Roman" w:hAnsi="Times New Roman"/>
          <w:b/>
          <w:bCs/>
          <w:sz w:val="20"/>
          <w:szCs w:val="20"/>
          <w:lang w:val="en-US" w:eastAsia="zh-CN"/>
        </w:rPr>
        <w:t xml:space="preserve"> ACS, it depends on devices RF architecture and RAN4 needs further discuss.</w:t>
      </w:r>
    </w:p>
    <w:p>
      <w:pPr>
        <w:numPr>
          <w:ilvl w:val="0"/>
          <w:numId w:val="0"/>
        </w:numPr>
        <w:spacing w:after="156" w:afterLines="50"/>
        <w:ind w:leftChars="0"/>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Proposal 10: following CW interference cancellation evaluation methodology is suggested. Besides, RAN4 needs to further discuss whether it is still necessary to evaluate -A2 evaluation case if CW interference cancellation capability is already much high, i.e. remaining CW interference is much lower than noise floor.</w:t>
      </w:r>
    </w:p>
    <w:p>
      <w:pPr>
        <w:numPr>
          <w:ilvl w:val="0"/>
          <w:numId w:val="7"/>
        </w:numPr>
        <w:spacing w:after="156" w:afterLines="50"/>
        <w:ind w:left="720" w:leftChars="0" w:hanging="360" w:firstLineChars="0"/>
        <w:rPr>
          <w:rFonts w:hint="default" w:ascii="Times New Roman" w:hAnsi="Times New Roman"/>
          <w:b/>
          <w:bCs/>
          <w:sz w:val="20"/>
          <w:szCs w:val="20"/>
          <w:lang w:val="en-US" w:eastAsia="zh-CN"/>
        </w:rPr>
      </w:pPr>
      <w:r>
        <w:rPr>
          <w:rFonts w:hint="default" w:ascii="Times New Roman" w:hAnsi="Times New Roman"/>
          <w:b/>
          <w:bCs/>
          <w:sz w:val="20"/>
          <w:szCs w:val="20"/>
          <w:lang w:val="en-US" w:eastAsia="zh-CN"/>
        </w:rPr>
        <w:t>Meth</w:t>
      </w:r>
      <w:r>
        <w:rPr>
          <w:rFonts w:hint="eastAsia" w:ascii="Times New Roman" w:hAnsi="Times New Roman"/>
          <w:b/>
          <w:bCs/>
          <w:sz w:val="20"/>
          <w:szCs w:val="20"/>
          <w:lang w:val="en-US" w:eastAsia="zh-CN"/>
        </w:rPr>
        <w:t>o</w:t>
      </w:r>
      <w:r>
        <w:rPr>
          <w:rFonts w:hint="default" w:ascii="Times New Roman" w:hAnsi="Times New Roman"/>
          <w:b/>
          <w:bCs/>
          <w:sz w:val="20"/>
          <w:szCs w:val="20"/>
          <w:lang w:val="en-US" w:eastAsia="zh-CN"/>
        </w:rPr>
        <w:t>dology: residual self-interference= Tx power - self-interference cancellation capability</w:t>
      </w:r>
    </w:p>
    <w:p>
      <w:pPr>
        <w:numPr>
          <w:ilvl w:val="0"/>
          <w:numId w:val="7"/>
        </w:numPr>
        <w:spacing w:after="156" w:afterLines="50"/>
        <w:ind w:left="720" w:leftChars="0" w:hanging="360" w:firstLineChars="0"/>
        <w:rPr>
          <w:rFonts w:hint="default" w:ascii="Times New Roman" w:hAnsi="Times New Roman"/>
          <w:b/>
          <w:bCs/>
          <w:sz w:val="20"/>
          <w:szCs w:val="20"/>
          <w:lang w:val="en-US" w:eastAsia="zh-CN"/>
        </w:rPr>
      </w:pPr>
      <w:r>
        <w:rPr>
          <w:rFonts w:hint="default" w:ascii="Times New Roman" w:hAnsi="Times New Roman"/>
          <w:b/>
          <w:bCs/>
          <w:sz w:val="20"/>
          <w:szCs w:val="20"/>
          <w:lang w:val="en-US" w:eastAsia="zh-CN"/>
        </w:rPr>
        <w:t>self-interference cancellation capability = spatial isolation + RF cancellation + digital cancellation if applicable</w:t>
      </w:r>
    </w:p>
    <w:p>
      <w:pPr>
        <w:numPr>
          <w:ilvl w:val="0"/>
          <w:numId w:val="7"/>
        </w:numPr>
        <w:spacing w:after="156" w:afterLines="50"/>
        <w:ind w:left="720" w:leftChars="0" w:hanging="360" w:firstLineChars="0"/>
        <w:rPr>
          <w:rFonts w:hint="default" w:ascii="Times New Roman" w:hAnsi="Times New Roman"/>
          <w:b/>
          <w:bCs/>
          <w:sz w:val="20"/>
          <w:szCs w:val="20"/>
          <w:lang w:val="en-US" w:eastAsia="zh-CN"/>
        </w:rPr>
      </w:pPr>
      <w:r>
        <w:rPr>
          <w:rFonts w:hint="default" w:ascii="Times New Roman" w:hAnsi="Times New Roman"/>
          <w:b/>
          <w:bCs/>
          <w:sz w:val="20"/>
          <w:szCs w:val="20"/>
          <w:lang w:val="en-US" w:eastAsia="zh-CN"/>
        </w:rPr>
        <w:t>spatial isolation is based on isolation distance assumption</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81"/>
        <w:gridCol w:w="3707"/>
        <w:gridCol w:w="39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1" w:type="dxa"/>
            <w:shd w:val="clear" w:color="auto" w:fill="D7D7D7" w:themeFill="background1" w:themeFillShade="D8"/>
          </w:tcPr>
          <w:p>
            <w:pPr>
              <w:numPr>
                <w:ilvl w:val="0"/>
                <w:numId w:val="0"/>
              </w:numPr>
              <w:spacing w:before="120" w:after="156" w:afterLines="50" w:line="280" w:lineRule="atLeast"/>
              <w:rPr>
                <w:rFonts w:hint="default" w:ascii="Times New Roman" w:hAnsi="Times New Roman"/>
                <w:b w:val="0"/>
                <w:bCs w:val="0"/>
                <w:sz w:val="20"/>
                <w:szCs w:val="20"/>
                <w:vertAlign w:val="baseline"/>
                <w:lang w:val="en-US" w:eastAsia="zh-CN"/>
              </w:rPr>
            </w:pPr>
          </w:p>
        </w:tc>
        <w:tc>
          <w:tcPr>
            <w:tcW w:w="3707" w:type="dxa"/>
            <w:shd w:val="clear" w:color="auto" w:fill="D7D7D7" w:themeFill="background1" w:themeFillShade="D8"/>
          </w:tcPr>
          <w:p>
            <w:pPr>
              <w:numPr>
                <w:ilvl w:val="0"/>
                <w:numId w:val="0"/>
              </w:num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Tx power</w:t>
            </w:r>
          </w:p>
        </w:tc>
        <w:tc>
          <w:tcPr>
            <w:tcW w:w="3974" w:type="dxa"/>
            <w:shd w:val="clear" w:color="auto" w:fill="D7D7D7" w:themeFill="background1" w:themeFillShade="D8"/>
          </w:tcPr>
          <w:p>
            <w:pPr>
              <w:numPr>
                <w:ilvl w:val="0"/>
                <w:numId w:val="0"/>
              </w:num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Antenna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1" w:type="dxa"/>
            <w:shd w:val="clear" w:color="auto" w:fill="D7D7D7" w:themeFill="background1" w:themeFillShade="D8"/>
          </w:tcPr>
          <w:p>
            <w:pPr>
              <w:numPr>
                <w:ilvl w:val="0"/>
                <w:numId w:val="0"/>
              </w:num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Intermediate UE</w:t>
            </w:r>
          </w:p>
        </w:tc>
        <w:tc>
          <w:tcPr>
            <w:tcW w:w="3707" w:type="dxa"/>
          </w:tcPr>
          <w:p>
            <w:pPr>
              <w:numPr>
                <w:ilvl w:val="0"/>
                <w:numId w:val="0"/>
              </w:num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23dBm and 26dBm/PRB</w:t>
            </w:r>
          </w:p>
        </w:tc>
        <w:tc>
          <w:tcPr>
            <w:tcW w:w="3974" w:type="dxa"/>
          </w:tcPr>
          <w:p>
            <w:pPr>
              <w:numPr>
                <w:ilvl w:val="0"/>
                <w:numId w:val="0"/>
              </w:numPr>
              <w:spacing w:before="120" w:after="156" w:afterLines="50" w:line="280" w:lineRule="atLeast"/>
              <w:rPr>
                <w:rFonts w:hint="default" w:ascii="Times New Roman" w:hAnsi="Times New Roman"/>
                <w:b w:val="0"/>
                <w:bCs w:val="0"/>
                <w:sz w:val="20"/>
                <w:szCs w:val="20"/>
                <w:vertAlign w:val="baseline"/>
                <w:lang w:val="en-US" w:eastAsia="zh-CN"/>
              </w:rPr>
            </w:pPr>
            <w:r>
              <w:rPr>
                <w:rFonts w:hint="default" w:ascii="Times New Roman" w:hAnsi="Times New Roman"/>
                <w:b w:val="0"/>
                <w:bCs w:val="0"/>
                <w:sz w:val="20"/>
                <w:szCs w:val="20"/>
                <w:vertAlign w:val="baseline"/>
                <w:lang w:val="en-US" w:eastAsia="zh-CN"/>
              </w:rPr>
              <w:t>omni-direction</w:t>
            </w:r>
            <w:r>
              <w:rPr>
                <w:rFonts w:hint="eastAsia" w:ascii="Times New Roman" w:hAnsi="Times New Roman"/>
                <w:b w:val="0"/>
                <w:bCs w:val="0"/>
                <w:sz w:val="20"/>
                <w:szCs w:val="20"/>
                <w:vertAlign w:val="baseline"/>
                <w:lang w:val="en-US" w:eastAsia="zh-CN"/>
              </w:rPr>
              <w:t xml:space="preserve"> antenna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1" w:type="dxa"/>
            <w:shd w:val="clear" w:color="auto" w:fill="D7D7D7" w:themeFill="background1" w:themeFillShade="D8"/>
          </w:tcPr>
          <w:p>
            <w:pPr>
              <w:numPr>
                <w:ilvl w:val="0"/>
                <w:numId w:val="0"/>
              </w:num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device</w:t>
            </w:r>
          </w:p>
        </w:tc>
        <w:tc>
          <w:tcPr>
            <w:tcW w:w="3707" w:type="dxa"/>
          </w:tcPr>
          <w:p>
            <w:pPr>
              <w:numPr>
                <w:ilvl w:val="0"/>
                <w:numId w:val="0"/>
              </w:num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Align with RAN1 agreements</w:t>
            </w:r>
          </w:p>
        </w:tc>
        <w:tc>
          <w:tcPr>
            <w:tcW w:w="3974" w:type="dxa"/>
          </w:tcPr>
          <w:p>
            <w:pPr>
              <w:numPr>
                <w:ilvl w:val="0"/>
                <w:numId w:val="0"/>
              </w:num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Omni direction antenna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1" w:type="dxa"/>
            <w:shd w:val="clear" w:color="auto" w:fill="D7D7D7" w:themeFill="background1" w:themeFillShade="D8"/>
          </w:tcPr>
          <w:p>
            <w:pPr>
              <w:numPr>
                <w:ilvl w:val="0"/>
                <w:numId w:val="0"/>
              </w:num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CW for topology 1</w:t>
            </w:r>
          </w:p>
        </w:tc>
        <w:tc>
          <w:tcPr>
            <w:tcW w:w="3707" w:type="dxa"/>
          </w:tcPr>
          <w:p>
            <w:pPr>
              <w:numPr>
                <w:ilvl w:val="0"/>
                <w:numId w:val="0"/>
              </w:num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Topology 1:</w:t>
            </w:r>
          </w:p>
          <w:p>
            <w:pPr>
              <w:numPr>
                <w:ilvl w:val="0"/>
                <w:numId w:val="9"/>
              </w:numPr>
              <w:spacing w:before="120" w:after="156" w:afterLines="50" w:line="280" w:lineRule="atLeast"/>
              <w:ind w:left="720" w:leftChars="0" w:hanging="360" w:firstLineChars="0"/>
              <w:rPr>
                <w:rFonts w:hint="eastAsia"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33dBm/PRB when using DL spectrum,</w:t>
            </w:r>
          </w:p>
          <w:p>
            <w:pPr>
              <w:numPr>
                <w:ilvl w:val="0"/>
                <w:numId w:val="9"/>
              </w:numPr>
              <w:spacing w:before="120" w:after="156" w:afterLines="50" w:line="280" w:lineRule="atLeast"/>
              <w:ind w:left="720" w:leftChars="0" w:hanging="360" w:firstLineChars="0"/>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23/26dBm/PRB when using UL spectrum to meet regulatory requirements</w:t>
            </w:r>
          </w:p>
        </w:tc>
        <w:tc>
          <w:tcPr>
            <w:tcW w:w="3974" w:type="dxa"/>
          </w:tcPr>
          <w:p>
            <w:pPr>
              <w:numPr>
                <w:ilvl w:val="0"/>
                <w:numId w:val="0"/>
              </w:numPr>
              <w:spacing w:before="120" w:after="156" w:afterLines="50" w:line="280" w:lineRule="atLeast"/>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Topology 1:</w:t>
            </w:r>
          </w:p>
          <w:p>
            <w:pPr>
              <w:numPr>
                <w:ilvl w:val="0"/>
                <w:numId w:val="9"/>
              </w:numPr>
              <w:spacing w:before="120" w:after="156" w:afterLines="50" w:line="280" w:lineRule="atLeast"/>
              <w:ind w:left="720" w:leftChars="0" w:hanging="360" w:firstLineChars="0"/>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Inside topology: 2 or 4 antenna elements, with (M,N,P,Mg,Ng) = (1,1,2,1,1) or (M,N,P,Mg,Ng) = (2,1,2,1,1)</w:t>
            </w:r>
          </w:p>
          <w:p>
            <w:pPr>
              <w:numPr>
                <w:ilvl w:val="0"/>
                <w:numId w:val="9"/>
              </w:numPr>
              <w:spacing w:before="120" w:after="156" w:afterLines="50" w:line="280" w:lineRule="atLeast"/>
              <w:ind w:left="720" w:leftChars="0" w:hanging="360" w:firstLineChars="0"/>
              <w:rPr>
                <w:rFonts w:hint="default" w:ascii="Times New Roman" w:hAnsi="Times New Roman"/>
                <w:b w:val="0"/>
                <w:bCs w:val="0"/>
                <w:sz w:val="20"/>
                <w:szCs w:val="20"/>
                <w:vertAlign w:val="baseline"/>
                <w:lang w:val="en-US" w:eastAsia="zh-CN"/>
              </w:rPr>
            </w:pPr>
            <w:r>
              <w:rPr>
                <w:rFonts w:hint="eastAsia" w:ascii="Times New Roman" w:hAnsi="Times New Roman"/>
                <w:b w:val="0"/>
                <w:bCs w:val="0"/>
                <w:sz w:val="20"/>
                <w:szCs w:val="20"/>
                <w:vertAlign w:val="baseline"/>
                <w:lang w:val="en-US" w:eastAsia="zh-CN"/>
              </w:rPr>
              <w:t>Outside topology and using UL spectrum: omni-direction antenna</w:t>
            </w:r>
          </w:p>
        </w:tc>
      </w:tr>
    </w:tbl>
    <w:p>
      <w:pPr>
        <w:numPr>
          <w:ilvl w:val="0"/>
          <w:numId w:val="0"/>
        </w:numPr>
        <w:spacing w:after="156" w:afterLines="50"/>
        <w:ind w:leftChars="0"/>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Proposal 11: it</w:t>
      </w:r>
      <w:r>
        <w:rPr>
          <w:rFonts w:hint="default" w:ascii="Times New Roman" w:hAnsi="Times New Roman"/>
          <w:b/>
          <w:bCs/>
          <w:sz w:val="20"/>
          <w:szCs w:val="20"/>
          <w:lang w:val="en-US" w:eastAsia="zh-CN"/>
        </w:rPr>
        <w:t>’</w:t>
      </w:r>
      <w:r>
        <w:rPr>
          <w:rFonts w:hint="eastAsia" w:ascii="Times New Roman" w:hAnsi="Times New Roman"/>
          <w:b/>
          <w:bCs/>
          <w:sz w:val="20"/>
          <w:szCs w:val="20"/>
          <w:lang w:val="en-US" w:eastAsia="zh-CN"/>
        </w:rPr>
        <w:t>s suggested to use above power and antenna configuration related evaluation parameters.</w:t>
      </w:r>
    </w:p>
    <w:tbl>
      <w:tblPr>
        <w:tblStyle w:val="16"/>
        <w:tblW w:w="8120" w:type="dxa"/>
        <w:jc w:val="center"/>
        <w:tblCellSpacing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0" w:type="dxa"/>
          <w:bottom w:w="0" w:type="dxa"/>
          <w:right w:w="0" w:type="dxa"/>
        </w:tblCellMar>
      </w:tblPr>
      <w:tblGrid>
        <w:gridCol w:w="1760"/>
        <w:gridCol w:w="636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20" w:hRule="atLeast"/>
          <w:tblCellSpacing w:w="0" w:type="dxa"/>
          <w:jc w:val="center"/>
        </w:trPr>
        <w:tc>
          <w:tcPr>
            <w:tcW w:w="1760" w:type="dxa"/>
            <w:tcBorders>
              <w:top w:val="single" w:color="080000" w:sz="4" w:space="0"/>
              <w:left w:val="single" w:color="080000" w:sz="4" w:space="0"/>
              <w:bottom w:val="single" w:color="080000" w:sz="4" w:space="0"/>
              <w:right w:val="single" w:color="080000" w:sz="4" w:space="0"/>
            </w:tcBorders>
            <w:shd w:val="clear" w:color="auto" w:fill="D7D7D7" w:themeFill="background1" w:themeFillShade="D8"/>
            <w:tcMar>
              <w:left w:w="108" w:type="dxa"/>
              <w:right w:w="108" w:type="dxa"/>
            </w:tcMar>
            <w:vAlign w:val="top"/>
          </w:tcPr>
          <w:p>
            <w:pPr>
              <w:pStyle w:val="14"/>
              <w:keepNext w:val="0"/>
              <w:keepLines w:val="0"/>
              <w:widowControl/>
              <w:suppressLineNumbers w:val="0"/>
              <w:rPr>
                <w:sz w:val="20"/>
                <w:szCs w:val="20"/>
                <w:highlight w:val="none"/>
              </w:rPr>
            </w:pPr>
            <w:r>
              <w:rPr>
                <w:rFonts w:hint="default" w:ascii="Times New Roman" w:hAnsi="Times New Roman" w:cs="Times New Roman"/>
                <w:color w:val="000000"/>
                <w:sz w:val="20"/>
                <w:szCs w:val="20"/>
                <w:highlight w:val="none"/>
              </w:rPr>
              <w:t>Hall size</w:t>
            </w:r>
          </w:p>
        </w:tc>
        <w:tc>
          <w:tcPr>
            <w:tcW w:w="636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top"/>
          </w:tcPr>
          <w:p>
            <w:pPr>
              <w:pStyle w:val="14"/>
              <w:keepNext w:val="0"/>
              <w:keepLines w:val="0"/>
              <w:widowControl/>
              <w:suppressLineNumbers w:val="0"/>
              <w:rPr>
                <w:sz w:val="20"/>
                <w:szCs w:val="20"/>
                <w:highlight w:val="none"/>
              </w:rPr>
            </w:pPr>
            <w:r>
              <w:rPr>
                <w:rFonts w:hint="default" w:ascii="Times New Roman" w:hAnsi="Times New Roman" w:cs="Times New Roman"/>
                <w:color w:val="000000"/>
                <w:sz w:val="20"/>
                <w:szCs w:val="20"/>
                <w:highlight w:val="none"/>
              </w:rPr>
              <w:t>InF-SH: 300x150 m InF-DH:</w:t>
            </w:r>
            <w:r>
              <w:rPr>
                <w:rFonts w:hint="default" w:ascii="Times New Roman" w:hAnsi="Times New Roman" w:cs="Times New Roman"/>
                <w:b/>
                <w:bCs/>
                <w:color w:val="000000"/>
                <w:sz w:val="20"/>
                <w:szCs w:val="20"/>
                <w:highlight w:val="none"/>
              </w:rPr>
              <w:t> 120x60 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40" w:hRule="atLeast"/>
          <w:tblCellSpacing w:w="0" w:type="dxa"/>
          <w:jc w:val="center"/>
        </w:trPr>
        <w:tc>
          <w:tcPr>
            <w:tcW w:w="1760" w:type="dxa"/>
            <w:tcBorders>
              <w:top w:val="single" w:color="080000" w:sz="4" w:space="0"/>
              <w:left w:val="single" w:color="080000" w:sz="4" w:space="0"/>
              <w:bottom w:val="single" w:color="080000" w:sz="4" w:space="0"/>
              <w:right w:val="single" w:color="080000" w:sz="4" w:space="0"/>
            </w:tcBorders>
            <w:shd w:val="clear" w:color="auto" w:fill="D7D7D7" w:themeFill="background1" w:themeFillShade="D8"/>
            <w:tcMar>
              <w:left w:w="108" w:type="dxa"/>
              <w:right w:w="108" w:type="dxa"/>
            </w:tcMar>
            <w:vAlign w:val="top"/>
          </w:tcPr>
          <w:p>
            <w:pPr>
              <w:pStyle w:val="14"/>
              <w:keepNext w:val="0"/>
              <w:keepLines w:val="0"/>
              <w:widowControl/>
              <w:suppressLineNumbers w:val="0"/>
              <w:rPr>
                <w:sz w:val="20"/>
                <w:szCs w:val="20"/>
              </w:rPr>
            </w:pPr>
            <w:r>
              <w:rPr>
                <w:rFonts w:hint="default" w:ascii="Times New Roman" w:hAnsi="Times New Roman" w:cs="Times New Roman"/>
                <w:color w:val="000000"/>
                <w:sz w:val="20"/>
                <w:szCs w:val="20"/>
              </w:rPr>
              <w:t>Room height</w:t>
            </w:r>
          </w:p>
        </w:tc>
        <w:tc>
          <w:tcPr>
            <w:tcW w:w="636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top"/>
          </w:tcPr>
          <w:p>
            <w:pPr>
              <w:pStyle w:val="14"/>
              <w:keepNext w:val="0"/>
              <w:keepLines w:val="0"/>
              <w:widowControl/>
              <w:suppressLineNumbers w:val="0"/>
              <w:rPr>
                <w:sz w:val="20"/>
                <w:szCs w:val="20"/>
              </w:rPr>
            </w:pPr>
            <w:r>
              <w:rPr>
                <w:rFonts w:hint="default" w:ascii="Times New Roman" w:hAnsi="Times New Roman" w:cs="Times New Roman"/>
                <w:color w:val="000000"/>
                <w:sz w:val="20"/>
                <w:szCs w:val="20"/>
              </w:rPr>
              <w:t>10 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40" w:hRule="atLeast"/>
          <w:tblCellSpacing w:w="0" w:type="dxa"/>
          <w:jc w:val="center"/>
        </w:trPr>
        <w:tc>
          <w:tcPr>
            <w:tcW w:w="1760" w:type="dxa"/>
            <w:tcBorders>
              <w:top w:val="single" w:color="080000" w:sz="4" w:space="0"/>
              <w:left w:val="single" w:color="080000" w:sz="4" w:space="0"/>
              <w:bottom w:val="single" w:color="080000" w:sz="4" w:space="0"/>
              <w:right w:val="single" w:color="080000" w:sz="4" w:space="0"/>
            </w:tcBorders>
            <w:shd w:val="clear" w:color="auto" w:fill="D7D7D7" w:themeFill="background1" w:themeFillShade="D8"/>
            <w:tcMar>
              <w:left w:w="108" w:type="dxa"/>
              <w:right w:w="108" w:type="dxa"/>
            </w:tcMar>
            <w:vAlign w:val="top"/>
          </w:tcPr>
          <w:p>
            <w:pPr>
              <w:pStyle w:val="14"/>
              <w:keepNext w:val="0"/>
              <w:keepLines w:val="0"/>
              <w:widowControl/>
              <w:suppressLineNumbers w:val="0"/>
              <w:rPr>
                <w:sz w:val="20"/>
                <w:szCs w:val="20"/>
              </w:rPr>
            </w:pPr>
            <w:r>
              <w:rPr>
                <w:rFonts w:hint="default" w:ascii="Times New Roman" w:hAnsi="Times New Roman" w:cs="Times New Roman"/>
                <w:color w:val="000000"/>
                <w:sz w:val="20"/>
                <w:szCs w:val="20"/>
              </w:rPr>
              <w:t>Sectorization</w:t>
            </w:r>
          </w:p>
        </w:tc>
        <w:tc>
          <w:tcPr>
            <w:tcW w:w="636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top"/>
          </w:tcPr>
          <w:p>
            <w:pPr>
              <w:pStyle w:val="14"/>
              <w:keepNext w:val="0"/>
              <w:keepLines w:val="0"/>
              <w:widowControl/>
              <w:suppressLineNumbers w:val="0"/>
              <w:rPr>
                <w:sz w:val="20"/>
                <w:szCs w:val="20"/>
              </w:rPr>
            </w:pPr>
            <w:r>
              <w:rPr>
                <w:rFonts w:hint="default" w:ascii="Times New Roman" w:hAnsi="Times New Roman" w:cs="Times New Roman"/>
                <w:color w:val="000000"/>
                <w:sz w:val="20"/>
                <w:szCs w:val="20"/>
              </w:rPr>
              <w:t>None</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7" w:hRule="atLeast"/>
          <w:tblCellSpacing w:w="0" w:type="dxa"/>
          <w:jc w:val="center"/>
        </w:trPr>
        <w:tc>
          <w:tcPr>
            <w:tcW w:w="1760" w:type="dxa"/>
            <w:tcBorders>
              <w:top w:val="single" w:color="080000" w:sz="4" w:space="0"/>
              <w:left w:val="single" w:color="080000" w:sz="4" w:space="0"/>
              <w:bottom w:val="single" w:color="080000" w:sz="4" w:space="0"/>
              <w:right w:val="single" w:color="080000" w:sz="4" w:space="0"/>
            </w:tcBorders>
            <w:shd w:val="clear" w:color="auto" w:fill="D7D7D7" w:themeFill="background1" w:themeFillShade="D8"/>
            <w:tcMar>
              <w:left w:w="108" w:type="dxa"/>
              <w:right w:w="108" w:type="dxa"/>
            </w:tcMar>
            <w:vAlign w:val="center"/>
          </w:tcPr>
          <w:p>
            <w:pPr>
              <w:pStyle w:val="14"/>
              <w:keepNext w:val="0"/>
              <w:keepLines w:val="0"/>
              <w:widowControl/>
              <w:suppressLineNumbers w:val="0"/>
              <w:rPr>
                <w:sz w:val="20"/>
                <w:szCs w:val="20"/>
                <w:highlight w:val="none"/>
              </w:rPr>
            </w:pPr>
            <w:r>
              <w:rPr>
                <w:rFonts w:hint="default" w:ascii="Times New Roman" w:hAnsi="Times New Roman" w:cs="Times New Roman"/>
                <w:color w:val="000000"/>
                <w:sz w:val="20"/>
                <w:szCs w:val="20"/>
                <w:highlight w:val="none"/>
              </w:rPr>
              <w:t>BS deployment</w:t>
            </w:r>
          </w:p>
        </w:tc>
        <w:tc>
          <w:tcPr>
            <w:tcW w:w="636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top"/>
          </w:tcPr>
          <w:p>
            <w:pPr>
              <w:pStyle w:val="1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textAlignment w:val="auto"/>
              <w:rPr>
                <w:sz w:val="20"/>
                <w:szCs w:val="20"/>
                <w:highlight w:val="none"/>
              </w:rPr>
            </w:pPr>
            <w:r>
              <w:rPr>
                <w:rFonts w:hint="default" w:ascii="Times New Roman" w:hAnsi="Times New Roman" w:cs="Times New Roman"/>
                <w:b/>
                <w:bCs/>
                <w:color w:val="000000"/>
                <w:sz w:val="20"/>
                <w:szCs w:val="20"/>
                <w:highlight w:val="none"/>
              </w:rPr>
              <w:t>18</w:t>
            </w:r>
            <w:r>
              <w:rPr>
                <w:rFonts w:hint="default" w:ascii="Times New Roman" w:hAnsi="Times New Roman" w:cs="Times New Roman"/>
                <w:color w:val="000000"/>
                <w:sz w:val="20"/>
                <w:szCs w:val="20"/>
                <w:highlight w:val="none"/>
              </w:rPr>
              <w:t> BSs on a square lattice with spacing D, located D/2 from the walls.</w:t>
            </w:r>
          </w:p>
          <w:p>
            <w:pPr>
              <w:pStyle w:val="14"/>
              <w:keepNext w:val="0"/>
              <w:keepLines w:val="0"/>
              <w:pageBreakBefore w:val="0"/>
              <w:widowControl/>
              <w:numPr>
                <w:ilvl w:val="0"/>
                <w:numId w:val="11"/>
              </w:numPr>
              <w:suppressLineNumbers w:val="0"/>
              <w:kinsoku/>
              <w:wordWrap/>
              <w:overflowPunct/>
              <w:topLinePunct w:val="0"/>
              <w:autoSpaceDE/>
              <w:autoSpaceDN/>
              <w:bidi w:val="0"/>
              <w:adjustRightInd/>
              <w:snapToGrid/>
              <w:spacing w:before="0" w:beforeAutospacing="0" w:after="0" w:afterAutospacing="0" w:line="360" w:lineRule="auto"/>
              <w:ind w:left="720" w:leftChars="0" w:hanging="360" w:firstLineChars="0"/>
              <w:textAlignment w:val="auto"/>
              <w:rPr>
                <w:sz w:val="20"/>
                <w:szCs w:val="20"/>
                <w:highlight w:val="none"/>
              </w:rPr>
            </w:pPr>
            <w:r>
              <w:rPr>
                <w:rFonts w:hint="default" w:ascii="Times New Roman" w:hAnsi="Times New Roman" w:cs="Times New Roman"/>
                <w:color w:val="000000"/>
                <w:sz w:val="20"/>
                <w:szCs w:val="20"/>
                <w:highlight w:val="none"/>
              </w:rPr>
              <w:t>for the small hall (L=120m x W=60m): D=20m</w:t>
            </w:r>
          </w:p>
          <w:p>
            <w:pPr>
              <w:pStyle w:val="14"/>
              <w:keepNext w:val="0"/>
              <w:keepLines w:val="0"/>
              <w:pageBreakBefore w:val="0"/>
              <w:widowControl/>
              <w:numPr>
                <w:ilvl w:val="0"/>
                <w:numId w:val="11"/>
              </w:numPr>
              <w:suppressLineNumbers w:val="0"/>
              <w:kinsoku/>
              <w:wordWrap/>
              <w:overflowPunct/>
              <w:topLinePunct w:val="0"/>
              <w:autoSpaceDE/>
              <w:autoSpaceDN/>
              <w:bidi w:val="0"/>
              <w:adjustRightInd/>
              <w:snapToGrid/>
              <w:spacing w:before="0" w:beforeAutospacing="0" w:after="0" w:afterAutospacing="0" w:line="360" w:lineRule="auto"/>
              <w:ind w:left="720" w:leftChars="0" w:hanging="360" w:firstLineChars="0"/>
              <w:textAlignment w:val="auto"/>
              <w:rPr>
                <w:sz w:val="20"/>
                <w:szCs w:val="20"/>
                <w:highlight w:val="none"/>
              </w:rPr>
            </w:pPr>
            <w:r>
              <w:rPr>
                <w:rFonts w:hint="default" w:ascii="Times New Roman" w:hAnsi="Times New Roman" w:cs="Times New Roman"/>
                <w:color w:val="000000"/>
                <w:sz w:val="20"/>
                <w:szCs w:val="20"/>
                <w:highlight w:val="none"/>
              </w:rPr>
              <w:t>for the big hall (L=300m x W=150m): D=50m</w:t>
            </w:r>
          </w:p>
          <w:p>
            <w:pPr>
              <w:pStyle w:val="14"/>
              <w:keepNext w:val="0"/>
              <w:keepLines w:val="0"/>
              <w:pageBreakBefore w:val="0"/>
              <w:widowControl/>
              <w:numPr>
                <w:ilvl w:val="0"/>
                <w:numId w:val="11"/>
              </w:numPr>
              <w:suppressLineNumbers w:val="0"/>
              <w:kinsoku/>
              <w:wordWrap/>
              <w:overflowPunct/>
              <w:topLinePunct w:val="0"/>
              <w:autoSpaceDE/>
              <w:autoSpaceDN/>
              <w:bidi w:val="0"/>
              <w:adjustRightInd/>
              <w:snapToGrid/>
              <w:spacing w:before="0" w:beforeAutospacing="0" w:after="0" w:afterAutospacing="0" w:line="360" w:lineRule="auto"/>
              <w:ind w:left="720" w:leftChars="0" w:hanging="360" w:firstLineChars="0"/>
              <w:textAlignment w:val="auto"/>
              <w:rPr>
                <w:sz w:val="20"/>
                <w:szCs w:val="20"/>
                <w:highlight w:val="none"/>
              </w:rPr>
            </w:pPr>
            <w:r>
              <w:rPr>
                <w:rFonts w:hint="default" w:ascii="Times New Roman" w:hAnsi="Times New Roman" w:cs="Times New Roman"/>
                <w:color w:val="000000"/>
                <w:sz w:val="20"/>
                <w:szCs w:val="20"/>
                <w:highlight w:val="none"/>
              </w:rPr>
              <w:t>BS-height = 8 m for for InF-SH and InF-DH</w:t>
            </w:r>
            <w:r>
              <w:rPr>
                <w:rFonts w:ascii="Times" w:hAnsi="Times" w:eastAsia="Times" w:cs="Times"/>
                <w:color w:val="000000"/>
                <w:sz w:val="20"/>
                <w:szCs w:val="20"/>
                <w:highlight w:val="none"/>
              </w:rPr>
              <w:t> </w:t>
            </w:r>
          </w:p>
        </w:tc>
      </w:tr>
    </w:tbl>
    <w:p>
      <w:pPr>
        <w:numPr>
          <w:ilvl w:val="0"/>
          <w:numId w:val="0"/>
        </w:numPr>
        <w:spacing w:after="156" w:afterLines="50"/>
        <w:ind w:leftChars="0"/>
        <w:rPr>
          <w:rFonts w:hint="default" w:ascii="Times New Roman" w:hAnsi="Times New Roman"/>
          <w:b w:val="0"/>
          <w:bCs w:val="0"/>
          <w:sz w:val="20"/>
          <w:szCs w:val="20"/>
          <w:lang w:val="en-US" w:eastAsia="zh-CN"/>
        </w:rPr>
      </w:pPr>
    </w:p>
    <w:p>
      <w:pPr>
        <w:spacing w:after="156" w:afterLines="50"/>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Proposal 12: it</w:t>
      </w:r>
      <w:r>
        <w:rPr>
          <w:rFonts w:hint="default" w:ascii="Times New Roman" w:hAnsi="Times New Roman"/>
          <w:b/>
          <w:bCs/>
          <w:sz w:val="20"/>
          <w:szCs w:val="20"/>
          <w:lang w:val="en-US" w:eastAsia="zh-CN"/>
        </w:rPr>
        <w:t>’</w:t>
      </w:r>
      <w:r>
        <w:rPr>
          <w:rFonts w:hint="eastAsia" w:ascii="Times New Roman" w:hAnsi="Times New Roman"/>
          <w:b/>
          <w:bCs/>
          <w:sz w:val="20"/>
          <w:szCs w:val="20"/>
          <w:lang w:val="en-US" w:eastAsia="zh-CN"/>
        </w:rPr>
        <w:t>s suggested to use above gNB deployment distribution for topology 1 and replacing gNB by intermediate UE for topology 2, referring from TR 38.901 for indoor factory.</w:t>
      </w:r>
    </w:p>
    <w:p>
      <w:pPr>
        <w:spacing w:after="156" w:afterLines="50"/>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Proposal 13: it</w:t>
      </w:r>
      <w:r>
        <w:rPr>
          <w:rFonts w:hint="default" w:ascii="Times New Roman" w:hAnsi="Times New Roman"/>
          <w:b/>
          <w:bCs/>
          <w:sz w:val="20"/>
          <w:szCs w:val="20"/>
          <w:lang w:val="en-US" w:eastAsia="zh-CN"/>
        </w:rPr>
        <w:t>’</w:t>
      </w:r>
      <w:r>
        <w:rPr>
          <w:rFonts w:hint="eastAsia" w:ascii="Times New Roman" w:hAnsi="Times New Roman"/>
          <w:b/>
          <w:bCs/>
          <w:sz w:val="20"/>
          <w:szCs w:val="20"/>
          <w:lang w:val="en-US" w:eastAsia="zh-CN"/>
        </w:rPr>
        <w:t>s suggested to use following device deployment distribution for topology 1 and 2.</w:t>
      </w:r>
    </w:p>
    <w:p>
      <w:pPr>
        <w:numPr>
          <w:ilvl w:val="0"/>
          <w:numId w:val="11"/>
        </w:numPr>
        <w:spacing w:after="156" w:afterLines="50"/>
        <w:ind w:left="720" w:leftChars="0" w:hanging="360" w:firstLineChars="0"/>
        <w:rPr>
          <w:rFonts w:hint="default" w:ascii="Times New Roman" w:hAnsi="Times New Roman"/>
          <w:b/>
          <w:bCs/>
          <w:sz w:val="20"/>
          <w:szCs w:val="20"/>
          <w:lang w:val="en-US" w:eastAsia="zh-CN"/>
        </w:rPr>
      </w:pPr>
      <w:r>
        <w:rPr>
          <w:rFonts w:hint="eastAsia" w:ascii="Times New Roman" w:hAnsi="Times New Roman"/>
          <w:b/>
          <w:bCs/>
          <w:sz w:val="20"/>
          <w:szCs w:val="20"/>
          <w:lang w:val="en-US" w:eastAsia="zh-CN"/>
        </w:rPr>
        <w:t>Random uniform distribution as baseline. Further discuss whether to consider cluster based distribution or not.</w:t>
      </w:r>
    </w:p>
    <w:p>
      <w:pPr>
        <w:numPr>
          <w:ilvl w:val="0"/>
          <w:numId w:val="11"/>
        </w:numPr>
        <w:spacing w:after="156" w:afterLines="50"/>
        <w:ind w:left="720" w:leftChars="0" w:hanging="360" w:firstLineChars="0"/>
        <w:rPr>
          <w:rFonts w:hint="default" w:ascii="Times New Roman" w:hAnsi="Times New Roman"/>
          <w:b/>
          <w:bCs/>
          <w:sz w:val="20"/>
          <w:szCs w:val="20"/>
          <w:lang w:val="en-US" w:eastAsia="zh-CN"/>
        </w:rPr>
      </w:pPr>
      <w:r>
        <w:rPr>
          <w:rFonts w:hint="eastAsia" w:ascii="Times New Roman" w:hAnsi="Times New Roman"/>
          <w:b/>
          <w:bCs/>
          <w:sz w:val="20"/>
          <w:szCs w:val="20"/>
          <w:lang w:val="en-US" w:eastAsia="zh-CN"/>
        </w:rPr>
        <w:t>Total activated device number: Total area × activated density</w:t>
      </w:r>
    </w:p>
    <w:p>
      <w:pPr>
        <w:numPr>
          <w:ilvl w:val="1"/>
          <w:numId w:val="11"/>
        </w:numPr>
        <w:spacing w:after="156" w:afterLines="50"/>
        <w:ind w:left="1440" w:leftChars="0" w:hanging="360" w:firstLineChars="0"/>
        <w:rPr>
          <w:rFonts w:hint="default" w:ascii="Times New Roman" w:hAnsi="Times New Roman"/>
          <w:b/>
          <w:bCs/>
          <w:sz w:val="20"/>
          <w:szCs w:val="20"/>
          <w:lang w:val="en-US" w:eastAsia="zh-CN"/>
        </w:rPr>
      </w:pPr>
      <w:r>
        <w:rPr>
          <w:rFonts w:hint="eastAsia" w:ascii="Times New Roman" w:hAnsi="Times New Roman"/>
          <w:b/>
          <w:bCs/>
          <w:sz w:val="20"/>
          <w:szCs w:val="20"/>
          <w:lang w:val="en-US" w:eastAsia="zh-CN"/>
        </w:rPr>
        <w:t>FFS: activated device density</w:t>
      </w:r>
    </w:p>
    <w:p>
      <w:pPr>
        <w:numPr>
          <w:ilvl w:val="0"/>
          <w:numId w:val="11"/>
        </w:numPr>
        <w:spacing w:after="156" w:afterLines="50"/>
        <w:ind w:left="720" w:leftChars="0" w:hanging="360" w:firstLineChars="0"/>
        <w:rPr>
          <w:rFonts w:hint="default" w:ascii="Times New Roman" w:hAnsi="Times New Roman"/>
          <w:b/>
          <w:bCs/>
          <w:sz w:val="20"/>
          <w:szCs w:val="20"/>
          <w:lang w:val="en-US" w:eastAsia="zh-CN"/>
        </w:rPr>
      </w:pPr>
      <w:r>
        <w:rPr>
          <w:rFonts w:hint="eastAsia" w:ascii="Times New Roman" w:hAnsi="Times New Roman"/>
          <w:b/>
          <w:bCs/>
          <w:sz w:val="20"/>
          <w:szCs w:val="20"/>
          <w:lang w:val="en-US" w:eastAsia="zh-CN"/>
        </w:rPr>
        <w:t>FFS: whether to differentiate distribution for different kinds of devices</w:t>
      </w:r>
    </w:p>
    <w:tbl>
      <w:tblPr>
        <w:tblStyle w:val="16"/>
        <w:tblpPr w:leftFromText="180" w:rightFromText="180" w:vertAnchor="text" w:horzAnchor="page" w:tblpX="1309" w:tblpY="384"/>
        <w:tblOverlap w:val="never"/>
        <w:tblW w:w="4998" w:type="pct"/>
        <w:tblCellSpacing w:w="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0" w:type="dxa"/>
          <w:bottom w:w="0" w:type="dxa"/>
          <w:right w:w="0" w:type="dxa"/>
        </w:tblCellMar>
      </w:tblPr>
      <w:tblGrid>
        <w:gridCol w:w="1562"/>
        <w:gridCol w:w="2409"/>
        <w:gridCol w:w="2377"/>
        <w:gridCol w:w="2457"/>
        <w:gridCol w:w="1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420" w:hRule="atLeast"/>
          <w:tblCellSpacing w:w="0" w:type="dxa"/>
        </w:trPr>
        <w:tc>
          <w:tcPr>
            <w:tcW w:w="777" w:type="pct"/>
            <w:shd w:val="clear" w:color="auto" w:fill="D7D7D7" w:themeFill="background1" w:themeFillShade="D8"/>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p>
        </w:tc>
        <w:tc>
          <w:tcPr>
            <w:tcW w:w="1198" w:type="pct"/>
            <w:shd w:val="clear" w:color="auto" w:fill="D7D7D7" w:themeFill="background1" w:themeFillShade="D8"/>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b/>
                <w:bCs/>
                <w:color w:val="000000"/>
                <w:sz w:val="20"/>
                <w:szCs w:val="20"/>
              </w:rPr>
              <w:t>D1T1-A1</w:t>
            </w:r>
          </w:p>
        </w:tc>
        <w:tc>
          <w:tcPr>
            <w:tcW w:w="1182" w:type="pct"/>
            <w:shd w:val="clear" w:color="auto" w:fill="D7D7D7" w:themeFill="background1" w:themeFillShade="D8"/>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b/>
                <w:bCs/>
                <w:color w:val="000000"/>
                <w:sz w:val="20"/>
                <w:szCs w:val="20"/>
              </w:rPr>
              <w:t>D1T1-A2</w:t>
            </w:r>
          </w:p>
        </w:tc>
        <w:tc>
          <w:tcPr>
            <w:tcW w:w="1222" w:type="pct"/>
            <w:shd w:val="clear" w:color="auto" w:fill="D7D7D7" w:themeFill="background1" w:themeFillShade="D8"/>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b/>
                <w:bCs/>
                <w:color w:val="000000"/>
                <w:sz w:val="20"/>
                <w:szCs w:val="20"/>
              </w:rPr>
              <w:t>D1T1-B</w:t>
            </w:r>
          </w:p>
        </w:tc>
        <w:tc>
          <w:tcPr>
            <w:tcW w:w="619" w:type="pct"/>
            <w:shd w:val="clear" w:color="auto" w:fill="D7D7D7" w:themeFill="background1" w:themeFillShade="D8"/>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b/>
                <w:bCs/>
                <w:color w:val="000000"/>
                <w:sz w:val="20"/>
                <w:szCs w:val="20"/>
              </w:rPr>
              <w:t>D1T1-C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420" w:hRule="atLeast"/>
          <w:tblCellSpacing w:w="0" w:type="dxa"/>
        </w:trPr>
        <w:tc>
          <w:tcPr>
            <w:tcW w:w="777" w:type="pct"/>
            <w:shd w:val="clear" w:color="auto" w:fill="D7D7D7" w:themeFill="background1" w:themeFillShade="D8"/>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CW2D</w:t>
            </w:r>
          </w:p>
        </w:tc>
        <w:tc>
          <w:tcPr>
            <w:tcW w:w="1198"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inF-DH(reusing RAN1)</w:t>
            </w:r>
          </w:p>
        </w:tc>
        <w:tc>
          <w:tcPr>
            <w:tcW w:w="1182"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inF-DH(reusing RAN1)</w:t>
            </w:r>
          </w:p>
        </w:tc>
        <w:tc>
          <w:tcPr>
            <w:tcW w:w="1222"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inF-DL</w:t>
            </w:r>
          </w:p>
        </w:tc>
        <w:tc>
          <w:tcPr>
            <w:tcW w:w="619"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420" w:hRule="atLeast"/>
          <w:tblCellSpacing w:w="0" w:type="dxa"/>
        </w:trPr>
        <w:tc>
          <w:tcPr>
            <w:tcW w:w="777" w:type="pct"/>
            <w:shd w:val="clear" w:color="auto" w:fill="D7D7D7" w:themeFill="background1" w:themeFillShade="D8"/>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R2D and D2R</w:t>
            </w:r>
          </w:p>
        </w:tc>
        <w:tc>
          <w:tcPr>
            <w:tcW w:w="1198"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inF-DH(reusing RAN1)</w:t>
            </w:r>
          </w:p>
        </w:tc>
        <w:tc>
          <w:tcPr>
            <w:tcW w:w="1182"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inF-DH(reusing RAN1)</w:t>
            </w:r>
          </w:p>
        </w:tc>
        <w:tc>
          <w:tcPr>
            <w:tcW w:w="1222"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inF-DH(reusing RAN1)</w:t>
            </w:r>
          </w:p>
        </w:tc>
        <w:tc>
          <w:tcPr>
            <w:tcW w:w="619"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420" w:hRule="atLeast"/>
          <w:tblCellSpacing w:w="0" w:type="dxa"/>
        </w:trPr>
        <w:tc>
          <w:tcPr>
            <w:tcW w:w="777" w:type="pct"/>
            <w:shd w:val="clear" w:color="auto" w:fill="D7D7D7" w:themeFill="background1" w:themeFillShade="D8"/>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reader to UE</w:t>
            </w:r>
          </w:p>
        </w:tc>
        <w:tc>
          <w:tcPr>
            <w:tcW w:w="1198"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w:t>
            </w:r>
          </w:p>
        </w:tc>
        <w:tc>
          <w:tcPr>
            <w:tcW w:w="1182"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w:t>
            </w:r>
          </w:p>
        </w:tc>
        <w:tc>
          <w:tcPr>
            <w:tcW w:w="1222"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w:t>
            </w:r>
          </w:p>
        </w:tc>
        <w:tc>
          <w:tcPr>
            <w:tcW w:w="619"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0" w:hRule="atLeast"/>
          <w:tblCellSpacing w:w="0" w:type="dxa"/>
        </w:trPr>
        <w:tc>
          <w:tcPr>
            <w:tcW w:w="777" w:type="pct"/>
            <w:shd w:val="clear" w:color="auto" w:fill="D7D7D7" w:themeFill="background1" w:themeFillShade="D8"/>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CW to UE</w:t>
            </w:r>
          </w:p>
        </w:tc>
        <w:tc>
          <w:tcPr>
            <w:tcW w:w="1198"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w:t>
            </w:r>
          </w:p>
        </w:tc>
        <w:tc>
          <w:tcPr>
            <w:tcW w:w="1182"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w:t>
            </w:r>
          </w:p>
        </w:tc>
        <w:tc>
          <w:tcPr>
            <w:tcW w:w="1222"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inF-DL</w:t>
            </w:r>
          </w:p>
        </w:tc>
        <w:tc>
          <w:tcPr>
            <w:tcW w:w="619"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420" w:hRule="atLeast"/>
          <w:tblCellSpacing w:w="0" w:type="dxa"/>
        </w:trPr>
        <w:tc>
          <w:tcPr>
            <w:tcW w:w="777" w:type="pct"/>
            <w:shd w:val="clear" w:color="auto" w:fill="D7D7D7" w:themeFill="background1" w:themeFillShade="D8"/>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gNB to device</w:t>
            </w:r>
          </w:p>
        </w:tc>
        <w:tc>
          <w:tcPr>
            <w:tcW w:w="1198"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w:t>
            </w:r>
          </w:p>
        </w:tc>
        <w:tc>
          <w:tcPr>
            <w:tcW w:w="1182"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w:t>
            </w:r>
          </w:p>
        </w:tc>
        <w:tc>
          <w:tcPr>
            <w:tcW w:w="1222"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w:t>
            </w:r>
          </w:p>
        </w:tc>
        <w:tc>
          <w:tcPr>
            <w:tcW w:w="619"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0" w:hRule="atLeast"/>
          <w:tblCellSpacing w:w="0" w:type="dxa"/>
        </w:trPr>
        <w:tc>
          <w:tcPr>
            <w:tcW w:w="777" w:type="pct"/>
            <w:shd w:val="clear" w:color="auto" w:fill="D7D7D7" w:themeFill="background1" w:themeFillShade="D8"/>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CW to gNB</w:t>
            </w:r>
          </w:p>
        </w:tc>
        <w:tc>
          <w:tcPr>
            <w:tcW w:w="1198"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inF-HH</w:t>
            </w:r>
          </w:p>
        </w:tc>
        <w:tc>
          <w:tcPr>
            <w:tcW w:w="1182"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inF-HH</w:t>
            </w:r>
          </w:p>
        </w:tc>
        <w:tc>
          <w:tcPr>
            <w:tcW w:w="1222"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inF-DH</w:t>
            </w:r>
          </w:p>
        </w:tc>
        <w:tc>
          <w:tcPr>
            <w:tcW w:w="619"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0" w:hRule="atLeast"/>
          <w:tblCellSpacing w:w="0" w:type="dxa"/>
        </w:trPr>
        <w:tc>
          <w:tcPr>
            <w:tcW w:w="777" w:type="pct"/>
            <w:shd w:val="clear" w:color="auto" w:fill="D7D7D7" w:themeFill="background1" w:themeFillShade="D8"/>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reader to gNB</w:t>
            </w:r>
          </w:p>
        </w:tc>
        <w:tc>
          <w:tcPr>
            <w:tcW w:w="1198"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inF-HH</w:t>
            </w:r>
          </w:p>
        </w:tc>
        <w:tc>
          <w:tcPr>
            <w:tcW w:w="1182"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inF-HH</w:t>
            </w:r>
          </w:p>
        </w:tc>
        <w:tc>
          <w:tcPr>
            <w:tcW w:w="1222"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inF-HH</w:t>
            </w:r>
          </w:p>
        </w:tc>
        <w:tc>
          <w:tcPr>
            <w:tcW w:w="619"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inF-HH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420" w:hRule="atLeast"/>
          <w:tblCellSpacing w:w="0" w:type="dxa"/>
        </w:trPr>
        <w:tc>
          <w:tcPr>
            <w:tcW w:w="777" w:type="pct"/>
            <w:shd w:val="clear" w:color="auto" w:fill="D7D7D7" w:themeFill="background1" w:themeFillShade="D8"/>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UE-to-device</w:t>
            </w:r>
          </w:p>
        </w:tc>
        <w:tc>
          <w:tcPr>
            <w:tcW w:w="1198"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inF-DL</w:t>
            </w:r>
          </w:p>
        </w:tc>
        <w:tc>
          <w:tcPr>
            <w:tcW w:w="1182"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inF-DL</w:t>
            </w:r>
          </w:p>
        </w:tc>
        <w:tc>
          <w:tcPr>
            <w:tcW w:w="1222"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inF-DL</w:t>
            </w:r>
          </w:p>
        </w:tc>
        <w:tc>
          <w:tcPr>
            <w:tcW w:w="619" w:type="pct"/>
            <w:shd w:val="clear" w:color="auto" w:fill="FFFFFF"/>
            <w:tcMar>
              <w:top w:w="72" w:type="dxa"/>
              <w:left w:w="144" w:type="dxa"/>
              <w:bottom w:w="72" w:type="dxa"/>
              <w:right w:w="144" w:type="dxa"/>
            </w:tcMar>
            <w:vAlign w:val="top"/>
          </w:tcPr>
          <w:p>
            <w:pPr>
              <w:pStyle w:val="14"/>
              <w:keepNext w:val="0"/>
              <w:keepLines w:val="0"/>
              <w:widowControl/>
              <w:suppressLineNumbers w:val="0"/>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inF-DL</w:t>
            </w:r>
          </w:p>
        </w:tc>
      </w:tr>
    </w:tbl>
    <w:p>
      <w:pPr>
        <w:spacing w:after="156" w:afterLines="50"/>
        <w:rPr>
          <w:rFonts w:hint="eastAsia" w:ascii="Times New Roman" w:hAnsi="Times New Roman"/>
          <w:b/>
          <w:bCs/>
          <w:sz w:val="20"/>
          <w:szCs w:val="20"/>
          <w:lang w:val="en-US" w:eastAsia="zh-CN"/>
        </w:rPr>
      </w:pPr>
      <w:r>
        <w:rPr>
          <w:rFonts w:hint="eastAsia" w:ascii="Times New Roman" w:hAnsi="Times New Roman"/>
          <w:b/>
          <w:bCs/>
          <w:sz w:val="20"/>
          <w:szCs w:val="20"/>
          <w:lang w:val="en-US" w:eastAsia="zh-CN"/>
        </w:rPr>
        <w:t>Proposal 14: it</w:t>
      </w:r>
      <w:r>
        <w:rPr>
          <w:rFonts w:hint="default" w:ascii="Times New Roman" w:hAnsi="Times New Roman"/>
          <w:b/>
          <w:bCs/>
          <w:sz w:val="20"/>
          <w:szCs w:val="20"/>
          <w:lang w:val="en-US" w:eastAsia="zh-CN"/>
        </w:rPr>
        <w:t>’</w:t>
      </w:r>
      <w:r>
        <w:rPr>
          <w:rFonts w:hint="eastAsia" w:ascii="Times New Roman" w:hAnsi="Times New Roman"/>
          <w:b/>
          <w:bCs/>
          <w:sz w:val="20"/>
          <w:szCs w:val="20"/>
          <w:lang w:val="en-US" w:eastAsia="zh-CN"/>
        </w:rPr>
        <w:t>s suggested to use above pathloss model for topology 1.</w:t>
      </w:r>
    </w:p>
    <w:p>
      <w:pPr>
        <w:spacing w:after="156" w:afterLines="50"/>
        <w:rPr>
          <w:rFonts w:hint="eastAsia" w:ascii="Times New Roman" w:hAnsi="Times New Roman"/>
          <w:b/>
          <w:bCs/>
          <w:sz w:val="20"/>
          <w:szCs w:val="20"/>
          <w:lang w:val="en-US" w:eastAsia="zh-CN"/>
        </w:rPr>
      </w:pPr>
    </w:p>
    <w:p>
      <w:pPr>
        <w:spacing w:after="156" w:afterLines="50"/>
        <w:rPr>
          <w:rFonts w:hint="default" w:ascii="Times New Roman" w:hAnsi="Times New Roman" w:cs="Times New Roman"/>
          <w:b/>
          <w:bCs/>
          <w:sz w:val="20"/>
          <w:szCs w:val="20"/>
          <w:lang w:val="en-US" w:eastAsia="zh-CN"/>
        </w:rPr>
      </w:pPr>
      <w:r>
        <w:rPr>
          <w:rFonts w:hint="eastAsia" w:ascii="Times New Roman" w:hAnsi="Times New Roman"/>
          <w:b/>
          <w:bCs/>
          <w:sz w:val="20"/>
          <w:szCs w:val="20"/>
          <w:lang w:val="en-US" w:eastAsia="zh-CN"/>
        </w:rPr>
        <w:t>Proposal 15: for topology 2, both inF-DL and indoor office pathloss model is OK for us.</w:t>
      </w:r>
    </w:p>
    <w:p>
      <w:pPr>
        <w:keepNext/>
        <w:keepLines/>
        <w:widowControl/>
        <w:pBdr>
          <w:top w:val="single" w:color="auto" w:sz="12" w:space="1"/>
        </w:pBdr>
        <w:tabs>
          <w:tab w:val="left" w:pos="567"/>
        </w:tabs>
        <w:adjustRightInd w:val="0"/>
        <w:spacing w:before="240" w:after="180"/>
        <w:ind w:left="510" w:hanging="510"/>
        <w:outlineLvl w:val="0"/>
        <w:rPr>
          <w:rFonts w:ascii="Calibri" w:hAnsi="Calibri" w:eastAsiaTheme="minorEastAsia" w:cstheme="minorBidi"/>
          <w:sz w:val="32"/>
          <w:szCs w:val="36"/>
        </w:rPr>
      </w:pPr>
      <w:r>
        <w:rPr>
          <w:rFonts w:ascii="Arial" w:hAnsi="Arial" w:eastAsiaTheme="minorEastAsia" w:cstheme="minorBidi"/>
          <w:sz w:val="32"/>
          <w:szCs w:val="36"/>
        </w:rPr>
        <w:t>4. Reference</w:t>
      </w:r>
    </w:p>
    <w:p>
      <w:pPr>
        <w:numPr>
          <w:ilvl w:val="0"/>
          <w:numId w:val="13"/>
        </w:numPr>
        <w:tabs>
          <w:tab w:val="right" w:pos="10440"/>
          <w:tab w:val="right" w:pos="13323"/>
        </w:tabs>
        <w:spacing w:after="0"/>
        <w:jc w:val="left"/>
        <w:rPr>
          <w:rFonts w:hint="default" w:ascii="Times New Roman" w:hAnsi="Times New Roman" w:eastAsia="宋体"/>
          <w:sz w:val="20"/>
          <w:szCs w:val="20"/>
          <w:lang w:val="en-US" w:eastAsia="zh-CN"/>
        </w:rPr>
      </w:pPr>
      <w:r>
        <w:rPr>
          <w:rFonts w:hint="default" w:ascii="Times New Roman" w:hAnsi="Times New Roman" w:cs="Times New Roman"/>
          <w:sz w:val="20"/>
          <w:szCs w:val="20"/>
          <w:highlight w:val="none"/>
        </w:rPr>
        <w:t>R</w:t>
      </w:r>
    </w:p>
    <w:sectPr>
      <w:headerReference r:id="rId3" w:type="default"/>
      <w:pgSz w:w="11906" w:h="16838"/>
      <w:pgMar w:top="144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G Times (WN)">
    <w:altName w:val="Arial"/>
    <w:panose1 w:val="00000000000000000000"/>
    <w:charset w:val="00"/>
    <w:family w:val="roman"/>
    <w:pitch w:val="default"/>
    <w:sig w:usb0="00000000" w:usb1="00000000" w:usb2="00000000" w:usb3="00000000" w:csb0="00000001" w:csb1="00000000"/>
  </w:font>
  <w:font w:name="Cambria">
    <w:panose1 w:val="02040503050406030204"/>
    <w:charset w:val="00"/>
    <w:family w:val="roman"/>
    <w:pitch w:val="default"/>
    <w:sig w:usb0="E00006FF" w:usb1="420024FF" w:usb2="02000000" w:usb3="00000000" w:csb0="2000019F" w:csb1="00000000"/>
  </w:font>
  <w:font w:name="Arial Unicode MS">
    <w:panose1 w:val="020B0604020202020204"/>
    <w:charset w:val="86"/>
    <w:family w:val="auto"/>
    <w:pitch w:val="default"/>
    <w:sig w:usb0="FFFFFFFF" w:usb1="E9FFFFFF" w:usb2="0000003F" w:usb3="00000000" w:csb0="603F01FF" w:csb1="FFFF0000"/>
  </w:font>
  <w:font w:name="MS Mincho">
    <w:panose1 w:val="02020609040205080304"/>
    <w:charset w:val="80"/>
    <w:family w:val="modern"/>
    <w:pitch w:val="default"/>
    <w:sig w:usb0="A00002BF" w:usb1="68C7FCFB" w:usb2="00000010" w:usb3="00000000" w:csb0="4002009F" w:csb1="DFD70000"/>
  </w:font>
  <w:font w:name="New York">
    <w:altName w:val="DejaVu Math TeX Gyre"/>
    <w:panose1 w:val="02040503060506020304"/>
    <w:charset w:val="00"/>
    <w:family w:val="roman"/>
    <w:pitch w:val="default"/>
    <w:sig w:usb0="00000000" w:usb1="00000000" w:usb2="00000000" w:usb3="00000000" w:csb0="00000001" w:csb1="00000000"/>
  </w:font>
  <w:font w:name="Yu Mincho">
    <w:altName w:val="MS Gothic"/>
    <w:panose1 w:val="00000000000000000000"/>
    <w:charset w:val="80"/>
    <w:family w:val="roman"/>
    <w:pitch w:val="default"/>
    <w:sig w:usb0="00000000" w:usb1="00000000" w:usb2="00000012" w:usb3="00000000" w:csb0="0002009F" w:csb1="00000000"/>
  </w:font>
  <w:font w:name="Times New Roman Bold">
    <w:altName w:val="Times New Roman"/>
    <w:panose1 w:val="02020803070505020304"/>
    <w:charset w:val="00"/>
    <w:family w:val="roman"/>
    <w:pitch w:val="default"/>
    <w:sig w:usb0="00000000" w:usb1="00000000" w:usb2="00000000" w:usb3="00000000" w:csb0="000000FF" w:csb1="00000000"/>
  </w:font>
  <w:font w:name="Times">
    <w:altName w:val="Times New Roman"/>
    <w:panose1 w:val="00000000000000000000"/>
    <w:charset w:val="00"/>
    <w:family w:val="auto"/>
    <w:pitch w:val="default"/>
    <w:sig w:usb0="00000000" w:usb1="00000000" w:usb2="00000000" w:usb3="00000000" w:csb0="00000000"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09944CA"/>
    <w:multiLevelType w:val="singleLevel"/>
    <w:tmpl w:val="A09944CA"/>
    <w:lvl w:ilvl="0" w:tentative="0">
      <w:start w:val="1"/>
      <w:numFmt w:val="bullet"/>
      <w:lvlText w:val=""/>
      <w:lvlJc w:val="left"/>
      <w:pPr>
        <w:ind w:left="420" w:hanging="420"/>
      </w:pPr>
      <w:rPr>
        <w:rFonts w:hint="default" w:ascii="Wingdings" w:hAnsi="Wingdings"/>
      </w:rPr>
    </w:lvl>
  </w:abstractNum>
  <w:abstractNum w:abstractNumId="1">
    <w:nsid w:val="B451B3BA"/>
    <w:multiLevelType w:val="multilevel"/>
    <w:tmpl w:val="B451B3B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2">
    <w:nsid w:val="DFAE1895"/>
    <w:multiLevelType w:val="singleLevel"/>
    <w:tmpl w:val="DFAE1895"/>
    <w:lvl w:ilvl="0" w:tentative="0">
      <w:start w:val="1"/>
      <w:numFmt w:val="decimal"/>
      <w:suff w:val="space"/>
      <w:lvlText w:val="[%1]"/>
      <w:lvlJc w:val="left"/>
    </w:lvl>
  </w:abstractNum>
  <w:abstractNum w:abstractNumId="3">
    <w:nsid w:val="E36BDDE0"/>
    <w:multiLevelType w:val="multilevel"/>
    <w:tmpl w:val="E36BDDE0"/>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4">
    <w:nsid w:val="F5636754"/>
    <w:multiLevelType w:val="multilevel"/>
    <w:tmpl w:val="F5636754"/>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5">
    <w:nsid w:val="044EE66C"/>
    <w:multiLevelType w:val="multilevel"/>
    <w:tmpl w:val="044EE66C"/>
    <w:lvl w:ilvl="0" w:tentative="0">
      <w:start w:val="2"/>
      <w:numFmt w:val="decimal"/>
      <w:suff w:val="space"/>
      <w:lvlText w:val="%1."/>
      <w:lvlJc w:val="left"/>
    </w:lvl>
    <w:lvl w:ilvl="1" w:tentative="0">
      <w:start w:val="1"/>
      <w:numFmt w:val="decimal"/>
      <w:suff w:val="space"/>
      <w:lvlText w:val="%1.%2"/>
      <w:lvlJc w:val="left"/>
      <w:pPr>
        <w:ind w:left="42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6">
    <w:nsid w:val="14697626"/>
    <w:multiLevelType w:val="singleLevel"/>
    <w:tmpl w:val="14697626"/>
    <w:lvl w:ilvl="0" w:tentative="0">
      <w:start w:val="1"/>
      <w:numFmt w:val="bullet"/>
      <w:lvlText w:val=""/>
      <w:lvlJc w:val="left"/>
      <w:pPr>
        <w:ind w:left="420" w:hanging="420"/>
      </w:pPr>
      <w:rPr>
        <w:rFonts w:hint="default" w:ascii="Wingdings" w:hAnsi="Wingdings"/>
      </w:rPr>
    </w:lvl>
  </w:abstractNum>
  <w:abstractNum w:abstractNumId="7">
    <w:nsid w:val="1BA407FD"/>
    <w:multiLevelType w:val="singleLevel"/>
    <w:tmpl w:val="1BA407FD"/>
    <w:lvl w:ilvl="0" w:tentative="0">
      <w:start w:val="1"/>
      <w:numFmt w:val="bullet"/>
      <w:lvlText w:val=""/>
      <w:lvlJc w:val="left"/>
      <w:pPr>
        <w:ind w:left="420" w:hanging="420"/>
      </w:pPr>
      <w:rPr>
        <w:rFonts w:hint="default" w:ascii="Wingdings" w:hAnsi="Wingdings"/>
      </w:rPr>
    </w:lvl>
  </w:abstractNum>
  <w:abstractNum w:abstractNumId="8">
    <w:nsid w:val="29DAECB0"/>
    <w:multiLevelType w:val="multilevel"/>
    <w:tmpl w:val="29DAECB0"/>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9">
    <w:nsid w:val="308E50FD"/>
    <w:multiLevelType w:val="singleLevel"/>
    <w:tmpl w:val="308E50FD"/>
    <w:lvl w:ilvl="0" w:tentative="0">
      <w:start w:val="1"/>
      <w:numFmt w:val="bullet"/>
      <w:lvlText w:val=""/>
      <w:lvlJc w:val="left"/>
      <w:pPr>
        <w:ind w:left="420" w:hanging="420"/>
      </w:pPr>
      <w:rPr>
        <w:rFonts w:hint="default" w:ascii="Wingdings" w:hAnsi="Wingdings"/>
      </w:rPr>
    </w:lvl>
  </w:abstractNum>
  <w:abstractNum w:abstractNumId="10">
    <w:nsid w:val="3C536205"/>
    <w:multiLevelType w:val="multilevel"/>
    <w:tmpl w:val="3C536205"/>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11">
    <w:nsid w:val="58F05DAF"/>
    <w:multiLevelType w:val="singleLevel"/>
    <w:tmpl w:val="58F05DAF"/>
    <w:lvl w:ilvl="0" w:tentative="0">
      <w:start w:val="1"/>
      <w:numFmt w:val="bullet"/>
      <w:lvlText w:val=""/>
      <w:lvlJc w:val="left"/>
      <w:pPr>
        <w:ind w:left="420" w:hanging="420"/>
      </w:pPr>
      <w:rPr>
        <w:rFonts w:hint="default" w:ascii="Wingdings" w:hAnsi="Wingdings"/>
      </w:rPr>
    </w:lvl>
  </w:abstractNum>
  <w:abstractNum w:abstractNumId="12">
    <w:nsid w:val="7D343EF9"/>
    <w:multiLevelType w:val="multilevel"/>
    <w:tmpl w:val="7D343EF9"/>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num w:numId="1">
    <w:abstractNumId w:val="3"/>
  </w:num>
  <w:num w:numId="2">
    <w:abstractNumId w:val="5"/>
  </w:num>
  <w:num w:numId="3">
    <w:abstractNumId w:val="10"/>
  </w:num>
  <w:num w:numId="4">
    <w:abstractNumId w:val="9"/>
  </w:num>
  <w:num w:numId="5">
    <w:abstractNumId w:val="1"/>
  </w:num>
  <w:num w:numId="6">
    <w:abstractNumId w:val="6"/>
  </w:num>
  <w:num w:numId="7">
    <w:abstractNumId w:val="12"/>
  </w:num>
  <w:num w:numId="8">
    <w:abstractNumId w:val="11"/>
  </w:num>
  <w:num w:numId="9">
    <w:abstractNumId w:val="8"/>
  </w:num>
  <w:num w:numId="10">
    <w:abstractNumId w:val="7"/>
  </w:num>
  <w:num w:numId="11">
    <w:abstractNumId w:val="4"/>
  </w:num>
  <w:num w:numId="12">
    <w:abstractNumId w:val="0"/>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oNotDisplayPageBoundaries w:val="1"/>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5618B"/>
    <w:rsid w:val="00000BE6"/>
    <w:rsid w:val="00002C4E"/>
    <w:rsid w:val="00002DFE"/>
    <w:rsid w:val="0000389F"/>
    <w:rsid w:val="000041CA"/>
    <w:rsid w:val="00004218"/>
    <w:rsid w:val="0000477F"/>
    <w:rsid w:val="00005E84"/>
    <w:rsid w:val="00006174"/>
    <w:rsid w:val="00006196"/>
    <w:rsid w:val="000111E9"/>
    <w:rsid w:val="0001126C"/>
    <w:rsid w:val="00011927"/>
    <w:rsid w:val="00012C96"/>
    <w:rsid w:val="000138E6"/>
    <w:rsid w:val="00013C21"/>
    <w:rsid w:val="000160EF"/>
    <w:rsid w:val="00016BC2"/>
    <w:rsid w:val="00020E5D"/>
    <w:rsid w:val="00021DD4"/>
    <w:rsid w:val="0002231B"/>
    <w:rsid w:val="000223C3"/>
    <w:rsid w:val="000224EE"/>
    <w:rsid w:val="00023A89"/>
    <w:rsid w:val="000241CD"/>
    <w:rsid w:val="00024959"/>
    <w:rsid w:val="00025E8F"/>
    <w:rsid w:val="00026146"/>
    <w:rsid w:val="00026563"/>
    <w:rsid w:val="0003025B"/>
    <w:rsid w:val="00030957"/>
    <w:rsid w:val="000317A5"/>
    <w:rsid w:val="000328EF"/>
    <w:rsid w:val="0003334A"/>
    <w:rsid w:val="00034492"/>
    <w:rsid w:val="00035DA1"/>
    <w:rsid w:val="000367A0"/>
    <w:rsid w:val="00036C02"/>
    <w:rsid w:val="00036D6A"/>
    <w:rsid w:val="00037971"/>
    <w:rsid w:val="00040C35"/>
    <w:rsid w:val="0004256C"/>
    <w:rsid w:val="00042571"/>
    <w:rsid w:val="00043E8D"/>
    <w:rsid w:val="00043F3D"/>
    <w:rsid w:val="00044652"/>
    <w:rsid w:val="000449E2"/>
    <w:rsid w:val="00044B31"/>
    <w:rsid w:val="0004539C"/>
    <w:rsid w:val="0004564B"/>
    <w:rsid w:val="0004616D"/>
    <w:rsid w:val="00050835"/>
    <w:rsid w:val="00051729"/>
    <w:rsid w:val="00051925"/>
    <w:rsid w:val="00052CB8"/>
    <w:rsid w:val="00052E16"/>
    <w:rsid w:val="00053BCE"/>
    <w:rsid w:val="000547BA"/>
    <w:rsid w:val="0005511F"/>
    <w:rsid w:val="0005591D"/>
    <w:rsid w:val="00055B1F"/>
    <w:rsid w:val="00057657"/>
    <w:rsid w:val="00057B7E"/>
    <w:rsid w:val="000606D3"/>
    <w:rsid w:val="00062456"/>
    <w:rsid w:val="00065984"/>
    <w:rsid w:val="000660F4"/>
    <w:rsid w:val="0006714C"/>
    <w:rsid w:val="00067233"/>
    <w:rsid w:val="00067A9F"/>
    <w:rsid w:val="00070B68"/>
    <w:rsid w:val="00070E60"/>
    <w:rsid w:val="00072662"/>
    <w:rsid w:val="000726EB"/>
    <w:rsid w:val="000728AA"/>
    <w:rsid w:val="00075657"/>
    <w:rsid w:val="00076555"/>
    <w:rsid w:val="00076807"/>
    <w:rsid w:val="00077008"/>
    <w:rsid w:val="0007788D"/>
    <w:rsid w:val="000803EE"/>
    <w:rsid w:val="000811BE"/>
    <w:rsid w:val="00081EC1"/>
    <w:rsid w:val="000821A7"/>
    <w:rsid w:val="000826EF"/>
    <w:rsid w:val="00082B6E"/>
    <w:rsid w:val="000849ED"/>
    <w:rsid w:val="00084B99"/>
    <w:rsid w:val="00085879"/>
    <w:rsid w:val="00085BA6"/>
    <w:rsid w:val="00085D8F"/>
    <w:rsid w:val="00085E61"/>
    <w:rsid w:val="00086B9F"/>
    <w:rsid w:val="00087747"/>
    <w:rsid w:val="00087810"/>
    <w:rsid w:val="00087A2B"/>
    <w:rsid w:val="000902B5"/>
    <w:rsid w:val="00090A5D"/>
    <w:rsid w:val="000915BB"/>
    <w:rsid w:val="00092C18"/>
    <w:rsid w:val="00093923"/>
    <w:rsid w:val="00094361"/>
    <w:rsid w:val="00094958"/>
    <w:rsid w:val="00095D91"/>
    <w:rsid w:val="00096311"/>
    <w:rsid w:val="000965F7"/>
    <w:rsid w:val="00096FF5"/>
    <w:rsid w:val="00097FBD"/>
    <w:rsid w:val="000A01AE"/>
    <w:rsid w:val="000A0963"/>
    <w:rsid w:val="000A0AE8"/>
    <w:rsid w:val="000A0AF7"/>
    <w:rsid w:val="000A0F64"/>
    <w:rsid w:val="000A2385"/>
    <w:rsid w:val="000A2EF0"/>
    <w:rsid w:val="000A3424"/>
    <w:rsid w:val="000A3F70"/>
    <w:rsid w:val="000A49BA"/>
    <w:rsid w:val="000A57C5"/>
    <w:rsid w:val="000A6969"/>
    <w:rsid w:val="000A760C"/>
    <w:rsid w:val="000A7904"/>
    <w:rsid w:val="000B032D"/>
    <w:rsid w:val="000B0633"/>
    <w:rsid w:val="000B3D40"/>
    <w:rsid w:val="000B3FE5"/>
    <w:rsid w:val="000B4DDB"/>
    <w:rsid w:val="000B518C"/>
    <w:rsid w:val="000B55D1"/>
    <w:rsid w:val="000B55F7"/>
    <w:rsid w:val="000B70D9"/>
    <w:rsid w:val="000B7D23"/>
    <w:rsid w:val="000B7F0C"/>
    <w:rsid w:val="000C13D1"/>
    <w:rsid w:val="000C1407"/>
    <w:rsid w:val="000C226C"/>
    <w:rsid w:val="000C2295"/>
    <w:rsid w:val="000C22BE"/>
    <w:rsid w:val="000C41DF"/>
    <w:rsid w:val="000C4A40"/>
    <w:rsid w:val="000C4E51"/>
    <w:rsid w:val="000C51A5"/>
    <w:rsid w:val="000C5B39"/>
    <w:rsid w:val="000C74C9"/>
    <w:rsid w:val="000D06CB"/>
    <w:rsid w:val="000D06F5"/>
    <w:rsid w:val="000D167A"/>
    <w:rsid w:val="000D16FB"/>
    <w:rsid w:val="000D1C7C"/>
    <w:rsid w:val="000D1F5A"/>
    <w:rsid w:val="000D2355"/>
    <w:rsid w:val="000D253B"/>
    <w:rsid w:val="000D27E9"/>
    <w:rsid w:val="000D2FC7"/>
    <w:rsid w:val="000D3028"/>
    <w:rsid w:val="000D38A7"/>
    <w:rsid w:val="000D3B1A"/>
    <w:rsid w:val="000D4338"/>
    <w:rsid w:val="000D58C0"/>
    <w:rsid w:val="000D5BDD"/>
    <w:rsid w:val="000D630F"/>
    <w:rsid w:val="000D633B"/>
    <w:rsid w:val="000D6A04"/>
    <w:rsid w:val="000D6FD9"/>
    <w:rsid w:val="000E001B"/>
    <w:rsid w:val="000E0496"/>
    <w:rsid w:val="000E09ED"/>
    <w:rsid w:val="000E25FF"/>
    <w:rsid w:val="000E348C"/>
    <w:rsid w:val="000E3ACD"/>
    <w:rsid w:val="000E4074"/>
    <w:rsid w:val="000E40CA"/>
    <w:rsid w:val="000E426E"/>
    <w:rsid w:val="000E43B1"/>
    <w:rsid w:val="000E4C06"/>
    <w:rsid w:val="000E6251"/>
    <w:rsid w:val="000E69BA"/>
    <w:rsid w:val="000E7663"/>
    <w:rsid w:val="000E7F07"/>
    <w:rsid w:val="000F0B4E"/>
    <w:rsid w:val="000F115E"/>
    <w:rsid w:val="000F145F"/>
    <w:rsid w:val="000F15DF"/>
    <w:rsid w:val="000F41BC"/>
    <w:rsid w:val="000F4E85"/>
    <w:rsid w:val="000F4F18"/>
    <w:rsid w:val="000F52CD"/>
    <w:rsid w:val="000F5E62"/>
    <w:rsid w:val="000F6C2C"/>
    <w:rsid w:val="000F700F"/>
    <w:rsid w:val="000F70C1"/>
    <w:rsid w:val="000F70C8"/>
    <w:rsid w:val="000F750E"/>
    <w:rsid w:val="000F7D73"/>
    <w:rsid w:val="0010004E"/>
    <w:rsid w:val="00100638"/>
    <w:rsid w:val="00100D0E"/>
    <w:rsid w:val="001011FD"/>
    <w:rsid w:val="00101EC1"/>
    <w:rsid w:val="0010268F"/>
    <w:rsid w:val="00102B4D"/>
    <w:rsid w:val="001033DA"/>
    <w:rsid w:val="001040DE"/>
    <w:rsid w:val="0010628D"/>
    <w:rsid w:val="0010688E"/>
    <w:rsid w:val="00107CAD"/>
    <w:rsid w:val="00110795"/>
    <w:rsid w:val="0011154A"/>
    <w:rsid w:val="0011233F"/>
    <w:rsid w:val="001137AE"/>
    <w:rsid w:val="001140D0"/>
    <w:rsid w:val="001141BD"/>
    <w:rsid w:val="00114E61"/>
    <w:rsid w:val="001155D6"/>
    <w:rsid w:val="0011636C"/>
    <w:rsid w:val="00116723"/>
    <w:rsid w:val="00116AE7"/>
    <w:rsid w:val="00117381"/>
    <w:rsid w:val="00117822"/>
    <w:rsid w:val="001203E7"/>
    <w:rsid w:val="0012056F"/>
    <w:rsid w:val="00122897"/>
    <w:rsid w:val="001229DE"/>
    <w:rsid w:val="001234EB"/>
    <w:rsid w:val="00123E6B"/>
    <w:rsid w:val="00123EFD"/>
    <w:rsid w:val="00125087"/>
    <w:rsid w:val="0012587A"/>
    <w:rsid w:val="0013029D"/>
    <w:rsid w:val="00131B3F"/>
    <w:rsid w:val="00132647"/>
    <w:rsid w:val="001326C6"/>
    <w:rsid w:val="001330E3"/>
    <w:rsid w:val="0013477E"/>
    <w:rsid w:val="00136C7A"/>
    <w:rsid w:val="001377DA"/>
    <w:rsid w:val="00137AA8"/>
    <w:rsid w:val="00137ADB"/>
    <w:rsid w:val="00137B91"/>
    <w:rsid w:val="00137BE3"/>
    <w:rsid w:val="00137E20"/>
    <w:rsid w:val="00140720"/>
    <w:rsid w:val="00141986"/>
    <w:rsid w:val="00142427"/>
    <w:rsid w:val="0014248C"/>
    <w:rsid w:val="001426C4"/>
    <w:rsid w:val="00142F50"/>
    <w:rsid w:val="00143120"/>
    <w:rsid w:val="0014396A"/>
    <w:rsid w:val="00143F1D"/>
    <w:rsid w:val="001469A6"/>
    <w:rsid w:val="00146ADC"/>
    <w:rsid w:val="00147B02"/>
    <w:rsid w:val="00150059"/>
    <w:rsid w:val="001502CC"/>
    <w:rsid w:val="001554DD"/>
    <w:rsid w:val="00155651"/>
    <w:rsid w:val="001560D6"/>
    <w:rsid w:val="00156DAC"/>
    <w:rsid w:val="00157E37"/>
    <w:rsid w:val="001606D6"/>
    <w:rsid w:val="00160888"/>
    <w:rsid w:val="001611C4"/>
    <w:rsid w:val="00161662"/>
    <w:rsid w:val="00163A38"/>
    <w:rsid w:val="00164384"/>
    <w:rsid w:val="00165020"/>
    <w:rsid w:val="0016673D"/>
    <w:rsid w:val="00167D5F"/>
    <w:rsid w:val="00170533"/>
    <w:rsid w:val="001710DA"/>
    <w:rsid w:val="00172290"/>
    <w:rsid w:val="001725F0"/>
    <w:rsid w:val="00173CED"/>
    <w:rsid w:val="001741D3"/>
    <w:rsid w:val="00176F93"/>
    <w:rsid w:val="001775D3"/>
    <w:rsid w:val="00177F4C"/>
    <w:rsid w:val="00180138"/>
    <w:rsid w:val="00180913"/>
    <w:rsid w:val="00181052"/>
    <w:rsid w:val="00182088"/>
    <w:rsid w:val="00182911"/>
    <w:rsid w:val="00182F03"/>
    <w:rsid w:val="00183E23"/>
    <w:rsid w:val="0018424B"/>
    <w:rsid w:val="00184340"/>
    <w:rsid w:val="00186210"/>
    <w:rsid w:val="0018699F"/>
    <w:rsid w:val="0018778C"/>
    <w:rsid w:val="00187A01"/>
    <w:rsid w:val="00191E0E"/>
    <w:rsid w:val="00194755"/>
    <w:rsid w:val="00194EBD"/>
    <w:rsid w:val="00195377"/>
    <w:rsid w:val="00197252"/>
    <w:rsid w:val="00197697"/>
    <w:rsid w:val="00197F64"/>
    <w:rsid w:val="001A04BE"/>
    <w:rsid w:val="001A08E2"/>
    <w:rsid w:val="001A22BD"/>
    <w:rsid w:val="001A3034"/>
    <w:rsid w:val="001A32E3"/>
    <w:rsid w:val="001A43E9"/>
    <w:rsid w:val="001A4EEC"/>
    <w:rsid w:val="001A59A4"/>
    <w:rsid w:val="001A63AE"/>
    <w:rsid w:val="001A7F9A"/>
    <w:rsid w:val="001B0FF3"/>
    <w:rsid w:val="001B725D"/>
    <w:rsid w:val="001B7973"/>
    <w:rsid w:val="001B7CE6"/>
    <w:rsid w:val="001C1A9A"/>
    <w:rsid w:val="001C3C52"/>
    <w:rsid w:val="001C4CAF"/>
    <w:rsid w:val="001C4DFD"/>
    <w:rsid w:val="001C5F68"/>
    <w:rsid w:val="001C63F1"/>
    <w:rsid w:val="001C6679"/>
    <w:rsid w:val="001C6E84"/>
    <w:rsid w:val="001C6F70"/>
    <w:rsid w:val="001C71A1"/>
    <w:rsid w:val="001C79BB"/>
    <w:rsid w:val="001C7A6D"/>
    <w:rsid w:val="001C7D16"/>
    <w:rsid w:val="001D0332"/>
    <w:rsid w:val="001D070F"/>
    <w:rsid w:val="001D109E"/>
    <w:rsid w:val="001D130E"/>
    <w:rsid w:val="001D4492"/>
    <w:rsid w:val="001D46CD"/>
    <w:rsid w:val="001D4833"/>
    <w:rsid w:val="001D5025"/>
    <w:rsid w:val="001D51C0"/>
    <w:rsid w:val="001D63C0"/>
    <w:rsid w:val="001D66A9"/>
    <w:rsid w:val="001D66E0"/>
    <w:rsid w:val="001D7806"/>
    <w:rsid w:val="001E0606"/>
    <w:rsid w:val="001E15AF"/>
    <w:rsid w:val="001E1E04"/>
    <w:rsid w:val="001E2427"/>
    <w:rsid w:val="001E2508"/>
    <w:rsid w:val="001E258A"/>
    <w:rsid w:val="001E338A"/>
    <w:rsid w:val="001E4BC8"/>
    <w:rsid w:val="001E5085"/>
    <w:rsid w:val="001E6F56"/>
    <w:rsid w:val="001E71AC"/>
    <w:rsid w:val="001E72BC"/>
    <w:rsid w:val="001E7AE1"/>
    <w:rsid w:val="001F1181"/>
    <w:rsid w:val="001F17EC"/>
    <w:rsid w:val="001F227B"/>
    <w:rsid w:val="001F2616"/>
    <w:rsid w:val="001F2ABF"/>
    <w:rsid w:val="001F2FBC"/>
    <w:rsid w:val="001F3187"/>
    <w:rsid w:val="001F4212"/>
    <w:rsid w:val="001F461F"/>
    <w:rsid w:val="001F6320"/>
    <w:rsid w:val="001F6630"/>
    <w:rsid w:val="00200E98"/>
    <w:rsid w:val="0020138B"/>
    <w:rsid w:val="00202428"/>
    <w:rsid w:val="0020301F"/>
    <w:rsid w:val="00203046"/>
    <w:rsid w:val="00203DEC"/>
    <w:rsid w:val="0020494F"/>
    <w:rsid w:val="002068E6"/>
    <w:rsid w:val="00211040"/>
    <w:rsid w:val="00211F9F"/>
    <w:rsid w:val="00212427"/>
    <w:rsid w:val="002131E0"/>
    <w:rsid w:val="00213A14"/>
    <w:rsid w:val="00214B90"/>
    <w:rsid w:val="00214D42"/>
    <w:rsid w:val="00215703"/>
    <w:rsid w:val="002159B3"/>
    <w:rsid w:val="00217A20"/>
    <w:rsid w:val="002210C0"/>
    <w:rsid w:val="002211D8"/>
    <w:rsid w:val="00221F31"/>
    <w:rsid w:val="00222116"/>
    <w:rsid w:val="00222860"/>
    <w:rsid w:val="00222A08"/>
    <w:rsid w:val="0022300D"/>
    <w:rsid w:val="00223A14"/>
    <w:rsid w:val="00224C40"/>
    <w:rsid w:val="00224E27"/>
    <w:rsid w:val="00226915"/>
    <w:rsid w:val="002314FD"/>
    <w:rsid w:val="002333B8"/>
    <w:rsid w:val="00233587"/>
    <w:rsid w:val="0023392F"/>
    <w:rsid w:val="00233B01"/>
    <w:rsid w:val="00234010"/>
    <w:rsid w:val="00235FEF"/>
    <w:rsid w:val="002361BE"/>
    <w:rsid w:val="0023622F"/>
    <w:rsid w:val="002370D6"/>
    <w:rsid w:val="002379D3"/>
    <w:rsid w:val="002401B1"/>
    <w:rsid w:val="002406C0"/>
    <w:rsid w:val="002408B1"/>
    <w:rsid w:val="002409CB"/>
    <w:rsid w:val="00242A91"/>
    <w:rsid w:val="00243B44"/>
    <w:rsid w:val="002446E8"/>
    <w:rsid w:val="002447D1"/>
    <w:rsid w:val="00244D08"/>
    <w:rsid w:val="00244DCD"/>
    <w:rsid w:val="00244F2E"/>
    <w:rsid w:val="002451EE"/>
    <w:rsid w:val="002452F2"/>
    <w:rsid w:val="00245C9B"/>
    <w:rsid w:val="00246D29"/>
    <w:rsid w:val="00247545"/>
    <w:rsid w:val="00247F8B"/>
    <w:rsid w:val="002501E8"/>
    <w:rsid w:val="00250C1F"/>
    <w:rsid w:val="00251CEC"/>
    <w:rsid w:val="002521CD"/>
    <w:rsid w:val="002524CE"/>
    <w:rsid w:val="00252AC2"/>
    <w:rsid w:val="00253AF9"/>
    <w:rsid w:val="0025420E"/>
    <w:rsid w:val="00255035"/>
    <w:rsid w:val="002564E9"/>
    <w:rsid w:val="00256E91"/>
    <w:rsid w:val="00257CD7"/>
    <w:rsid w:val="002628DD"/>
    <w:rsid w:val="00262B4C"/>
    <w:rsid w:val="002630BE"/>
    <w:rsid w:val="00263E14"/>
    <w:rsid w:val="0026417D"/>
    <w:rsid w:val="002643F2"/>
    <w:rsid w:val="0026484A"/>
    <w:rsid w:val="00264A81"/>
    <w:rsid w:val="00265211"/>
    <w:rsid w:val="00266120"/>
    <w:rsid w:val="0026774E"/>
    <w:rsid w:val="00270E88"/>
    <w:rsid w:val="00273723"/>
    <w:rsid w:val="00273C26"/>
    <w:rsid w:val="00273D06"/>
    <w:rsid w:val="00274A57"/>
    <w:rsid w:val="00275F0D"/>
    <w:rsid w:val="00276210"/>
    <w:rsid w:val="002773E8"/>
    <w:rsid w:val="00277AE1"/>
    <w:rsid w:val="00277E92"/>
    <w:rsid w:val="0028013D"/>
    <w:rsid w:val="00280536"/>
    <w:rsid w:val="00281110"/>
    <w:rsid w:val="0028164D"/>
    <w:rsid w:val="00281720"/>
    <w:rsid w:val="002817F4"/>
    <w:rsid w:val="00281BFF"/>
    <w:rsid w:val="00281D58"/>
    <w:rsid w:val="00282717"/>
    <w:rsid w:val="002833A3"/>
    <w:rsid w:val="00283AA9"/>
    <w:rsid w:val="00284C47"/>
    <w:rsid w:val="00284E14"/>
    <w:rsid w:val="00285780"/>
    <w:rsid w:val="00285BF7"/>
    <w:rsid w:val="00285E77"/>
    <w:rsid w:val="002868C1"/>
    <w:rsid w:val="0029022F"/>
    <w:rsid w:val="002922BF"/>
    <w:rsid w:val="00292FC0"/>
    <w:rsid w:val="002932E6"/>
    <w:rsid w:val="002946D1"/>
    <w:rsid w:val="00294A39"/>
    <w:rsid w:val="00296039"/>
    <w:rsid w:val="002967E4"/>
    <w:rsid w:val="002A0026"/>
    <w:rsid w:val="002A0610"/>
    <w:rsid w:val="002A0945"/>
    <w:rsid w:val="002A09B6"/>
    <w:rsid w:val="002A317E"/>
    <w:rsid w:val="002A44FF"/>
    <w:rsid w:val="002A4AB3"/>
    <w:rsid w:val="002A584D"/>
    <w:rsid w:val="002A62D7"/>
    <w:rsid w:val="002A733D"/>
    <w:rsid w:val="002A75A5"/>
    <w:rsid w:val="002A7ED3"/>
    <w:rsid w:val="002B0EF7"/>
    <w:rsid w:val="002B1386"/>
    <w:rsid w:val="002B1981"/>
    <w:rsid w:val="002B241D"/>
    <w:rsid w:val="002B2707"/>
    <w:rsid w:val="002B2F56"/>
    <w:rsid w:val="002B3F1E"/>
    <w:rsid w:val="002B5B3F"/>
    <w:rsid w:val="002B715D"/>
    <w:rsid w:val="002C098A"/>
    <w:rsid w:val="002C29FD"/>
    <w:rsid w:val="002C2CDA"/>
    <w:rsid w:val="002C4583"/>
    <w:rsid w:val="002C4601"/>
    <w:rsid w:val="002C59C0"/>
    <w:rsid w:val="002C6A8B"/>
    <w:rsid w:val="002C6F34"/>
    <w:rsid w:val="002D009B"/>
    <w:rsid w:val="002D12B5"/>
    <w:rsid w:val="002D2108"/>
    <w:rsid w:val="002D2388"/>
    <w:rsid w:val="002D289B"/>
    <w:rsid w:val="002D54B2"/>
    <w:rsid w:val="002D6388"/>
    <w:rsid w:val="002D6479"/>
    <w:rsid w:val="002D6937"/>
    <w:rsid w:val="002D6D05"/>
    <w:rsid w:val="002D6F2A"/>
    <w:rsid w:val="002D706F"/>
    <w:rsid w:val="002D726E"/>
    <w:rsid w:val="002D75B8"/>
    <w:rsid w:val="002D7DEE"/>
    <w:rsid w:val="002E0CA4"/>
    <w:rsid w:val="002E1212"/>
    <w:rsid w:val="002E23B9"/>
    <w:rsid w:val="002E389B"/>
    <w:rsid w:val="002E4D43"/>
    <w:rsid w:val="002E5905"/>
    <w:rsid w:val="002E5D85"/>
    <w:rsid w:val="002E767C"/>
    <w:rsid w:val="002F0378"/>
    <w:rsid w:val="002F0C66"/>
    <w:rsid w:val="002F0E6F"/>
    <w:rsid w:val="002F1412"/>
    <w:rsid w:val="002F3427"/>
    <w:rsid w:val="002F363D"/>
    <w:rsid w:val="002F4775"/>
    <w:rsid w:val="002F4B9F"/>
    <w:rsid w:val="002F52C9"/>
    <w:rsid w:val="002F6EBC"/>
    <w:rsid w:val="002F7E7F"/>
    <w:rsid w:val="00301B1D"/>
    <w:rsid w:val="00301E73"/>
    <w:rsid w:val="00302114"/>
    <w:rsid w:val="00302C9A"/>
    <w:rsid w:val="003042F7"/>
    <w:rsid w:val="0030517F"/>
    <w:rsid w:val="003052A2"/>
    <w:rsid w:val="0030539A"/>
    <w:rsid w:val="00305566"/>
    <w:rsid w:val="00306853"/>
    <w:rsid w:val="00307C7F"/>
    <w:rsid w:val="00310A06"/>
    <w:rsid w:val="00310B4B"/>
    <w:rsid w:val="003118A2"/>
    <w:rsid w:val="003119B8"/>
    <w:rsid w:val="003130A1"/>
    <w:rsid w:val="00314888"/>
    <w:rsid w:val="00314999"/>
    <w:rsid w:val="0031509D"/>
    <w:rsid w:val="003159FD"/>
    <w:rsid w:val="00316C05"/>
    <w:rsid w:val="00316DAE"/>
    <w:rsid w:val="00316FE6"/>
    <w:rsid w:val="003202FD"/>
    <w:rsid w:val="00321265"/>
    <w:rsid w:val="003212EF"/>
    <w:rsid w:val="0032140F"/>
    <w:rsid w:val="0032226D"/>
    <w:rsid w:val="003228F5"/>
    <w:rsid w:val="003237D2"/>
    <w:rsid w:val="00325EB5"/>
    <w:rsid w:val="0032603C"/>
    <w:rsid w:val="00326B3D"/>
    <w:rsid w:val="003300C5"/>
    <w:rsid w:val="00330D7C"/>
    <w:rsid w:val="00330FBB"/>
    <w:rsid w:val="003316DF"/>
    <w:rsid w:val="003320BB"/>
    <w:rsid w:val="00333F99"/>
    <w:rsid w:val="003348A0"/>
    <w:rsid w:val="00336C28"/>
    <w:rsid w:val="00337628"/>
    <w:rsid w:val="00337A7F"/>
    <w:rsid w:val="00340045"/>
    <w:rsid w:val="0034101C"/>
    <w:rsid w:val="00341BB8"/>
    <w:rsid w:val="003420CF"/>
    <w:rsid w:val="00342755"/>
    <w:rsid w:val="00343705"/>
    <w:rsid w:val="00343CB6"/>
    <w:rsid w:val="00345281"/>
    <w:rsid w:val="0034578A"/>
    <w:rsid w:val="003458DD"/>
    <w:rsid w:val="00345D3B"/>
    <w:rsid w:val="00346B8F"/>
    <w:rsid w:val="00347607"/>
    <w:rsid w:val="003476FF"/>
    <w:rsid w:val="00350D07"/>
    <w:rsid w:val="003512E8"/>
    <w:rsid w:val="0035206D"/>
    <w:rsid w:val="00352B4D"/>
    <w:rsid w:val="003532FA"/>
    <w:rsid w:val="00354080"/>
    <w:rsid w:val="003542AC"/>
    <w:rsid w:val="00354D4B"/>
    <w:rsid w:val="0035618E"/>
    <w:rsid w:val="003567C0"/>
    <w:rsid w:val="003572D1"/>
    <w:rsid w:val="00360585"/>
    <w:rsid w:val="00363ABA"/>
    <w:rsid w:val="003641E4"/>
    <w:rsid w:val="00364F85"/>
    <w:rsid w:val="0036541A"/>
    <w:rsid w:val="00366467"/>
    <w:rsid w:val="0036723A"/>
    <w:rsid w:val="0036727B"/>
    <w:rsid w:val="00367312"/>
    <w:rsid w:val="003677FB"/>
    <w:rsid w:val="00367A29"/>
    <w:rsid w:val="00367BC5"/>
    <w:rsid w:val="00370F86"/>
    <w:rsid w:val="00371172"/>
    <w:rsid w:val="00371B0F"/>
    <w:rsid w:val="00372120"/>
    <w:rsid w:val="003741FD"/>
    <w:rsid w:val="00374AF0"/>
    <w:rsid w:val="00375D11"/>
    <w:rsid w:val="00376121"/>
    <w:rsid w:val="003779F7"/>
    <w:rsid w:val="00377AB0"/>
    <w:rsid w:val="003805A0"/>
    <w:rsid w:val="003820B9"/>
    <w:rsid w:val="00382D05"/>
    <w:rsid w:val="00383660"/>
    <w:rsid w:val="003836CF"/>
    <w:rsid w:val="00383798"/>
    <w:rsid w:val="00384DEC"/>
    <w:rsid w:val="00387DE0"/>
    <w:rsid w:val="0039099D"/>
    <w:rsid w:val="003916B5"/>
    <w:rsid w:val="00392BAD"/>
    <w:rsid w:val="00392D98"/>
    <w:rsid w:val="003934F2"/>
    <w:rsid w:val="00394CDD"/>
    <w:rsid w:val="00395100"/>
    <w:rsid w:val="00395B8C"/>
    <w:rsid w:val="00396258"/>
    <w:rsid w:val="00396D76"/>
    <w:rsid w:val="003971FA"/>
    <w:rsid w:val="00397BAF"/>
    <w:rsid w:val="003A07B8"/>
    <w:rsid w:val="003A1D04"/>
    <w:rsid w:val="003A2130"/>
    <w:rsid w:val="003A30AB"/>
    <w:rsid w:val="003A3B4E"/>
    <w:rsid w:val="003A4245"/>
    <w:rsid w:val="003A49DF"/>
    <w:rsid w:val="003A709C"/>
    <w:rsid w:val="003A79C0"/>
    <w:rsid w:val="003B1CDF"/>
    <w:rsid w:val="003B1FA7"/>
    <w:rsid w:val="003B231E"/>
    <w:rsid w:val="003B2374"/>
    <w:rsid w:val="003B3DC5"/>
    <w:rsid w:val="003B43D8"/>
    <w:rsid w:val="003B4B56"/>
    <w:rsid w:val="003B5148"/>
    <w:rsid w:val="003B5818"/>
    <w:rsid w:val="003B5E10"/>
    <w:rsid w:val="003B6612"/>
    <w:rsid w:val="003B74FC"/>
    <w:rsid w:val="003C24C4"/>
    <w:rsid w:val="003C261C"/>
    <w:rsid w:val="003C27C4"/>
    <w:rsid w:val="003C28A5"/>
    <w:rsid w:val="003C2F55"/>
    <w:rsid w:val="003C347D"/>
    <w:rsid w:val="003C39A7"/>
    <w:rsid w:val="003C466D"/>
    <w:rsid w:val="003C57A7"/>
    <w:rsid w:val="003C6757"/>
    <w:rsid w:val="003C6A82"/>
    <w:rsid w:val="003C7A12"/>
    <w:rsid w:val="003C7B4D"/>
    <w:rsid w:val="003D2ADD"/>
    <w:rsid w:val="003D38C7"/>
    <w:rsid w:val="003D3A57"/>
    <w:rsid w:val="003D3A7F"/>
    <w:rsid w:val="003D741A"/>
    <w:rsid w:val="003E0160"/>
    <w:rsid w:val="003E10D8"/>
    <w:rsid w:val="003E17AD"/>
    <w:rsid w:val="003E277F"/>
    <w:rsid w:val="003E309D"/>
    <w:rsid w:val="003E4359"/>
    <w:rsid w:val="003E5A30"/>
    <w:rsid w:val="003E5EF2"/>
    <w:rsid w:val="003E7BAA"/>
    <w:rsid w:val="003E7F0E"/>
    <w:rsid w:val="003F00D7"/>
    <w:rsid w:val="003F1C84"/>
    <w:rsid w:val="003F2035"/>
    <w:rsid w:val="003F2587"/>
    <w:rsid w:val="003F25E2"/>
    <w:rsid w:val="003F42A4"/>
    <w:rsid w:val="003F51E3"/>
    <w:rsid w:val="003F560A"/>
    <w:rsid w:val="003F7F29"/>
    <w:rsid w:val="004017E5"/>
    <w:rsid w:val="00403E79"/>
    <w:rsid w:val="0040406D"/>
    <w:rsid w:val="00405536"/>
    <w:rsid w:val="004100DE"/>
    <w:rsid w:val="00410B17"/>
    <w:rsid w:val="004111A1"/>
    <w:rsid w:val="004119D3"/>
    <w:rsid w:val="00411B75"/>
    <w:rsid w:val="00413198"/>
    <w:rsid w:val="00415279"/>
    <w:rsid w:val="004161E4"/>
    <w:rsid w:val="0041689A"/>
    <w:rsid w:val="00416DB1"/>
    <w:rsid w:val="004175A3"/>
    <w:rsid w:val="00417A3F"/>
    <w:rsid w:val="00417DB5"/>
    <w:rsid w:val="004206E1"/>
    <w:rsid w:val="004207F8"/>
    <w:rsid w:val="004220D7"/>
    <w:rsid w:val="00422DCE"/>
    <w:rsid w:val="00422E4F"/>
    <w:rsid w:val="00423805"/>
    <w:rsid w:val="004259E8"/>
    <w:rsid w:val="00426FA5"/>
    <w:rsid w:val="0042784A"/>
    <w:rsid w:val="00427A81"/>
    <w:rsid w:val="00427D11"/>
    <w:rsid w:val="0043006D"/>
    <w:rsid w:val="00430342"/>
    <w:rsid w:val="00430A60"/>
    <w:rsid w:val="00431546"/>
    <w:rsid w:val="0043307A"/>
    <w:rsid w:val="00434694"/>
    <w:rsid w:val="00434E36"/>
    <w:rsid w:val="004354E1"/>
    <w:rsid w:val="00437BD1"/>
    <w:rsid w:val="00440184"/>
    <w:rsid w:val="0044126A"/>
    <w:rsid w:val="0044165B"/>
    <w:rsid w:val="0044191B"/>
    <w:rsid w:val="00441B32"/>
    <w:rsid w:val="0044386A"/>
    <w:rsid w:val="00443A0D"/>
    <w:rsid w:val="00443A65"/>
    <w:rsid w:val="00443AA8"/>
    <w:rsid w:val="00443CB9"/>
    <w:rsid w:val="0044454A"/>
    <w:rsid w:val="00444D85"/>
    <w:rsid w:val="00445856"/>
    <w:rsid w:val="00446CA1"/>
    <w:rsid w:val="00450AB2"/>
    <w:rsid w:val="00452D97"/>
    <w:rsid w:val="00452E40"/>
    <w:rsid w:val="004541E1"/>
    <w:rsid w:val="00455E60"/>
    <w:rsid w:val="00456777"/>
    <w:rsid w:val="00456965"/>
    <w:rsid w:val="0046114F"/>
    <w:rsid w:val="004618C8"/>
    <w:rsid w:val="00461E88"/>
    <w:rsid w:val="00461F16"/>
    <w:rsid w:val="0046318B"/>
    <w:rsid w:val="00463461"/>
    <w:rsid w:val="004640AB"/>
    <w:rsid w:val="0046461C"/>
    <w:rsid w:val="00465531"/>
    <w:rsid w:val="004666F1"/>
    <w:rsid w:val="0046682E"/>
    <w:rsid w:val="00470573"/>
    <w:rsid w:val="00470A03"/>
    <w:rsid w:val="00470C5A"/>
    <w:rsid w:val="00471045"/>
    <w:rsid w:val="00472B38"/>
    <w:rsid w:val="004733FB"/>
    <w:rsid w:val="0047357D"/>
    <w:rsid w:val="00473E19"/>
    <w:rsid w:val="0047423D"/>
    <w:rsid w:val="00475009"/>
    <w:rsid w:val="00475182"/>
    <w:rsid w:val="0047689D"/>
    <w:rsid w:val="00477590"/>
    <w:rsid w:val="00477DED"/>
    <w:rsid w:val="00480F1F"/>
    <w:rsid w:val="0048130A"/>
    <w:rsid w:val="004814F7"/>
    <w:rsid w:val="004825C6"/>
    <w:rsid w:val="00483893"/>
    <w:rsid w:val="00484073"/>
    <w:rsid w:val="00484901"/>
    <w:rsid w:val="00484934"/>
    <w:rsid w:val="0048494B"/>
    <w:rsid w:val="0048586D"/>
    <w:rsid w:val="00485F10"/>
    <w:rsid w:val="0048642B"/>
    <w:rsid w:val="00486747"/>
    <w:rsid w:val="00486C6F"/>
    <w:rsid w:val="004903AD"/>
    <w:rsid w:val="00490804"/>
    <w:rsid w:val="004908A9"/>
    <w:rsid w:val="00490D96"/>
    <w:rsid w:val="004922D4"/>
    <w:rsid w:val="0049231C"/>
    <w:rsid w:val="0049240C"/>
    <w:rsid w:val="00493D76"/>
    <w:rsid w:val="0049466A"/>
    <w:rsid w:val="00494B61"/>
    <w:rsid w:val="004956B2"/>
    <w:rsid w:val="004970EB"/>
    <w:rsid w:val="004A0511"/>
    <w:rsid w:val="004A0D82"/>
    <w:rsid w:val="004A1622"/>
    <w:rsid w:val="004A3E25"/>
    <w:rsid w:val="004A3F95"/>
    <w:rsid w:val="004A4122"/>
    <w:rsid w:val="004A4965"/>
    <w:rsid w:val="004A5660"/>
    <w:rsid w:val="004A583B"/>
    <w:rsid w:val="004A5996"/>
    <w:rsid w:val="004A5AD1"/>
    <w:rsid w:val="004A6E76"/>
    <w:rsid w:val="004A7F9C"/>
    <w:rsid w:val="004B0211"/>
    <w:rsid w:val="004B13B3"/>
    <w:rsid w:val="004B1424"/>
    <w:rsid w:val="004B179D"/>
    <w:rsid w:val="004B1C55"/>
    <w:rsid w:val="004B2330"/>
    <w:rsid w:val="004B2E50"/>
    <w:rsid w:val="004B312E"/>
    <w:rsid w:val="004B3ACD"/>
    <w:rsid w:val="004B4E16"/>
    <w:rsid w:val="004B6C9D"/>
    <w:rsid w:val="004B7ECF"/>
    <w:rsid w:val="004C0275"/>
    <w:rsid w:val="004C046C"/>
    <w:rsid w:val="004C04CB"/>
    <w:rsid w:val="004C0923"/>
    <w:rsid w:val="004C2071"/>
    <w:rsid w:val="004C2097"/>
    <w:rsid w:val="004C27F1"/>
    <w:rsid w:val="004C4033"/>
    <w:rsid w:val="004D1EF3"/>
    <w:rsid w:val="004D4695"/>
    <w:rsid w:val="004D48AD"/>
    <w:rsid w:val="004D5F7E"/>
    <w:rsid w:val="004D6171"/>
    <w:rsid w:val="004D6FD2"/>
    <w:rsid w:val="004D7559"/>
    <w:rsid w:val="004E11C5"/>
    <w:rsid w:val="004E12A8"/>
    <w:rsid w:val="004E1789"/>
    <w:rsid w:val="004E1A33"/>
    <w:rsid w:val="004E1EF7"/>
    <w:rsid w:val="004E2782"/>
    <w:rsid w:val="004E2887"/>
    <w:rsid w:val="004E31F6"/>
    <w:rsid w:val="004E3836"/>
    <w:rsid w:val="004E3A93"/>
    <w:rsid w:val="004E3B73"/>
    <w:rsid w:val="004E45D9"/>
    <w:rsid w:val="004E4CFA"/>
    <w:rsid w:val="004E6011"/>
    <w:rsid w:val="004E613C"/>
    <w:rsid w:val="004E64DB"/>
    <w:rsid w:val="004E6B5E"/>
    <w:rsid w:val="004E7582"/>
    <w:rsid w:val="004E7B3E"/>
    <w:rsid w:val="004F0B06"/>
    <w:rsid w:val="004F0FC0"/>
    <w:rsid w:val="004F125E"/>
    <w:rsid w:val="004F5464"/>
    <w:rsid w:val="004F5F34"/>
    <w:rsid w:val="004F5F6B"/>
    <w:rsid w:val="005008DD"/>
    <w:rsid w:val="00500DD8"/>
    <w:rsid w:val="00503695"/>
    <w:rsid w:val="00503C75"/>
    <w:rsid w:val="00503CC1"/>
    <w:rsid w:val="00504054"/>
    <w:rsid w:val="00505085"/>
    <w:rsid w:val="00505325"/>
    <w:rsid w:val="0050558D"/>
    <w:rsid w:val="0050587B"/>
    <w:rsid w:val="00505AC8"/>
    <w:rsid w:val="0050631F"/>
    <w:rsid w:val="00506EC3"/>
    <w:rsid w:val="0051054D"/>
    <w:rsid w:val="0051263F"/>
    <w:rsid w:val="0051494E"/>
    <w:rsid w:val="00514DEF"/>
    <w:rsid w:val="00514E78"/>
    <w:rsid w:val="00515E8F"/>
    <w:rsid w:val="005169B2"/>
    <w:rsid w:val="00516DDF"/>
    <w:rsid w:val="00517014"/>
    <w:rsid w:val="0052106B"/>
    <w:rsid w:val="005210CA"/>
    <w:rsid w:val="00521416"/>
    <w:rsid w:val="00521658"/>
    <w:rsid w:val="0052276E"/>
    <w:rsid w:val="0052385C"/>
    <w:rsid w:val="00523A16"/>
    <w:rsid w:val="005242FE"/>
    <w:rsid w:val="005247B7"/>
    <w:rsid w:val="00526FF4"/>
    <w:rsid w:val="0052721A"/>
    <w:rsid w:val="005275FC"/>
    <w:rsid w:val="005300FD"/>
    <w:rsid w:val="00530310"/>
    <w:rsid w:val="00530EF6"/>
    <w:rsid w:val="00533274"/>
    <w:rsid w:val="00533968"/>
    <w:rsid w:val="00534AAF"/>
    <w:rsid w:val="005353CD"/>
    <w:rsid w:val="00535995"/>
    <w:rsid w:val="005359F9"/>
    <w:rsid w:val="005378E8"/>
    <w:rsid w:val="0054069E"/>
    <w:rsid w:val="00540AFE"/>
    <w:rsid w:val="00540D6E"/>
    <w:rsid w:val="00541226"/>
    <w:rsid w:val="0054187F"/>
    <w:rsid w:val="00541A8D"/>
    <w:rsid w:val="00542EDC"/>
    <w:rsid w:val="00543CB3"/>
    <w:rsid w:val="005443B7"/>
    <w:rsid w:val="00544D5D"/>
    <w:rsid w:val="00544F04"/>
    <w:rsid w:val="005453E4"/>
    <w:rsid w:val="005459C3"/>
    <w:rsid w:val="00546142"/>
    <w:rsid w:val="00546DF1"/>
    <w:rsid w:val="005507CB"/>
    <w:rsid w:val="00551058"/>
    <w:rsid w:val="00551AA7"/>
    <w:rsid w:val="00552CDB"/>
    <w:rsid w:val="005532DF"/>
    <w:rsid w:val="00553635"/>
    <w:rsid w:val="00554E1D"/>
    <w:rsid w:val="0055537F"/>
    <w:rsid w:val="0055608C"/>
    <w:rsid w:val="00556595"/>
    <w:rsid w:val="00556A8C"/>
    <w:rsid w:val="00556B41"/>
    <w:rsid w:val="00557237"/>
    <w:rsid w:val="005578A7"/>
    <w:rsid w:val="00557B2A"/>
    <w:rsid w:val="005602D5"/>
    <w:rsid w:val="00561728"/>
    <w:rsid w:val="0056268B"/>
    <w:rsid w:val="005641B8"/>
    <w:rsid w:val="005651D7"/>
    <w:rsid w:val="00566223"/>
    <w:rsid w:val="00566A9F"/>
    <w:rsid w:val="00567DF7"/>
    <w:rsid w:val="00567E02"/>
    <w:rsid w:val="005722FC"/>
    <w:rsid w:val="00572CC7"/>
    <w:rsid w:val="005764B2"/>
    <w:rsid w:val="00576DA2"/>
    <w:rsid w:val="0057796C"/>
    <w:rsid w:val="0058053B"/>
    <w:rsid w:val="00580670"/>
    <w:rsid w:val="0058142F"/>
    <w:rsid w:val="005815B1"/>
    <w:rsid w:val="005826E8"/>
    <w:rsid w:val="00582FB6"/>
    <w:rsid w:val="00583A1F"/>
    <w:rsid w:val="0058515D"/>
    <w:rsid w:val="0058676E"/>
    <w:rsid w:val="005874D8"/>
    <w:rsid w:val="00587E7B"/>
    <w:rsid w:val="00591008"/>
    <w:rsid w:val="0059188D"/>
    <w:rsid w:val="00592106"/>
    <w:rsid w:val="005922E0"/>
    <w:rsid w:val="00592AD8"/>
    <w:rsid w:val="00592B00"/>
    <w:rsid w:val="005932E0"/>
    <w:rsid w:val="00593391"/>
    <w:rsid w:val="00594A61"/>
    <w:rsid w:val="00594C77"/>
    <w:rsid w:val="005957E0"/>
    <w:rsid w:val="00596300"/>
    <w:rsid w:val="00597A68"/>
    <w:rsid w:val="005A2F9D"/>
    <w:rsid w:val="005A407F"/>
    <w:rsid w:val="005A52B5"/>
    <w:rsid w:val="005A64C4"/>
    <w:rsid w:val="005A6668"/>
    <w:rsid w:val="005A7C55"/>
    <w:rsid w:val="005B10D7"/>
    <w:rsid w:val="005B1AA8"/>
    <w:rsid w:val="005B2A74"/>
    <w:rsid w:val="005B32AA"/>
    <w:rsid w:val="005B368A"/>
    <w:rsid w:val="005B45AB"/>
    <w:rsid w:val="005B4A79"/>
    <w:rsid w:val="005B5B4F"/>
    <w:rsid w:val="005B7524"/>
    <w:rsid w:val="005B7DE2"/>
    <w:rsid w:val="005C0DC7"/>
    <w:rsid w:val="005C6829"/>
    <w:rsid w:val="005C6AE1"/>
    <w:rsid w:val="005C6E38"/>
    <w:rsid w:val="005C7684"/>
    <w:rsid w:val="005C7AF1"/>
    <w:rsid w:val="005D0B6E"/>
    <w:rsid w:val="005D0C74"/>
    <w:rsid w:val="005D1D6D"/>
    <w:rsid w:val="005D1F83"/>
    <w:rsid w:val="005D2156"/>
    <w:rsid w:val="005D2995"/>
    <w:rsid w:val="005D3A0C"/>
    <w:rsid w:val="005D3E37"/>
    <w:rsid w:val="005D498C"/>
    <w:rsid w:val="005D5DE3"/>
    <w:rsid w:val="005D6192"/>
    <w:rsid w:val="005D69DD"/>
    <w:rsid w:val="005D7F7F"/>
    <w:rsid w:val="005E050E"/>
    <w:rsid w:val="005E1867"/>
    <w:rsid w:val="005E318A"/>
    <w:rsid w:val="005E37F0"/>
    <w:rsid w:val="005E39EA"/>
    <w:rsid w:val="005E521D"/>
    <w:rsid w:val="005E52A7"/>
    <w:rsid w:val="005E5317"/>
    <w:rsid w:val="005E5F43"/>
    <w:rsid w:val="005E633F"/>
    <w:rsid w:val="005E6DE2"/>
    <w:rsid w:val="005E7594"/>
    <w:rsid w:val="005E7DAC"/>
    <w:rsid w:val="005F099F"/>
    <w:rsid w:val="005F0C6B"/>
    <w:rsid w:val="005F110B"/>
    <w:rsid w:val="005F1C9C"/>
    <w:rsid w:val="005F22C2"/>
    <w:rsid w:val="005F2A4A"/>
    <w:rsid w:val="005F38EE"/>
    <w:rsid w:val="005F3B84"/>
    <w:rsid w:val="005F4056"/>
    <w:rsid w:val="005F5651"/>
    <w:rsid w:val="005F5A22"/>
    <w:rsid w:val="005F745A"/>
    <w:rsid w:val="00601076"/>
    <w:rsid w:val="006012DA"/>
    <w:rsid w:val="00601A2F"/>
    <w:rsid w:val="006033C7"/>
    <w:rsid w:val="006042B8"/>
    <w:rsid w:val="006044E9"/>
    <w:rsid w:val="00606402"/>
    <w:rsid w:val="00606644"/>
    <w:rsid w:val="00606F5F"/>
    <w:rsid w:val="00607FD5"/>
    <w:rsid w:val="0061007F"/>
    <w:rsid w:val="006116A1"/>
    <w:rsid w:val="00612000"/>
    <w:rsid w:val="00612375"/>
    <w:rsid w:val="00612917"/>
    <w:rsid w:val="00614160"/>
    <w:rsid w:val="00614CC8"/>
    <w:rsid w:val="00614CFA"/>
    <w:rsid w:val="00616292"/>
    <w:rsid w:val="006179F5"/>
    <w:rsid w:val="0062237F"/>
    <w:rsid w:val="00624355"/>
    <w:rsid w:val="006244B7"/>
    <w:rsid w:val="00624638"/>
    <w:rsid w:val="00624854"/>
    <w:rsid w:val="00624D28"/>
    <w:rsid w:val="00624FA9"/>
    <w:rsid w:val="00625778"/>
    <w:rsid w:val="0062733F"/>
    <w:rsid w:val="00627D11"/>
    <w:rsid w:val="00630129"/>
    <w:rsid w:val="00630434"/>
    <w:rsid w:val="0063090B"/>
    <w:rsid w:val="00630D0A"/>
    <w:rsid w:val="00632431"/>
    <w:rsid w:val="00632675"/>
    <w:rsid w:val="006329E7"/>
    <w:rsid w:val="0063439D"/>
    <w:rsid w:val="0063484E"/>
    <w:rsid w:val="00635913"/>
    <w:rsid w:val="00635C2B"/>
    <w:rsid w:val="00635F47"/>
    <w:rsid w:val="006402FA"/>
    <w:rsid w:val="006407FC"/>
    <w:rsid w:val="00640AE4"/>
    <w:rsid w:val="00640FF0"/>
    <w:rsid w:val="0064113E"/>
    <w:rsid w:val="00642C37"/>
    <w:rsid w:val="00643A45"/>
    <w:rsid w:val="0064440D"/>
    <w:rsid w:val="00645994"/>
    <w:rsid w:val="0064608F"/>
    <w:rsid w:val="0064688B"/>
    <w:rsid w:val="0064770F"/>
    <w:rsid w:val="00650061"/>
    <w:rsid w:val="00650BA3"/>
    <w:rsid w:val="00651903"/>
    <w:rsid w:val="0065331A"/>
    <w:rsid w:val="0065407A"/>
    <w:rsid w:val="00654517"/>
    <w:rsid w:val="00654CB1"/>
    <w:rsid w:val="0065538B"/>
    <w:rsid w:val="00655B16"/>
    <w:rsid w:val="00655FBB"/>
    <w:rsid w:val="00661508"/>
    <w:rsid w:val="00662241"/>
    <w:rsid w:val="00662FCE"/>
    <w:rsid w:val="00663B36"/>
    <w:rsid w:val="00665342"/>
    <w:rsid w:val="006657D9"/>
    <w:rsid w:val="00665B97"/>
    <w:rsid w:val="00666079"/>
    <w:rsid w:val="00666FC6"/>
    <w:rsid w:val="00666FE5"/>
    <w:rsid w:val="00667691"/>
    <w:rsid w:val="00667B90"/>
    <w:rsid w:val="0067015D"/>
    <w:rsid w:val="0067312A"/>
    <w:rsid w:val="006758FA"/>
    <w:rsid w:val="0067601A"/>
    <w:rsid w:val="00676D4C"/>
    <w:rsid w:val="00676E11"/>
    <w:rsid w:val="0067721F"/>
    <w:rsid w:val="006776D4"/>
    <w:rsid w:val="00677828"/>
    <w:rsid w:val="006813C6"/>
    <w:rsid w:val="006819D7"/>
    <w:rsid w:val="00682788"/>
    <w:rsid w:val="00682AA7"/>
    <w:rsid w:val="0068317C"/>
    <w:rsid w:val="00684ADA"/>
    <w:rsid w:val="00685378"/>
    <w:rsid w:val="00685C56"/>
    <w:rsid w:val="00685C81"/>
    <w:rsid w:val="0068642A"/>
    <w:rsid w:val="00686437"/>
    <w:rsid w:val="00686CBD"/>
    <w:rsid w:val="00687FBA"/>
    <w:rsid w:val="00691B85"/>
    <w:rsid w:val="0069227D"/>
    <w:rsid w:val="00693539"/>
    <w:rsid w:val="006941CA"/>
    <w:rsid w:val="00695570"/>
    <w:rsid w:val="0069575E"/>
    <w:rsid w:val="00695DA0"/>
    <w:rsid w:val="00695DDB"/>
    <w:rsid w:val="00696996"/>
    <w:rsid w:val="006A0117"/>
    <w:rsid w:val="006A0A07"/>
    <w:rsid w:val="006A0D75"/>
    <w:rsid w:val="006A2E24"/>
    <w:rsid w:val="006A571E"/>
    <w:rsid w:val="006A57EA"/>
    <w:rsid w:val="006A6B04"/>
    <w:rsid w:val="006A750A"/>
    <w:rsid w:val="006A7954"/>
    <w:rsid w:val="006A7EBB"/>
    <w:rsid w:val="006B014E"/>
    <w:rsid w:val="006B039D"/>
    <w:rsid w:val="006B06CA"/>
    <w:rsid w:val="006B0BB5"/>
    <w:rsid w:val="006B0C19"/>
    <w:rsid w:val="006B101D"/>
    <w:rsid w:val="006B1D20"/>
    <w:rsid w:val="006B4AD6"/>
    <w:rsid w:val="006B4B3C"/>
    <w:rsid w:val="006B7FA7"/>
    <w:rsid w:val="006C0481"/>
    <w:rsid w:val="006C14A0"/>
    <w:rsid w:val="006C15A6"/>
    <w:rsid w:val="006C1772"/>
    <w:rsid w:val="006C17CE"/>
    <w:rsid w:val="006C1FC4"/>
    <w:rsid w:val="006C2048"/>
    <w:rsid w:val="006C2173"/>
    <w:rsid w:val="006C240A"/>
    <w:rsid w:val="006C2FE1"/>
    <w:rsid w:val="006C3EB1"/>
    <w:rsid w:val="006C5D13"/>
    <w:rsid w:val="006C5F24"/>
    <w:rsid w:val="006C60AC"/>
    <w:rsid w:val="006D0155"/>
    <w:rsid w:val="006D0267"/>
    <w:rsid w:val="006D11DF"/>
    <w:rsid w:val="006D314F"/>
    <w:rsid w:val="006D4D27"/>
    <w:rsid w:val="006D4FB0"/>
    <w:rsid w:val="006D57BF"/>
    <w:rsid w:val="006D58E6"/>
    <w:rsid w:val="006D5B25"/>
    <w:rsid w:val="006D62AD"/>
    <w:rsid w:val="006D7C07"/>
    <w:rsid w:val="006E0CEA"/>
    <w:rsid w:val="006E0E47"/>
    <w:rsid w:val="006E1825"/>
    <w:rsid w:val="006E1914"/>
    <w:rsid w:val="006E2047"/>
    <w:rsid w:val="006E3B58"/>
    <w:rsid w:val="006E3DE3"/>
    <w:rsid w:val="006E4B0B"/>
    <w:rsid w:val="006E5816"/>
    <w:rsid w:val="006E5911"/>
    <w:rsid w:val="006E59FD"/>
    <w:rsid w:val="006E5B04"/>
    <w:rsid w:val="006E78BD"/>
    <w:rsid w:val="006E7B77"/>
    <w:rsid w:val="006F0917"/>
    <w:rsid w:val="006F0C64"/>
    <w:rsid w:val="006F1C31"/>
    <w:rsid w:val="006F2E59"/>
    <w:rsid w:val="006F385A"/>
    <w:rsid w:val="006F410A"/>
    <w:rsid w:val="006F49E6"/>
    <w:rsid w:val="006F4CB3"/>
    <w:rsid w:val="006F4FDF"/>
    <w:rsid w:val="006F551A"/>
    <w:rsid w:val="006F7F5F"/>
    <w:rsid w:val="00700588"/>
    <w:rsid w:val="007021D8"/>
    <w:rsid w:val="00702A9F"/>
    <w:rsid w:val="007032BB"/>
    <w:rsid w:val="00704004"/>
    <w:rsid w:val="007048D3"/>
    <w:rsid w:val="007069AC"/>
    <w:rsid w:val="00710904"/>
    <w:rsid w:val="00711223"/>
    <w:rsid w:val="007123C7"/>
    <w:rsid w:val="007125BA"/>
    <w:rsid w:val="00712DB0"/>
    <w:rsid w:val="00714FA7"/>
    <w:rsid w:val="00715328"/>
    <w:rsid w:val="00715C19"/>
    <w:rsid w:val="00715E9D"/>
    <w:rsid w:val="00715F25"/>
    <w:rsid w:val="007164AB"/>
    <w:rsid w:val="007169C4"/>
    <w:rsid w:val="00716E29"/>
    <w:rsid w:val="00717EE5"/>
    <w:rsid w:val="007212ED"/>
    <w:rsid w:val="00722317"/>
    <w:rsid w:val="007230FF"/>
    <w:rsid w:val="00724EF7"/>
    <w:rsid w:val="00725311"/>
    <w:rsid w:val="00725C2F"/>
    <w:rsid w:val="0072669A"/>
    <w:rsid w:val="0073058E"/>
    <w:rsid w:val="007309C0"/>
    <w:rsid w:val="00730F30"/>
    <w:rsid w:val="007321B4"/>
    <w:rsid w:val="00732781"/>
    <w:rsid w:val="00732F2E"/>
    <w:rsid w:val="007334C3"/>
    <w:rsid w:val="00733C4F"/>
    <w:rsid w:val="00733F7E"/>
    <w:rsid w:val="00735679"/>
    <w:rsid w:val="007360BE"/>
    <w:rsid w:val="00740339"/>
    <w:rsid w:val="00742665"/>
    <w:rsid w:val="00742930"/>
    <w:rsid w:val="00743202"/>
    <w:rsid w:val="00743F77"/>
    <w:rsid w:val="0074547A"/>
    <w:rsid w:val="0074649D"/>
    <w:rsid w:val="00752533"/>
    <w:rsid w:val="00753269"/>
    <w:rsid w:val="007533D9"/>
    <w:rsid w:val="007535A2"/>
    <w:rsid w:val="0075394A"/>
    <w:rsid w:val="00754328"/>
    <w:rsid w:val="0075463E"/>
    <w:rsid w:val="007554A1"/>
    <w:rsid w:val="00755C00"/>
    <w:rsid w:val="00755C18"/>
    <w:rsid w:val="007561D1"/>
    <w:rsid w:val="00756CD6"/>
    <w:rsid w:val="00757359"/>
    <w:rsid w:val="00757BB7"/>
    <w:rsid w:val="00757D2F"/>
    <w:rsid w:val="00757DB1"/>
    <w:rsid w:val="00757F08"/>
    <w:rsid w:val="0076111D"/>
    <w:rsid w:val="007628E3"/>
    <w:rsid w:val="00762F9F"/>
    <w:rsid w:val="0076540A"/>
    <w:rsid w:val="007655D8"/>
    <w:rsid w:val="00766235"/>
    <w:rsid w:val="00766289"/>
    <w:rsid w:val="0076776F"/>
    <w:rsid w:val="00767C58"/>
    <w:rsid w:val="00767E21"/>
    <w:rsid w:val="00767E66"/>
    <w:rsid w:val="00770941"/>
    <w:rsid w:val="00770F1D"/>
    <w:rsid w:val="00771BF6"/>
    <w:rsid w:val="007727DA"/>
    <w:rsid w:val="0077409E"/>
    <w:rsid w:val="00774C38"/>
    <w:rsid w:val="00775D4C"/>
    <w:rsid w:val="00775F30"/>
    <w:rsid w:val="007760E1"/>
    <w:rsid w:val="007776FD"/>
    <w:rsid w:val="00780FBC"/>
    <w:rsid w:val="007811B6"/>
    <w:rsid w:val="007815EC"/>
    <w:rsid w:val="0078267E"/>
    <w:rsid w:val="007827C9"/>
    <w:rsid w:val="00782AF0"/>
    <w:rsid w:val="00782B2B"/>
    <w:rsid w:val="00782BD4"/>
    <w:rsid w:val="0078319E"/>
    <w:rsid w:val="00783CF1"/>
    <w:rsid w:val="007844C0"/>
    <w:rsid w:val="007845C4"/>
    <w:rsid w:val="007848E9"/>
    <w:rsid w:val="007853A7"/>
    <w:rsid w:val="00785624"/>
    <w:rsid w:val="007860BB"/>
    <w:rsid w:val="007861BF"/>
    <w:rsid w:val="007872D4"/>
    <w:rsid w:val="00787C89"/>
    <w:rsid w:val="00787EC7"/>
    <w:rsid w:val="00791112"/>
    <w:rsid w:val="0079192F"/>
    <w:rsid w:val="00791E4F"/>
    <w:rsid w:val="00791ED1"/>
    <w:rsid w:val="00791F89"/>
    <w:rsid w:val="00792658"/>
    <w:rsid w:val="007932ED"/>
    <w:rsid w:val="007940D7"/>
    <w:rsid w:val="00795B9A"/>
    <w:rsid w:val="00796BB4"/>
    <w:rsid w:val="00797203"/>
    <w:rsid w:val="007A0FF1"/>
    <w:rsid w:val="007A109A"/>
    <w:rsid w:val="007A1DC1"/>
    <w:rsid w:val="007A22E6"/>
    <w:rsid w:val="007A246D"/>
    <w:rsid w:val="007A2714"/>
    <w:rsid w:val="007A3193"/>
    <w:rsid w:val="007A3D70"/>
    <w:rsid w:val="007A41E0"/>
    <w:rsid w:val="007A5322"/>
    <w:rsid w:val="007A6BD0"/>
    <w:rsid w:val="007A6CF2"/>
    <w:rsid w:val="007A7156"/>
    <w:rsid w:val="007A73CF"/>
    <w:rsid w:val="007A7617"/>
    <w:rsid w:val="007B1AEA"/>
    <w:rsid w:val="007B2F1E"/>
    <w:rsid w:val="007B336D"/>
    <w:rsid w:val="007B4889"/>
    <w:rsid w:val="007B7303"/>
    <w:rsid w:val="007B7458"/>
    <w:rsid w:val="007B7C4A"/>
    <w:rsid w:val="007C115B"/>
    <w:rsid w:val="007C1EE8"/>
    <w:rsid w:val="007C1FDC"/>
    <w:rsid w:val="007C35E2"/>
    <w:rsid w:val="007C4281"/>
    <w:rsid w:val="007C4C51"/>
    <w:rsid w:val="007C5027"/>
    <w:rsid w:val="007C5671"/>
    <w:rsid w:val="007C5DB3"/>
    <w:rsid w:val="007C5E63"/>
    <w:rsid w:val="007C6E1E"/>
    <w:rsid w:val="007D0FE7"/>
    <w:rsid w:val="007D4B4F"/>
    <w:rsid w:val="007D6A53"/>
    <w:rsid w:val="007D7BFA"/>
    <w:rsid w:val="007E0CD9"/>
    <w:rsid w:val="007E198A"/>
    <w:rsid w:val="007E3AD6"/>
    <w:rsid w:val="007E43BA"/>
    <w:rsid w:val="007E44CC"/>
    <w:rsid w:val="007E5162"/>
    <w:rsid w:val="007E555D"/>
    <w:rsid w:val="007E63C9"/>
    <w:rsid w:val="007E6785"/>
    <w:rsid w:val="007E76F8"/>
    <w:rsid w:val="007E78E7"/>
    <w:rsid w:val="007F1B38"/>
    <w:rsid w:val="007F1BFD"/>
    <w:rsid w:val="007F1E29"/>
    <w:rsid w:val="007F2265"/>
    <w:rsid w:val="007F2AA5"/>
    <w:rsid w:val="007F39E8"/>
    <w:rsid w:val="007F4113"/>
    <w:rsid w:val="007F4FE8"/>
    <w:rsid w:val="007F69A1"/>
    <w:rsid w:val="007F6ADD"/>
    <w:rsid w:val="007F6EDB"/>
    <w:rsid w:val="007F7D61"/>
    <w:rsid w:val="007F7EB6"/>
    <w:rsid w:val="008013C3"/>
    <w:rsid w:val="00803032"/>
    <w:rsid w:val="008037BF"/>
    <w:rsid w:val="00803DC4"/>
    <w:rsid w:val="00804ED9"/>
    <w:rsid w:val="0080605A"/>
    <w:rsid w:val="0080629B"/>
    <w:rsid w:val="00806730"/>
    <w:rsid w:val="00807677"/>
    <w:rsid w:val="00807DA0"/>
    <w:rsid w:val="008103EA"/>
    <w:rsid w:val="00810598"/>
    <w:rsid w:val="00812A06"/>
    <w:rsid w:val="00812AC5"/>
    <w:rsid w:val="00812D5B"/>
    <w:rsid w:val="00813619"/>
    <w:rsid w:val="00813834"/>
    <w:rsid w:val="00814CD5"/>
    <w:rsid w:val="0081515D"/>
    <w:rsid w:val="0081591F"/>
    <w:rsid w:val="00817449"/>
    <w:rsid w:val="008179E7"/>
    <w:rsid w:val="00817B5D"/>
    <w:rsid w:val="00817F8C"/>
    <w:rsid w:val="00820630"/>
    <w:rsid w:val="00820CC2"/>
    <w:rsid w:val="008224E6"/>
    <w:rsid w:val="008227A6"/>
    <w:rsid w:val="00824080"/>
    <w:rsid w:val="00824152"/>
    <w:rsid w:val="00824A4D"/>
    <w:rsid w:val="00825207"/>
    <w:rsid w:val="00826711"/>
    <w:rsid w:val="00830A5F"/>
    <w:rsid w:val="008319F7"/>
    <w:rsid w:val="0083337E"/>
    <w:rsid w:val="00833568"/>
    <w:rsid w:val="00834A55"/>
    <w:rsid w:val="00834B97"/>
    <w:rsid w:val="0083511F"/>
    <w:rsid w:val="008355B0"/>
    <w:rsid w:val="008371AB"/>
    <w:rsid w:val="008374B8"/>
    <w:rsid w:val="00837A80"/>
    <w:rsid w:val="00840184"/>
    <w:rsid w:val="00840819"/>
    <w:rsid w:val="00840F95"/>
    <w:rsid w:val="00841618"/>
    <w:rsid w:val="00842B46"/>
    <w:rsid w:val="00842C6B"/>
    <w:rsid w:val="008434F6"/>
    <w:rsid w:val="00843BD4"/>
    <w:rsid w:val="00844D25"/>
    <w:rsid w:val="00844E3D"/>
    <w:rsid w:val="0084584D"/>
    <w:rsid w:val="008471B7"/>
    <w:rsid w:val="00850E66"/>
    <w:rsid w:val="008516F9"/>
    <w:rsid w:val="0085183E"/>
    <w:rsid w:val="00851F1C"/>
    <w:rsid w:val="00852499"/>
    <w:rsid w:val="00853050"/>
    <w:rsid w:val="0085332D"/>
    <w:rsid w:val="008545FE"/>
    <w:rsid w:val="00855019"/>
    <w:rsid w:val="00856F1E"/>
    <w:rsid w:val="00857600"/>
    <w:rsid w:val="008621C7"/>
    <w:rsid w:val="00862D36"/>
    <w:rsid w:val="00863171"/>
    <w:rsid w:val="00865DA4"/>
    <w:rsid w:val="0086612E"/>
    <w:rsid w:val="0086676B"/>
    <w:rsid w:val="00872F12"/>
    <w:rsid w:val="00873799"/>
    <w:rsid w:val="0087419F"/>
    <w:rsid w:val="00874CD1"/>
    <w:rsid w:val="00875A53"/>
    <w:rsid w:val="0087668A"/>
    <w:rsid w:val="00876BF1"/>
    <w:rsid w:val="00877494"/>
    <w:rsid w:val="00877612"/>
    <w:rsid w:val="0087762C"/>
    <w:rsid w:val="00880666"/>
    <w:rsid w:val="008811D7"/>
    <w:rsid w:val="0088218A"/>
    <w:rsid w:val="00884341"/>
    <w:rsid w:val="00884D26"/>
    <w:rsid w:val="008863A6"/>
    <w:rsid w:val="008863D9"/>
    <w:rsid w:val="0088712A"/>
    <w:rsid w:val="00887F82"/>
    <w:rsid w:val="008911A1"/>
    <w:rsid w:val="00891D3D"/>
    <w:rsid w:val="008937F8"/>
    <w:rsid w:val="008939BB"/>
    <w:rsid w:val="00893DD5"/>
    <w:rsid w:val="00895047"/>
    <w:rsid w:val="00895331"/>
    <w:rsid w:val="0089606D"/>
    <w:rsid w:val="00896BAB"/>
    <w:rsid w:val="00896BFA"/>
    <w:rsid w:val="008975D1"/>
    <w:rsid w:val="008A0A4A"/>
    <w:rsid w:val="008A0FC1"/>
    <w:rsid w:val="008A25D3"/>
    <w:rsid w:val="008A285E"/>
    <w:rsid w:val="008A2B37"/>
    <w:rsid w:val="008A38F3"/>
    <w:rsid w:val="008A3D9C"/>
    <w:rsid w:val="008A5F2B"/>
    <w:rsid w:val="008A675E"/>
    <w:rsid w:val="008A778E"/>
    <w:rsid w:val="008B034E"/>
    <w:rsid w:val="008B0C7A"/>
    <w:rsid w:val="008B153C"/>
    <w:rsid w:val="008B1F6A"/>
    <w:rsid w:val="008B317F"/>
    <w:rsid w:val="008B381B"/>
    <w:rsid w:val="008B4C84"/>
    <w:rsid w:val="008B590D"/>
    <w:rsid w:val="008B6ABF"/>
    <w:rsid w:val="008B7337"/>
    <w:rsid w:val="008B7D42"/>
    <w:rsid w:val="008C0AFC"/>
    <w:rsid w:val="008C2ADE"/>
    <w:rsid w:val="008C2DCD"/>
    <w:rsid w:val="008C30AE"/>
    <w:rsid w:val="008C315B"/>
    <w:rsid w:val="008C33C2"/>
    <w:rsid w:val="008C3477"/>
    <w:rsid w:val="008C3721"/>
    <w:rsid w:val="008C5A9F"/>
    <w:rsid w:val="008C5F5F"/>
    <w:rsid w:val="008C659D"/>
    <w:rsid w:val="008C787F"/>
    <w:rsid w:val="008D07C3"/>
    <w:rsid w:val="008D1D07"/>
    <w:rsid w:val="008D2904"/>
    <w:rsid w:val="008D3C99"/>
    <w:rsid w:val="008D3ECE"/>
    <w:rsid w:val="008D46CE"/>
    <w:rsid w:val="008D49B0"/>
    <w:rsid w:val="008D626A"/>
    <w:rsid w:val="008D6DEF"/>
    <w:rsid w:val="008E005A"/>
    <w:rsid w:val="008E0ED1"/>
    <w:rsid w:val="008E1075"/>
    <w:rsid w:val="008E1B58"/>
    <w:rsid w:val="008E2274"/>
    <w:rsid w:val="008E2363"/>
    <w:rsid w:val="008E2A97"/>
    <w:rsid w:val="008E2C48"/>
    <w:rsid w:val="008E2EDD"/>
    <w:rsid w:val="008E4462"/>
    <w:rsid w:val="008E6B18"/>
    <w:rsid w:val="008E7511"/>
    <w:rsid w:val="008E77DA"/>
    <w:rsid w:val="008E7EE9"/>
    <w:rsid w:val="008F1D32"/>
    <w:rsid w:val="008F29AD"/>
    <w:rsid w:val="008F4135"/>
    <w:rsid w:val="008F4240"/>
    <w:rsid w:val="008F4E72"/>
    <w:rsid w:val="008F6020"/>
    <w:rsid w:val="008F6333"/>
    <w:rsid w:val="008F7C8A"/>
    <w:rsid w:val="00900A03"/>
    <w:rsid w:val="00900A13"/>
    <w:rsid w:val="0090374C"/>
    <w:rsid w:val="00903842"/>
    <w:rsid w:val="00904951"/>
    <w:rsid w:val="0090604C"/>
    <w:rsid w:val="00906ACD"/>
    <w:rsid w:val="00907127"/>
    <w:rsid w:val="009077D2"/>
    <w:rsid w:val="00910214"/>
    <w:rsid w:val="0091086C"/>
    <w:rsid w:val="00910D98"/>
    <w:rsid w:val="009111AB"/>
    <w:rsid w:val="009117AF"/>
    <w:rsid w:val="009133E6"/>
    <w:rsid w:val="00913B2C"/>
    <w:rsid w:val="00913F8E"/>
    <w:rsid w:val="00914261"/>
    <w:rsid w:val="009156D4"/>
    <w:rsid w:val="00915CD0"/>
    <w:rsid w:val="00915D99"/>
    <w:rsid w:val="0091658D"/>
    <w:rsid w:val="00916731"/>
    <w:rsid w:val="009177D2"/>
    <w:rsid w:val="009203B0"/>
    <w:rsid w:val="00920D4C"/>
    <w:rsid w:val="00921E24"/>
    <w:rsid w:val="00922580"/>
    <w:rsid w:val="00923904"/>
    <w:rsid w:val="00923D12"/>
    <w:rsid w:val="00924167"/>
    <w:rsid w:val="00925CD2"/>
    <w:rsid w:val="009269CA"/>
    <w:rsid w:val="00926D09"/>
    <w:rsid w:val="00926F46"/>
    <w:rsid w:val="00927081"/>
    <w:rsid w:val="00927AA5"/>
    <w:rsid w:val="00931FE0"/>
    <w:rsid w:val="0093223F"/>
    <w:rsid w:val="00932F45"/>
    <w:rsid w:val="00933126"/>
    <w:rsid w:val="00934C2C"/>
    <w:rsid w:val="009352E1"/>
    <w:rsid w:val="00935C4C"/>
    <w:rsid w:val="00936AFE"/>
    <w:rsid w:val="009403A3"/>
    <w:rsid w:val="009410C1"/>
    <w:rsid w:val="00941C8D"/>
    <w:rsid w:val="009430B2"/>
    <w:rsid w:val="00943224"/>
    <w:rsid w:val="00943230"/>
    <w:rsid w:val="00944882"/>
    <w:rsid w:val="00945965"/>
    <w:rsid w:val="00945F2D"/>
    <w:rsid w:val="009472A6"/>
    <w:rsid w:val="00952904"/>
    <w:rsid w:val="0095292A"/>
    <w:rsid w:val="00953299"/>
    <w:rsid w:val="009533C0"/>
    <w:rsid w:val="009533EA"/>
    <w:rsid w:val="009544CC"/>
    <w:rsid w:val="009547EC"/>
    <w:rsid w:val="009550A5"/>
    <w:rsid w:val="00955290"/>
    <w:rsid w:val="00955F0E"/>
    <w:rsid w:val="00956081"/>
    <w:rsid w:val="00956A92"/>
    <w:rsid w:val="0096160D"/>
    <w:rsid w:val="0096366C"/>
    <w:rsid w:val="009643C5"/>
    <w:rsid w:val="0096622C"/>
    <w:rsid w:val="00966C59"/>
    <w:rsid w:val="009676F8"/>
    <w:rsid w:val="009701D3"/>
    <w:rsid w:val="00970397"/>
    <w:rsid w:val="0097225F"/>
    <w:rsid w:val="009726BD"/>
    <w:rsid w:val="0097597F"/>
    <w:rsid w:val="00976411"/>
    <w:rsid w:val="00976CEF"/>
    <w:rsid w:val="009772EB"/>
    <w:rsid w:val="009774CE"/>
    <w:rsid w:val="009774E9"/>
    <w:rsid w:val="009776A3"/>
    <w:rsid w:val="00977818"/>
    <w:rsid w:val="00977BAB"/>
    <w:rsid w:val="00977CEF"/>
    <w:rsid w:val="00980AA9"/>
    <w:rsid w:val="00980ED4"/>
    <w:rsid w:val="0098119F"/>
    <w:rsid w:val="009819B7"/>
    <w:rsid w:val="00981CF9"/>
    <w:rsid w:val="009841F0"/>
    <w:rsid w:val="00984DB5"/>
    <w:rsid w:val="0098611E"/>
    <w:rsid w:val="00986C35"/>
    <w:rsid w:val="009870E1"/>
    <w:rsid w:val="00987D82"/>
    <w:rsid w:val="00987E61"/>
    <w:rsid w:val="00990867"/>
    <w:rsid w:val="00991586"/>
    <w:rsid w:val="00991F86"/>
    <w:rsid w:val="009933E2"/>
    <w:rsid w:val="009934D0"/>
    <w:rsid w:val="009945F0"/>
    <w:rsid w:val="00995764"/>
    <w:rsid w:val="00995A7C"/>
    <w:rsid w:val="009962DF"/>
    <w:rsid w:val="00996B36"/>
    <w:rsid w:val="00996CCF"/>
    <w:rsid w:val="00997189"/>
    <w:rsid w:val="009A0F15"/>
    <w:rsid w:val="009A1D5B"/>
    <w:rsid w:val="009A1FDC"/>
    <w:rsid w:val="009A293D"/>
    <w:rsid w:val="009A2F0E"/>
    <w:rsid w:val="009A3118"/>
    <w:rsid w:val="009A35F1"/>
    <w:rsid w:val="009A6801"/>
    <w:rsid w:val="009A684A"/>
    <w:rsid w:val="009A775B"/>
    <w:rsid w:val="009B03A9"/>
    <w:rsid w:val="009B06DB"/>
    <w:rsid w:val="009B0F1D"/>
    <w:rsid w:val="009B17B0"/>
    <w:rsid w:val="009B1C54"/>
    <w:rsid w:val="009B1EA2"/>
    <w:rsid w:val="009B23D6"/>
    <w:rsid w:val="009B2847"/>
    <w:rsid w:val="009B293E"/>
    <w:rsid w:val="009B2ABD"/>
    <w:rsid w:val="009B496D"/>
    <w:rsid w:val="009B650A"/>
    <w:rsid w:val="009B7A85"/>
    <w:rsid w:val="009C04FD"/>
    <w:rsid w:val="009C107C"/>
    <w:rsid w:val="009C2060"/>
    <w:rsid w:val="009C3C78"/>
    <w:rsid w:val="009C51D0"/>
    <w:rsid w:val="009C550B"/>
    <w:rsid w:val="009C74C7"/>
    <w:rsid w:val="009D0D2C"/>
    <w:rsid w:val="009D0D57"/>
    <w:rsid w:val="009D161A"/>
    <w:rsid w:val="009D1B3D"/>
    <w:rsid w:val="009D302B"/>
    <w:rsid w:val="009D3546"/>
    <w:rsid w:val="009D3917"/>
    <w:rsid w:val="009D462F"/>
    <w:rsid w:val="009D466C"/>
    <w:rsid w:val="009D6114"/>
    <w:rsid w:val="009D7E18"/>
    <w:rsid w:val="009E0162"/>
    <w:rsid w:val="009E25C2"/>
    <w:rsid w:val="009E31BE"/>
    <w:rsid w:val="009E36A8"/>
    <w:rsid w:val="009E5CE7"/>
    <w:rsid w:val="009E5DF4"/>
    <w:rsid w:val="009E6064"/>
    <w:rsid w:val="009E75B5"/>
    <w:rsid w:val="009E7D05"/>
    <w:rsid w:val="009F048A"/>
    <w:rsid w:val="009F0C3A"/>
    <w:rsid w:val="009F143F"/>
    <w:rsid w:val="009F152E"/>
    <w:rsid w:val="009F1C22"/>
    <w:rsid w:val="009F1FCB"/>
    <w:rsid w:val="009F2894"/>
    <w:rsid w:val="009F3277"/>
    <w:rsid w:val="009F3F3B"/>
    <w:rsid w:val="009F414D"/>
    <w:rsid w:val="009F5C07"/>
    <w:rsid w:val="009F5C4A"/>
    <w:rsid w:val="009F649D"/>
    <w:rsid w:val="009F6F3E"/>
    <w:rsid w:val="009F7435"/>
    <w:rsid w:val="009F761F"/>
    <w:rsid w:val="009F7C13"/>
    <w:rsid w:val="00A01397"/>
    <w:rsid w:val="00A02067"/>
    <w:rsid w:val="00A0299A"/>
    <w:rsid w:val="00A04464"/>
    <w:rsid w:val="00A07772"/>
    <w:rsid w:val="00A07F01"/>
    <w:rsid w:val="00A104FF"/>
    <w:rsid w:val="00A106F7"/>
    <w:rsid w:val="00A10BFD"/>
    <w:rsid w:val="00A11224"/>
    <w:rsid w:val="00A11BF7"/>
    <w:rsid w:val="00A12F53"/>
    <w:rsid w:val="00A13062"/>
    <w:rsid w:val="00A13C9E"/>
    <w:rsid w:val="00A1407A"/>
    <w:rsid w:val="00A164D7"/>
    <w:rsid w:val="00A1660C"/>
    <w:rsid w:val="00A1685E"/>
    <w:rsid w:val="00A178D0"/>
    <w:rsid w:val="00A2219A"/>
    <w:rsid w:val="00A24C2D"/>
    <w:rsid w:val="00A24E75"/>
    <w:rsid w:val="00A24F28"/>
    <w:rsid w:val="00A25102"/>
    <w:rsid w:val="00A27728"/>
    <w:rsid w:val="00A27A2C"/>
    <w:rsid w:val="00A27A67"/>
    <w:rsid w:val="00A301E4"/>
    <w:rsid w:val="00A302B3"/>
    <w:rsid w:val="00A306FA"/>
    <w:rsid w:val="00A318DD"/>
    <w:rsid w:val="00A31EA9"/>
    <w:rsid w:val="00A31EC4"/>
    <w:rsid w:val="00A321D3"/>
    <w:rsid w:val="00A324B9"/>
    <w:rsid w:val="00A32DA4"/>
    <w:rsid w:val="00A334FE"/>
    <w:rsid w:val="00A33A97"/>
    <w:rsid w:val="00A34346"/>
    <w:rsid w:val="00A34CCB"/>
    <w:rsid w:val="00A3653C"/>
    <w:rsid w:val="00A3780F"/>
    <w:rsid w:val="00A37E3F"/>
    <w:rsid w:val="00A4009E"/>
    <w:rsid w:val="00A40346"/>
    <w:rsid w:val="00A41A8D"/>
    <w:rsid w:val="00A42CA4"/>
    <w:rsid w:val="00A4314D"/>
    <w:rsid w:val="00A4361E"/>
    <w:rsid w:val="00A44BEA"/>
    <w:rsid w:val="00A44C3D"/>
    <w:rsid w:val="00A4728D"/>
    <w:rsid w:val="00A5007F"/>
    <w:rsid w:val="00A505F0"/>
    <w:rsid w:val="00A51424"/>
    <w:rsid w:val="00A52035"/>
    <w:rsid w:val="00A52122"/>
    <w:rsid w:val="00A522AE"/>
    <w:rsid w:val="00A52E98"/>
    <w:rsid w:val="00A53151"/>
    <w:rsid w:val="00A5364D"/>
    <w:rsid w:val="00A542D6"/>
    <w:rsid w:val="00A5459F"/>
    <w:rsid w:val="00A54B2D"/>
    <w:rsid w:val="00A55A32"/>
    <w:rsid w:val="00A55B66"/>
    <w:rsid w:val="00A56572"/>
    <w:rsid w:val="00A569DC"/>
    <w:rsid w:val="00A60442"/>
    <w:rsid w:val="00A604FF"/>
    <w:rsid w:val="00A612E4"/>
    <w:rsid w:val="00A62763"/>
    <w:rsid w:val="00A6302A"/>
    <w:rsid w:val="00A6349C"/>
    <w:rsid w:val="00A63861"/>
    <w:rsid w:val="00A643FB"/>
    <w:rsid w:val="00A64429"/>
    <w:rsid w:val="00A6455A"/>
    <w:rsid w:val="00A65830"/>
    <w:rsid w:val="00A660CF"/>
    <w:rsid w:val="00A66409"/>
    <w:rsid w:val="00A666A3"/>
    <w:rsid w:val="00A71B7E"/>
    <w:rsid w:val="00A71E1F"/>
    <w:rsid w:val="00A7270F"/>
    <w:rsid w:val="00A727A4"/>
    <w:rsid w:val="00A73990"/>
    <w:rsid w:val="00A74469"/>
    <w:rsid w:val="00A764CF"/>
    <w:rsid w:val="00A776C7"/>
    <w:rsid w:val="00A803F2"/>
    <w:rsid w:val="00A8105F"/>
    <w:rsid w:val="00A84352"/>
    <w:rsid w:val="00A84F99"/>
    <w:rsid w:val="00A84FB6"/>
    <w:rsid w:val="00A86328"/>
    <w:rsid w:val="00A86386"/>
    <w:rsid w:val="00A865C8"/>
    <w:rsid w:val="00A868BC"/>
    <w:rsid w:val="00A86F8F"/>
    <w:rsid w:val="00A90D66"/>
    <w:rsid w:val="00A91436"/>
    <w:rsid w:val="00A916E9"/>
    <w:rsid w:val="00A91EDF"/>
    <w:rsid w:val="00A923A1"/>
    <w:rsid w:val="00A92576"/>
    <w:rsid w:val="00A9286B"/>
    <w:rsid w:val="00A928CA"/>
    <w:rsid w:val="00A93DAE"/>
    <w:rsid w:val="00A93FE7"/>
    <w:rsid w:val="00A94F0A"/>
    <w:rsid w:val="00A95C6E"/>
    <w:rsid w:val="00A95E18"/>
    <w:rsid w:val="00A96319"/>
    <w:rsid w:val="00A9632A"/>
    <w:rsid w:val="00A96555"/>
    <w:rsid w:val="00AA1108"/>
    <w:rsid w:val="00AA2A02"/>
    <w:rsid w:val="00AA307C"/>
    <w:rsid w:val="00AA3782"/>
    <w:rsid w:val="00AA3CEA"/>
    <w:rsid w:val="00AA5C3E"/>
    <w:rsid w:val="00AA6BF3"/>
    <w:rsid w:val="00AA727D"/>
    <w:rsid w:val="00AA7C27"/>
    <w:rsid w:val="00AB1972"/>
    <w:rsid w:val="00AB19C7"/>
    <w:rsid w:val="00AB2A0E"/>
    <w:rsid w:val="00AB3997"/>
    <w:rsid w:val="00AB58F9"/>
    <w:rsid w:val="00AB5C94"/>
    <w:rsid w:val="00AB63B3"/>
    <w:rsid w:val="00AB72EA"/>
    <w:rsid w:val="00AB755E"/>
    <w:rsid w:val="00AB7DE4"/>
    <w:rsid w:val="00AC03F9"/>
    <w:rsid w:val="00AC15BB"/>
    <w:rsid w:val="00AC1CAB"/>
    <w:rsid w:val="00AC1F16"/>
    <w:rsid w:val="00AC2905"/>
    <w:rsid w:val="00AC37B8"/>
    <w:rsid w:val="00AC384E"/>
    <w:rsid w:val="00AC552D"/>
    <w:rsid w:val="00AC7124"/>
    <w:rsid w:val="00AC7DC0"/>
    <w:rsid w:val="00AD032D"/>
    <w:rsid w:val="00AD0882"/>
    <w:rsid w:val="00AD1321"/>
    <w:rsid w:val="00AD1852"/>
    <w:rsid w:val="00AD18D6"/>
    <w:rsid w:val="00AD1C8F"/>
    <w:rsid w:val="00AD1DE4"/>
    <w:rsid w:val="00AD355C"/>
    <w:rsid w:val="00AD3988"/>
    <w:rsid w:val="00AD3B14"/>
    <w:rsid w:val="00AD4BEA"/>
    <w:rsid w:val="00AD7DE9"/>
    <w:rsid w:val="00AE057C"/>
    <w:rsid w:val="00AE0D56"/>
    <w:rsid w:val="00AE12C0"/>
    <w:rsid w:val="00AE206A"/>
    <w:rsid w:val="00AE2CD8"/>
    <w:rsid w:val="00AE2D8D"/>
    <w:rsid w:val="00AE2E55"/>
    <w:rsid w:val="00AE3031"/>
    <w:rsid w:val="00AE3A35"/>
    <w:rsid w:val="00AE4849"/>
    <w:rsid w:val="00AE4A8A"/>
    <w:rsid w:val="00AE4BF1"/>
    <w:rsid w:val="00AE4CCB"/>
    <w:rsid w:val="00AE5335"/>
    <w:rsid w:val="00AE6994"/>
    <w:rsid w:val="00AE6A80"/>
    <w:rsid w:val="00AE72DB"/>
    <w:rsid w:val="00AE730D"/>
    <w:rsid w:val="00AE7326"/>
    <w:rsid w:val="00AF050F"/>
    <w:rsid w:val="00AF08DE"/>
    <w:rsid w:val="00AF1FAA"/>
    <w:rsid w:val="00AF3637"/>
    <w:rsid w:val="00AF39E0"/>
    <w:rsid w:val="00AF4202"/>
    <w:rsid w:val="00AF471D"/>
    <w:rsid w:val="00AF499A"/>
    <w:rsid w:val="00B01224"/>
    <w:rsid w:val="00B01F4E"/>
    <w:rsid w:val="00B025A1"/>
    <w:rsid w:val="00B02AC8"/>
    <w:rsid w:val="00B02E1E"/>
    <w:rsid w:val="00B03AE4"/>
    <w:rsid w:val="00B040A1"/>
    <w:rsid w:val="00B0421D"/>
    <w:rsid w:val="00B058A5"/>
    <w:rsid w:val="00B05EB4"/>
    <w:rsid w:val="00B073BC"/>
    <w:rsid w:val="00B07442"/>
    <w:rsid w:val="00B12225"/>
    <w:rsid w:val="00B129D0"/>
    <w:rsid w:val="00B12C3D"/>
    <w:rsid w:val="00B13E3F"/>
    <w:rsid w:val="00B14EBC"/>
    <w:rsid w:val="00B15D42"/>
    <w:rsid w:val="00B2067F"/>
    <w:rsid w:val="00B23C21"/>
    <w:rsid w:val="00B23EDC"/>
    <w:rsid w:val="00B243F0"/>
    <w:rsid w:val="00B2463B"/>
    <w:rsid w:val="00B24975"/>
    <w:rsid w:val="00B24DE4"/>
    <w:rsid w:val="00B252F7"/>
    <w:rsid w:val="00B26232"/>
    <w:rsid w:val="00B27501"/>
    <w:rsid w:val="00B2755B"/>
    <w:rsid w:val="00B27909"/>
    <w:rsid w:val="00B27BE3"/>
    <w:rsid w:val="00B31EAB"/>
    <w:rsid w:val="00B35354"/>
    <w:rsid w:val="00B37699"/>
    <w:rsid w:val="00B377F6"/>
    <w:rsid w:val="00B37979"/>
    <w:rsid w:val="00B404AC"/>
    <w:rsid w:val="00B40727"/>
    <w:rsid w:val="00B41104"/>
    <w:rsid w:val="00B42166"/>
    <w:rsid w:val="00B42F70"/>
    <w:rsid w:val="00B43A50"/>
    <w:rsid w:val="00B44276"/>
    <w:rsid w:val="00B44D02"/>
    <w:rsid w:val="00B460A9"/>
    <w:rsid w:val="00B46B5C"/>
    <w:rsid w:val="00B4766A"/>
    <w:rsid w:val="00B50532"/>
    <w:rsid w:val="00B50B15"/>
    <w:rsid w:val="00B51DD2"/>
    <w:rsid w:val="00B51FE3"/>
    <w:rsid w:val="00B52205"/>
    <w:rsid w:val="00B5289C"/>
    <w:rsid w:val="00B528FB"/>
    <w:rsid w:val="00B52B42"/>
    <w:rsid w:val="00B53CF8"/>
    <w:rsid w:val="00B5443A"/>
    <w:rsid w:val="00B54DC1"/>
    <w:rsid w:val="00B5545D"/>
    <w:rsid w:val="00B5573E"/>
    <w:rsid w:val="00B559E5"/>
    <w:rsid w:val="00B55AEB"/>
    <w:rsid w:val="00B55BFB"/>
    <w:rsid w:val="00B5655E"/>
    <w:rsid w:val="00B570C0"/>
    <w:rsid w:val="00B57983"/>
    <w:rsid w:val="00B61B8B"/>
    <w:rsid w:val="00B61BB4"/>
    <w:rsid w:val="00B62881"/>
    <w:rsid w:val="00B639F9"/>
    <w:rsid w:val="00B63BBF"/>
    <w:rsid w:val="00B63D4B"/>
    <w:rsid w:val="00B64BB8"/>
    <w:rsid w:val="00B652C3"/>
    <w:rsid w:val="00B654E9"/>
    <w:rsid w:val="00B6633E"/>
    <w:rsid w:val="00B66809"/>
    <w:rsid w:val="00B67798"/>
    <w:rsid w:val="00B70686"/>
    <w:rsid w:val="00B70F53"/>
    <w:rsid w:val="00B7156D"/>
    <w:rsid w:val="00B71639"/>
    <w:rsid w:val="00B7311D"/>
    <w:rsid w:val="00B73BD3"/>
    <w:rsid w:val="00B77E7E"/>
    <w:rsid w:val="00B77F05"/>
    <w:rsid w:val="00B8012C"/>
    <w:rsid w:val="00B80673"/>
    <w:rsid w:val="00B80BF7"/>
    <w:rsid w:val="00B81D56"/>
    <w:rsid w:val="00B82048"/>
    <w:rsid w:val="00B828DB"/>
    <w:rsid w:val="00B8314E"/>
    <w:rsid w:val="00B83F58"/>
    <w:rsid w:val="00B8433E"/>
    <w:rsid w:val="00B84918"/>
    <w:rsid w:val="00B85C8A"/>
    <w:rsid w:val="00B85EE0"/>
    <w:rsid w:val="00B868F0"/>
    <w:rsid w:val="00B869E4"/>
    <w:rsid w:val="00B9099F"/>
    <w:rsid w:val="00B9324B"/>
    <w:rsid w:val="00B94F08"/>
    <w:rsid w:val="00B94FBC"/>
    <w:rsid w:val="00B9535D"/>
    <w:rsid w:val="00B95A66"/>
    <w:rsid w:val="00B95AA2"/>
    <w:rsid w:val="00B95B62"/>
    <w:rsid w:val="00B95C52"/>
    <w:rsid w:val="00B95F02"/>
    <w:rsid w:val="00B96025"/>
    <w:rsid w:val="00B96AF4"/>
    <w:rsid w:val="00B97C07"/>
    <w:rsid w:val="00BA04F2"/>
    <w:rsid w:val="00BA3304"/>
    <w:rsid w:val="00BA4783"/>
    <w:rsid w:val="00BA4C32"/>
    <w:rsid w:val="00BA4C4F"/>
    <w:rsid w:val="00BA59F2"/>
    <w:rsid w:val="00BA5AF0"/>
    <w:rsid w:val="00BA6595"/>
    <w:rsid w:val="00BA6A53"/>
    <w:rsid w:val="00BA765B"/>
    <w:rsid w:val="00BA7A38"/>
    <w:rsid w:val="00BA7A67"/>
    <w:rsid w:val="00BB0A7E"/>
    <w:rsid w:val="00BB1995"/>
    <w:rsid w:val="00BB285D"/>
    <w:rsid w:val="00BB29AD"/>
    <w:rsid w:val="00BB3F8F"/>
    <w:rsid w:val="00BB41C5"/>
    <w:rsid w:val="00BB5BF1"/>
    <w:rsid w:val="00BB6619"/>
    <w:rsid w:val="00BB6F22"/>
    <w:rsid w:val="00BB7221"/>
    <w:rsid w:val="00BB72CE"/>
    <w:rsid w:val="00BB74FF"/>
    <w:rsid w:val="00BB7F2B"/>
    <w:rsid w:val="00BC05A5"/>
    <w:rsid w:val="00BC0D7F"/>
    <w:rsid w:val="00BC21E1"/>
    <w:rsid w:val="00BC320D"/>
    <w:rsid w:val="00BC4161"/>
    <w:rsid w:val="00BC5AC5"/>
    <w:rsid w:val="00BC71D8"/>
    <w:rsid w:val="00BD0394"/>
    <w:rsid w:val="00BD1B05"/>
    <w:rsid w:val="00BD28BC"/>
    <w:rsid w:val="00BD30C7"/>
    <w:rsid w:val="00BD3874"/>
    <w:rsid w:val="00BD4247"/>
    <w:rsid w:val="00BD49A8"/>
    <w:rsid w:val="00BD7072"/>
    <w:rsid w:val="00BD790A"/>
    <w:rsid w:val="00BD7DD0"/>
    <w:rsid w:val="00BE03DC"/>
    <w:rsid w:val="00BE09C2"/>
    <w:rsid w:val="00BE0CF9"/>
    <w:rsid w:val="00BE138C"/>
    <w:rsid w:val="00BE1DA0"/>
    <w:rsid w:val="00BE230E"/>
    <w:rsid w:val="00BE2C95"/>
    <w:rsid w:val="00BE3102"/>
    <w:rsid w:val="00BE6193"/>
    <w:rsid w:val="00BE69F2"/>
    <w:rsid w:val="00BE73A0"/>
    <w:rsid w:val="00BE746D"/>
    <w:rsid w:val="00BE79B7"/>
    <w:rsid w:val="00BF02B8"/>
    <w:rsid w:val="00BF03DC"/>
    <w:rsid w:val="00BF0FCB"/>
    <w:rsid w:val="00BF345A"/>
    <w:rsid w:val="00BF46E4"/>
    <w:rsid w:val="00BF5A85"/>
    <w:rsid w:val="00BF6796"/>
    <w:rsid w:val="00BF6D86"/>
    <w:rsid w:val="00BF718A"/>
    <w:rsid w:val="00BF7B74"/>
    <w:rsid w:val="00C00B46"/>
    <w:rsid w:val="00C01291"/>
    <w:rsid w:val="00C01B87"/>
    <w:rsid w:val="00C01F24"/>
    <w:rsid w:val="00C02428"/>
    <w:rsid w:val="00C030D7"/>
    <w:rsid w:val="00C034CE"/>
    <w:rsid w:val="00C03B4C"/>
    <w:rsid w:val="00C0421A"/>
    <w:rsid w:val="00C05033"/>
    <w:rsid w:val="00C05FF9"/>
    <w:rsid w:val="00C0617E"/>
    <w:rsid w:val="00C062FC"/>
    <w:rsid w:val="00C105FF"/>
    <w:rsid w:val="00C1061D"/>
    <w:rsid w:val="00C10797"/>
    <w:rsid w:val="00C10C29"/>
    <w:rsid w:val="00C14D53"/>
    <w:rsid w:val="00C15B2F"/>
    <w:rsid w:val="00C15D66"/>
    <w:rsid w:val="00C16AEC"/>
    <w:rsid w:val="00C17984"/>
    <w:rsid w:val="00C20161"/>
    <w:rsid w:val="00C2034A"/>
    <w:rsid w:val="00C205EB"/>
    <w:rsid w:val="00C21451"/>
    <w:rsid w:val="00C21853"/>
    <w:rsid w:val="00C22238"/>
    <w:rsid w:val="00C24C9D"/>
    <w:rsid w:val="00C24D7D"/>
    <w:rsid w:val="00C24DA1"/>
    <w:rsid w:val="00C27070"/>
    <w:rsid w:val="00C270E9"/>
    <w:rsid w:val="00C273E3"/>
    <w:rsid w:val="00C279FE"/>
    <w:rsid w:val="00C3036A"/>
    <w:rsid w:val="00C3036C"/>
    <w:rsid w:val="00C3096D"/>
    <w:rsid w:val="00C3099D"/>
    <w:rsid w:val="00C3233C"/>
    <w:rsid w:val="00C32EBC"/>
    <w:rsid w:val="00C339EF"/>
    <w:rsid w:val="00C33BD2"/>
    <w:rsid w:val="00C35037"/>
    <w:rsid w:val="00C351A8"/>
    <w:rsid w:val="00C3657E"/>
    <w:rsid w:val="00C37A93"/>
    <w:rsid w:val="00C406DC"/>
    <w:rsid w:val="00C412C3"/>
    <w:rsid w:val="00C41873"/>
    <w:rsid w:val="00C418E8"/>
    <w:rsid w:val="00C42308"/>
    <w:rsid w:val="00C4295C"/>
    <w:rsid w:val="00C446D7"/>
    <w:rsid w:val="00C5059D"/>
    <w:rsid w:val="00C51587"/>
    <w:rsid w:val="00C52A47"/>
    <w:rsid w:val="00C5325C"/>
    <w:rsid w:val="00C5342B"/>
    <w:rsid w:val="00C53434"/>
    <w:rsid w:val="00C54A4F"/>
    <w:rsid w:val="00C54DAD"/>
    <w:rsid w:val="00C54E91"/>
    <w:rsid w:val="00C55813"/>
    <w:rsid w:val="00C558FE"/>
    <w:rsid w:val="00C57B25"/>
    <w:rsid w:val="00C612FA"/>
    <w:rsid w:val="00C62AAE"/>
    <w:rsid w:val="00C63A08"/>
    <w:rsid w:val="00C63E5C"/>
    <w:rsid w:val="00C64C4F"/>
    <w:rsid w:val="00C65985"/>
    <w:rsid w:val="00C65A88"/>
    <w:rsid w:val="00C65BE1"/>
    <w:rsid w:val="00C71100"/>
    <w:rsid w:val="00C71C9A"/>
    <w:rsid w:val="00C722F2"/>
    <w:rsid w:val="00C74360"/>
    <w:rsid w:val="00C75570"/>
    <w:rsid w:val="00C75FE8"/>
    <w:rsid w:val="00C7648D"/>
    <w:rsid w:val="00C76957"/>
    <w:rsid w:val="00C76C19"/>
    <w:rsid w:val="00C76DCB"/>
    <w:rsid w:val="00C808ED"/>
    <w:rsid w:val="00C80C04"/>
    <w:rsid w:val="00C80D55"/>
    <w:rsid w:val="00C8111F"/>
    <w:rsid w:val="00C81147"/>
    <w:rsid w:val="00C814CE"/>
    <w:rsid w:val="00C81770"/>
    <w:rsid w:val="00C826DB"/>
    <w:rsid w:val="00C83876"/>
    <w:rsid w:val="00C85A9D"/>
    <w:rsid w:val="00C875B4"/>
    <w:rsid w:val="00C90163"/>
    <w:rsid w:val="00C903FF"/>
    <w:rsid w:val="00C90824"/>
    <w:rsid w:val="00C912D9"/>
    <w:rsid w:val="00C93184"/>
    <w:rsid w:val="00C94732"/>
    <w:rsid w:val="00C968C3"/>
    <w:rsid w:val="00C9703D"/>
    <w:rsid w:val="00C970DC"/>
    <w:rsid w:val="00C97103"/>
    <w:rsid w:val="00C97E18"/>
    <w:rsid w:val="00CA09D3"/>
    <w:rsid w:val="00CA1788"/>
    <w:rsid w:val="00CA1E69"/>
    <w:rsid w:val="00CA2A8B"/>
    <w:rsid w:val="00CA2C7A"/>
    <w:rsid w:val="00CA2DFD"/>
    <w:rsid w:val="00CA3D6F"/>
    <w:rsid w:val="00CA3DAE"/>
    <w:rsid w:val="00CA5C9B"/>
    <w:rsid w:val="00CA6209"/>
    <w:rsid w:val="00CA7347"/>
    <w:rsid w:val="00CB112F"/>
    <w:rsid w:val="00CB14F6"/>
    <w:rsid w:val="00CB1CF1"/>
    <w:rsid w:val="00CB28EA"/>
    <w:rsid w:val="00CB40C4"/>
    <w:rsid w:val="00CB45E7"/>
    <w:rsid w:val="00CB547E"/>
    <w:rsid w:val="00CB6CF9"/>
    <w:rsid w:val="00CB6DD9"/>
    <w:rsid w:val="00CB7B20"/>
    <w:rsid w:val="00CB7C62"/>
    <w:rsid w:val="00CC0CB4"/>
    <w:rsid w:val="00CC200D"/>
    <w:rsid w:val="00CC3CEF"/>
    <w:rsid w:val="00CC4CA8"/>
    <w:rsid w:val="00CC4CD6"/>
    <w:rsid w:val="00CC4DFE"/>
    <w:rsid w:val="00CC5284"/>
    <w:rsid w:val="00CC5EAF"/>
    <w:rsid w:val="00CC6A79"/>
    <w:rsid w:val="00CC6FEB"/>
    <w:rsid w:val="00CC7F5B"/>
    <w:rsid w:val="00CD0DDF"/>
    <w:rsid w:val="00CD1906"/>
    <w:rsid w:val="00CD21C9"/>
    <w:rsid w:val="00CD2AB4"/>
    <w:rsid w:val="00CD381A"/>
    <w:rsid w:val="00CD5B89"/>
    <w:rsid w:val="00CD5BE2"/>
    <w:rsid w:val="00CD6A30"/>
    <w:rsid w:val="00CD6C68"/>
    <w:rsid w:val="00CD74B4"/>
    <w:rsid w:val="00CD7FEA"/>
    <w:rsid w:val="00CE4474"/>
    <w:rsid w:val="00CE5E70"/>
    <w:rsid w:val="00CE7379"/>
    <w:rsid w:val="00CF0EDF"/>
    <w:rsid w:val="00CF12B7"/>
    <w:rsid w:val="00CF3694"/>
    <w:rsid w:val="00CF4B90"/>
    <w:rsid w:val="00CF52A2"/>
    <w:rsid w:val="00CF5D49"/>
    <w:rsid w:val="00CF7148"/>
    <w:rsid w:val="00D01B04"/>
    <w:rsid w:val="00D022BE"/>
    <w:rsid w:val="00D032DC"/>
    <w:rsid w:val="00D03817"/>
    <w:rsid w:val="00D03B05"/>
    <w:rsid w:val="00D048C8"/>
    <w:rsid w:val="00D053F4"/>
    <w:rsid w:val="00D06EE4"/>
    <w:rsid w:val="00D075DB"/>
    <w:rsid w:val="00D07939"/>
    <w:rsid w:val="00D10683"/>
    <w:rsid w:val="00D1116E"/>
    <w:rsid w:val="00D11FDB"/>
    <w:rsid w:val="00D13116"/>
    <w:rsid w:val="00D139FA"/>
    <w:rsid w:val="00D145F2"/>
    <w:rsid w:val="00D14905"/>
    <w:rsid w:val="00D14C2D"/>
    <w:rsid w:val="00D14C9F"/>
    <w:rsid w:val="00D14DEC"/>
    <w:rsid w:val="00D156D6"/>
    <w:rsid w:val="00D15975"/>
    <w:rsid w:val="00D16BD0"/>
    <w:rsid w:val="00D17602"/>
    <w:rsid w:val="00D21173"/>
    <w:rsid w:val="00D213B6"/>
    <w:rsid w:val="00D213E7"/>
    <w:rsid w:val="00D2151E"/>
    <w:rsid w:val="00D23A2D"/>
    <w:rsid w:val="00D241FE"/>
    <w:rsid w:val="00D25C7F"/>
    <w:rsid w:val="00D25E40"/>
    <w:rsid w:val="00D26737"/>
    <w:rsid w:val="00D26F79"/>
    <w:rsid w:val="00D276EB"/>
    <w:rsid w:val="00D31606"/>
    <w:rsid w:val="00D31BF1"/>
    <w:rsid w:val="00D31C40"/>
    <w:rsid w:val="00D33E2E"/>
    <w:rsid w:val="00D34174"/>
    <w:rsid w:val="00D3452E"/>
    <w:rsid w:val="00D34866"/>
    <w:rsid w:val="00D36541"/>
    <w:rsid w:val="00D368B4"/>
    <w:rsid w:val="00D37333"/>
    <w:rsid w:val="00D3778F"/>
    <w:rsid w:val="00D37984"/>
    <w:rsid w:val="00D400B7"/>
    <w:rsid w:val="00D40C1E"/>
    <w:rsid w:val="00D40CD8"/>
    <w:rsid w:val="00D40F34"/>
    <w:rsid w:val="00D42217"/>
    <w:rsid w:val="00D42366"/>
    <w:rsid w:val="00D42704"/>
    <w:rsid w:val="00D430FC"/>
    <w:rsid w:val="00D438E1"/>
    <w:rsid w:val="00D43B8D"/>
    <w:rsid w:val="00D445C8"/>
    <w:rsid w:val="00D44E79"/>
    <w:rsid w:val="00D4614A"/>
    <w:rsid w:val="00D47084"/>
    <w:rsid w:val="00D474C1"/>
    <w:rsid w:val="00D500B1"/>
    <w:rsid w:val="00D51474"/>
    <w:rsid w:val="00D51C08"/>
    <w:rsid w:val="00D523C6"/>
    <w:rsid w:val="00D5344D"/>
    <w:rsid w:val="00D54E02"/>
    <w:rsid w:val="00D5596F"/>
    <w:rsid w:val="00D55BCB"/>
    <w:rsid w:val="00D5618B"/>
    <w:rsid w:val="00D56BAD"/>
    <w:rsid w:val="00D56CCB"/>
    <w:rsid w:val="00D56DF2"/>
    <w:rsid w:val="00D5767D"/>
    <w:rsid w:val="00D57C5F"/>
    <w:rsid w:val="00D60341"/>
    <w:rsid w:val="00D614BA"/>
    <w:rsid w:val="00D62D2C"/>
    <w:rsid w:val="00D655C4"/>
    <w:rsid w:val="00D66293"/>
    <w:rsid w:val="00D670F7"/>
    <w:rsid w:val="00D675A7"/>
    <w:rsid w:val="00D70CE5"/>
    <w:rsid w:val="00D7102E"/>
    <w:rsid w:val="00D727E3"/>
    <w:rsid w:val="00D72B83"/>
    <w:rsid w:val="00D731AC"/>
    <w:rsid w:val="00D74DA9"/>
    <w:rsid w:val="00D74F9A"/>
    <w:rsid w:val="00D752B5"/>
    <w:rsid w:val="00D754AF"/>
    <w:rsid w:val="00D76B6F"/>
    <w:rsid w:val="00D76C3F"/>
    <w:rsid w:val="00D804AB"/>
    <w:rsid w:val="00D80506"/>
    <w:rsid w:val="00D81178"/>
    <w:rsid w:val="00D815A0"/>
    <w:rsid w:val="00D81CC3"/>
    <w:rsid w:val="00D82265"/>
    <w:rsid w:val="00D824EC"/>
    <w:rsid w:val="00D82ED2"/>
    <w:rsid w:val="00D83375"/>
    <w:rsid w:val="00D8347A"/>
    <w:rsid w:val="00D834FD"/>
    <w:rsid w:val="00D83504"/>
    <w:rsid w:val="00D83850"/>
    <w:rsid w:val="00D84E95"/>
    <w:rsid w:val="00D85C9F"/>
    <w:rsid w:val="00D85EA0"/>
    <w:rsid w:val="00D86854"/>
    <w:rsid w:val="00D86DD0"/>
    <w:rsid w:val="00D87853"/>
    <w:rsid w:val="00D87A91"/>
    <w:rsid w:val="00D87F67"/>
    <w:rsid w:val="00D87FD3"/>
    <w:rsid w:val="00D909D1"/>
    <w:rsid w:val="00D91899"/>
    <w:rsid w:val="00D92134"/>
    <w:rsid w:val="00D9319D"/>
    <w:rsid w:val="00D9334C"/>
    <w:rsid w:val="00D937BB"/>
    <w:rsid w:val="00D93E96"/>
    <w:rsid w:val="00D94FDF"/>
    <w:rsid w:val="00D955C1"/>
    <w:rsid w:val="00DA12BE"/>
    <w:rsid w:val="00DA1D05"/>
    <w:rsid w:val="00DA1FF3"/>
    <w:rsid w:val="00DA2367"/>
    <w:rsid w:val="00DA2791"/>
    <w:rsid w:val="00DA279D"/>
    <w:rsid w:val="00DA42B9"/>
    <w:rsid w:val="00DA4E23"/>
    <w:rsid w:val="00DA6320"/>
    <w:rsid w:val="00DA670D"/>
    <w:rsid w:val="00DA7FC8"/>
    <w:rsid w:val="00DB0112"/>
    <w:rsid w:val="00DB0148"/>
    <w:rsid w:val="00DB0FBC"/>
    <w:rsid w:val="00DB2EE7"/>
    <w:rsid w:val="00DB3D1A"/>
    <w:rsid w:val="00DB3E15"/>
    <w:rsid w:val="00DB4702"/>
    <w:rsid w:val="00DB50DC"/>
    <w:rsid w:val="00DB56B3"/>
    <w:rsid w:val="00DB73EB"/>
    <w:rsid w:val="00DB79E3"/>
    <w:rsid w:val="00DC0331"/>
    <w:rsid w:val="00DC1A67"/>
    <w:rsid w:val="00DC1B67"/>
    <w:rsid w:val="00DC2375"/>
    <w:rsid w:val="00DC26C8"/>
    <w:rsid w:val="00DC2E0B"/>
    <w:rsid w:val="00DC3ED9"/>
    <w:rsid w:val="00DC426E"/>
    <w:rsid w:val="00DC4369"/>
    <w:rsid w:val="00DC4529"/>
    <w:rsid w:val="00DC4DB1"/>
    <w:rsid w:val="00DC4E5F"/>
    <w:rsid w:val="00DC5FA3"/>
    <w:rsid w:val="00DC7195"/>
    <w:rsid w:val="00DC73B7"/>
    <w:rsid w:val="00DD0F95"/>
    <w:rsid w:val="00DD1A79"/>
    <w:rsid w:val="00DD28AB"/>
    <w:rsid w:val="00DD2E3C"/>
    <w:rsid w:val="00DD327E"/>
    <w:rsid w:val="00DD34BD"/>
    <w:rsid w:val="00DD44C1"/>
    <w:rsid w:val="00DD5EE6"/>
    <w:rsid w:val="00DD7373"/>
    <w:rsid w:val="00DE0658"/>
    <w:rsid w:val="00DE106C"/>
    <w:rsid w:val="00DE3F0D"/>
    <w:rsid w:val="00DE44D0"/>
    <w:rsid w:val="00DE5070"/>
    <w:rsid w:val="00DE5345"/>
    <w:rsid w:val="00DE610B"/>
    <w:rsid w:val="00DE64F6"/>
    <w:rsid w:val="00DE6CB8"/>
    <w:rsid w:val="00DE731D"/>
    <w:rsid w:val="00DE7C88"/>
    <w:rsid w:val="00DE7E7B"/>
    <w:rsid w:val="00DE7E84"/>
    <w:rsid w:val="00DF11C6"/>
    <w:rsid w:val="00DF1742"/>
    <w:rsid w:val="00DF2226"/>
    <w:rsid w:val="00DF23F3"/>
    <w:rsid w:val="00DF2520"/>
    <w:rsid w:val="00DF3952"/>
    <w:rsid w:val="00DF3ED6"/>
    <w:rsid w:val="00DF5774"/>
    <w:rsid w:val="00DF5ADF"/>
    <w:rsid w:val="00DF5F96"/>
    <w:rsid w:val="00DF6BCF"/>
    <w:rsid w:val="00E0038F"/>
    <w:rsid w:val="00E00658"/>
    <w:rsid w:val="00E00BA8"/>
    <w:rsid w:val="00E01421"/>
    <w:rsid w:val="00E0452F"/>
    <w:rsid w:val="00E05302"/>
    <w:rsid w:val="00E0799A"/>
    <w:rsid w:val="00E1001F"/>
    <w:rsid w:val="00E10DA8"/>
    <w:rsid w:val="00E116FA"/>
    <w:rsid w:val="00E118C2"/>
    <w:rsid w:val="00E11E75"/>
    <w:rsid w:val="00E13FBB"/>
    <w:rsid w:val="00E15630"/>
    <w:rsid w:val="00E156E3"/>
    <w:rsid w:val="00E15854"/>
    <w:rsid w:val="00E17598"/>
    <w:rsid w:val="00E20149"/>
    <w:rsid w:val="00E217DA"/>
    <w:rsid w:val="00E22060"/>
    <w:rsid w:val="00E220BC"/>
    <w:rsid w:val="00E224CB"/>
    <w:rsid w:val="00E25631"/>
    <w:rsid w:val="00E25FBE"/>
    <w:rsid w:val="00E2633E"/>
    <w:rsid w:val="00E26B1C"/>
    <w:rsid w:val="00E30033"/>
    <w:rsid w:val="00E30B39"/>
    <w:rsid w:val="00E311A3"/>
    <w:rsid w:val="00E3169E"/>
    <w:rsid w:val="00E328B7"/>
    <w:rsid w:val="00E335AE"/>
    <w:rsid w:val="00E339AB"/>
    <w:rsid w:val="00E339C1"/>
    <w:rsid w:val="00E3420C"/>
    <w:rsid w:val="00E34565"/>
    <w:rsid w:val="00E350D8"/>
    <w:rsid w:val="00E35197"/>
    <w:rsid w:val="00E351F8"/>
    <w:rsid w:val="00E35749"/>
    <w:rsid w:val="00E41B4F"/>
    <w:rsid w:val="00E41CB2"/>
    <w:rsid w:val="00E4297D"/>
    <w:rsid w:val="00E44955"/>
    <w:rsid w:val="00E4513A"/>
    <w:rsid w:val="00E45B0A"/>
    <w:rsid w:val="00E45BD2"/>
    <w:rsid w:val="00E45DA8"/>
    <w:rsid w:val="00E475FC"/>
    <w:rsid w:val="00E47B37"/>
    <w:rsid w:val="00E47BE2"/>
    <w:rsid w:val="00E50D4D"/>
    <w:rsid w:val="00E51564"/>
    <w:rsid w:val="00E51B9F"/>
    <w:rsid w:val="00E5284E"/>
    <w:rsid w:val="00E549C1"/>
    <w:rsid w:val="00E555F4"/>
    <w:rsid w:val="00E5561E"/>
    <w:rsid w:val="00E568AD"/>
    <w:rsid w:val="00E603DC"/>
    <w:rsid w:val="00E60639"/>
    <w:rsid w:val="00E60651"/>
    <w:rsid w:val="00E60806"/>
    <w:rsid w:val="00E614D5"/>
    <w:rsid w:val="00E62682"/>
    <w:rsid w:val="00E63B62"/>
    <w:rsid w:val="00E64034"/>
    <w:rsid w:val="00E64CCF"/>
    <w:rsid w:val="00E676CD"/>
    <w:rsid w:val="00E679F0"/>
    <w:rsid w:val="00E67DD5"/>
    <w:rsid w:val="00E70B82"/>
    <w:rsid w:val="00E74040"/>
    <w:rsid w:val="00E74B8A"/>
    <w:rsid w:val="00E753F9"/>
    <w:rsid w:val="00E77001"/>
    <w:rsid w:val="00E7720E"/>
    <w:rsid w:val="00E77928"/>
    <w:rsid w:val="00E80066"/>
    <w:rsid w:val="00E81935"/>
    <w:rsid w:val="00E8228B"/>
    <w:rsid w:val="00E84072"/>
    <w:rsid w:val="00E84F7F"/>
    <w:rsid w:val="00E85570"/>
    <w:rsid w:val="00E859A3"/>
    <w:rsid w:val="00E85AEE"/>
    <w:rsid w:val="00E86EA3"/>
    <w:rsid w:val="00E87009"/>
    <w:rsid w:val="00E9087D"/>
    <w:rsid w:val="00E92937"/>
    <w:rsid w:val="00E931C3"/>
    <w:rsid w:val="00E93BEA"/>
    <w:rsid w:val="00E93EF7"/>
    <w:rsid w:val="00E94174"/>
    <w:rsid w:val="00E95DE9"/>
    <w:rsid w:val="00E96141"/>
    <w:rsid w:val="00E96388"/>
    <w:rsid w:val="00E96623"/>
    <w:rsid w:val="00EA0371"/>
    <w:rsid w:val="00EA399C"/>
    <w:rsid w:val="00EA3E9D"/>
    <w:rsid w:val="00EA4DBD"/>
    <w:rsid w:val="00EA6E84"/>
    <w:rsid w:val="00EB15D3"/>
    <w:rsid w:val="00EB1BF8"/>
    <w:rsid w:val="00EB2CEE"/>
    <w:rsid w:val="00EB5E58"/>
    <w:rsid w:val="00EB60B3"/>
    <w:rsid w:val="00EC1F64"/>
    <w:rsid w:val="00EC227F"/>
    <w:rsid w:val="00EC2B1A"/>
    <w:rsid w:val="00EC4D82"/>
    <w:rsid w:val="00EC508A"/>
    <w:rsid w:val="00EC50F1"/>
    <w:rsid w:val="00EC5B92"/>
    <w:rsid w:val="00EC71D4"/>
    <w:rsid w:val="00EC736A"/>
    <w:rsid w:val="00EC7654"/>
    <w:rsid w:val="00EC7734"/>
    <w:rsid w:val="00ED15DC"/>
    <w:rsid w:val="00ED37E1"/>
    <w:rsid w:val="00ED3A27"/>
    <w:rsid w:val="00ED5A9D"/>
    <w:rsid w:val="00ED6F55"/>
    <w:rsid w:val="00ED7F11"/>
    <w:rsid w:val="00ED7F4E"/>
    <w:rsid w:val="00EE124F"/>
    <w:rsid w:val="00EE1EB4"/>
    <w:rsid w:val="00EE29FA"/>
    <w:rsid w:val="00EE2A2A"/>
    <w:rsid w:val="00EE2DF8"/>
    <w:rsid w:val="00EE368F"/>
    <w:rsid w:val="00EE47CF"/>
    <w:rsid w:val="00EE4810"/>
    <w:rsid w:val="00EE4A57"/>
    <w:rsid w:val="00EE5413"/>
    <w:rsid w:val="00EE5772"/>
    <w:rsid w:val="00EE5CFA"/>
    <w:rsid w:val="00EE5E2C"/>
    <w:rsid w:val="00EE61B3"/>
    <w:rsid w:val="00EE63BF"/>
    <w:rsid w:val="00EE7FAB"/>
    <w:rsid w:val="00EF0C99"/>
    <w:rsid w:val="00EF163E"/>
    <w:rsid w:val="00EF219B"/>
    <w:rsid w:val="00EF2372"/>
    <w:rsid w:val="00EF24F1"/>
    <w:rsid w:val="00EF2D2C"/>
    <w:rsid w:val="00EF3C96"/>
    <w:rsid w:val="00EF5250"/>
    <w:rsid w:val="00EF53CE"/>
    <w:rsid w:val="00EF6409"/>
    <w:rsid w:val="00EF6B03"/>
    <w:rsid w:val="00EF7910"/>
    <w:rsid w:val="00F00492"/>
    <w:rsid w:val="00F01E94"/>
    <w:rsid w:val="00F02315"/>
    <w:rsid w:val="00F03718"/>
    <w:rsid w:val="00F037B5"/>
    <w:rsid w:val="00F04EE7"/>
    <w:rsid w:val="00F0632F"/>
    <w:rsid w:val="00F06378"/>
    <w:rsid w:val="00F06399"/>
    <w:rsid w:val="00F06701"/>
    <w:rsid w:val="00F06F14"/>
    <w:rsid w:val="00F07359"/>
    <w:rsid w:val="00F07371"/>
    <w:rsid w:val="00F07637"/>
    <w:rsid w:val="00F07C90"/>
    <w:rsid w:val="00F07CCB"/>
    <w:rsid w:val="00F10655"/>
    <w:rsid w:val="00F106A5"/>
    <w:rsid w:val="00F109C4"/>
    <w:rsid w:val="00F10A12"/>
    <w:rsid w:val="00F11A28"/>
    <w:rsid w:val="00F11D57"/>
    <w:rsid w:val="00F12A3B"/>
    <w:rsid w:val="00F13A56"/>
    <w:rsid w:val="00F13F71"/>
    <w:rsid w:val="00F149AF"/>
    <w:rsid w:val="00F15050"/>
    <w:rsid w:val="00F15189"/>
    <w:rsid w:val="00F15AF3"/>
    <w:rsid w:val="00F1685B"/>
    <w:rsid w:val="00F2055D"/>
    <w:rsid w:val="00F20637"/>
    <w:rsid w:val="00F20F7A"/>
    <w:rsid w:val="00F22EE6"/>
    <w:rsid w:val="00F232F8"/>
    <w:rsid w:val="00F2373A"/>
    <w:rsid w:val="00F2458E"/>
    <w:rsid w:val="00F2504A"/>
    <w:rsid w:val="00F26206"/>
    <w:rsid w:val="00F26737"/>
    <w:rsid w:val="00F26D41"/>
    <w:rsid w:val="00F26EBA"/>
    <w:rsid w:val="00F277DF"/>
    <w:rsid w:val="00F27DB0"/>
    <w:rsid w:val="00F3020D"/>
    <w:rsid w:val="00F30268"/>
    <w:rsid w:val="00F308A5"/>
    <w:rsid w:val="00F30FC5"/>
    <w:rsid w:val="00F31A95"/>
    <w:rsid w:val="00F31AC5"/>
    <w:rsid w:val="00F33148"/>
    <w:rsid w:val="00F3711D"/>
    <w:rsid w:val="00F37C3A"/>
    <w:rsid w:val="00F37FBB"/>
    <w:rsid w:val="00F4197B"/>
    <w:rsid w:val="00F429AD"/>
    <w:rsid w:val="00F42A4F"/>
    <w:rsid w:val="00F43279"/>
    <w:rsid w:val="00F454F8"/>
    <w:rsid w:val="00F45B42"/>
    <w:rsid w:val="00F46BFD"/>
    <w:rsid w:val="00F46FEA"/>
    <w:rsid w:val="00F47146"/>
    <w:rsid w:val="00F47A5B"/>
    <w:rsid w:val="00F506B6"/>
    <w:rsid w:val="00F513E4"/>
    <w:rsid w:val="00F51421"/>
    <w:rsid w:val="00F516CA"/>
    <w:rsid w:val="00F539A0"/>
    <w:rsid w:val="00F549B5"/>
    <w:rsid w:val="00F55726"/>
    <w:rsid w:val="00F5634A"/>
    <w:rsid w:val="00F56817"/>
    <w:rsid w:val="00F57131"/>
    <w:rsid w:val="00F60383"/>
    <w:rsid w:val="00F616F3"/>
    <w:rsid w:val="00F618F1"/>
    <w:rsid w:val="00F61EB9"/>
    <w:rsid w:val="00F621F6"/>
    <w:rsid w:val="00F62A97"/>
    <w:rsid w:val="00F65E70"/>
    <w:rsid w:val="00F66371"/>
    <w:rsid w:val="00F666EB"/>
    <w:rsid w:val="00F66940"/>
    <w:rsid w:val="00F66C3F"/>
    <w:rsid w:val="00F670B7"/>
    <w:rsid w:val="00F70206"/>
    <w:rsid w:val="00F710CE"/>
    <w:rsid w:val="00F71EFA"/>
    <w:rsid w:val="00F722EE"/>
    <w:rsid w:val="00F730FE"/>
    <w:rsid w:val="00F73144"/>
    <w:rsid w:val="00F75557"/>
    <w:rsid w:val="00F7558B"/>
    <w:rsid w:val="00F75BE9"/>
    <w:rsid w:val="00F80305"/>
    <w:rsid w:val="00F805A6"/>
    <w:rsid w:val="00F80D9A"/>
    <w:rsid w:val="00F81C46"/>
    <w:rsid w:val="00F8211A"/>
    <w:rsid w:val="00F8345F"/>
    <w:rsid w:val="00F83561"/>
    <w:rsid w:val="00F85587"/>
    <w:rsid w:val="00F85A4B"/>
    <w:rsid w:val="00F85A94"/>
    <w:rsid w:val="00F872D0"/>
    <w:rsid w:val="00F87ABB"/>
    <w:rsid w:val="00F87E82"/>
    <w:rsid w:val="00F87EC0"/>
    <w:rsid w:val="00F9056D"/>
    <w:rsid w:val="00F91174"/>
    <w:rsid w:val="00F9133B"/>
    <w:rsid w:val="00F92B7E"/>
    <w:rsid w:val="00F92D57"/>
    <w:rsid w:val="00F92DBD"/>
    <w:rsid w:val="00F94FD8"/>
    <w:rsid w:val="00F96C4E"/>
    <w:rsid w:val="00FA11B5"/>
    <w:rsid w:val="00FA2022"/>
    <w:rsid w:val="00FA21E1"/>
    <w:rsid w:val="00FA2467"/>
    <w:rsid w:val="00FA272D"/>
    <w:rsid w:val="00FA290B"/>
    <w:rsid w:val="00FA2A2F"/>
    <w:rsid w:val="00FA2EF8"/>
    <w:rsid w:val="00FA37B7"/>
    <w:rsid w:val="00FA42FC"/>
    <w:rsid w:val="00FA448E"/>
    <w:rsid w:val="00FA4DA0"/>
    <w:rsid w:val="00FA4DC0"/>
    <w:rsid w:val="00FA5E38"/>
    <w:rsid w:val="00FB1093"/>
    <w:rsid w:val="00FB1461"/>
    <w:rsid w:val="00FB2018"/>
    <w:rsid w:val="00FB2D0D"/>
    <w:rsid w:val="00FB4417"/>
    <w:rsid w:val="00FB5F60"/>
    <w:rsid w:val="00FB680F"/>
    <w:rsid w:val="00FB6919"/>
    <w:rsid w:val="00FB7893"/>
    <w:rsid w:val="00FC13F5"/>
    <w:rsid w:val="00FC277D"/>
    <w:rsid w:val="00FC3D54"/>
    <w:rsid w:val="00FC41D7"/>
    <w:rsid w:val="00FC4A0B"/>
    <w:rsid w:val="00FC5481"/>
    <w:rsid w:val="00FC65E0"/>
    <w:rsid w:val="00FC694B"/>
    <w:rsid w:val="00FC6FDF"/>
    <w:rsid w:val="00FC70D2"/>
    <w:rsid w:val="00FC7384"/>
    <w:rsid w:val="00FC74EF"/>
    <w:rsid w:val="00FD0EC8"/>
    <w:rsid w:val="00FD139C"/>
    <w:rsid w:val="00FD2E6D"/>
    <w:rsid w:val="00FD2FFB"/>
    <w:rsid w:val="00FD319A"/>
    <w:rsid w:val="00FD3C10"/>
    <w:rsid w:val="00FD4236"/>
    <w:rsid w:val="00FD498D"/>
    <w:rsid w:val="00FD5B4B"/>
    <w:rsid w:val="00FD5CA0"/>
    <w:rsid w:val="00FD7062"/>
    <w:rsid w:val="00FE1196"/>
    <w:rsid w:val="00FE2388"/>
    <w:rsid w:val="00FE30E0"/>
    <w:rsid w:val="00FE3C1E"/>
    <w:rsid w:val="00FE3C36"/>
    <w:rsid w:val="00FE4B27"/>
    <w:rsid w:val="00FE5626"/>
    <w:rsid w:val="00FE5630"/>
    <w:rsid w:val="00FE5FD4"/>
    <w:rsid w:val="00FF08E6"/>
    <w:rsid w:val="00FF0D78"/>
    <w:rsid w:val="00FF0EE9"/>
    <w:rsid w:val="00FF0EEE"/>
    <w:rsid w:val="00FF0F7F"/>
    <w:rsid w:val="00FF2793"/>
    <w:rsid w:val="00FF2F04"/>
    <w:rsid w:val="00FF3815"/>
    <w:rsid w:val="00FF3EA9"/>
    <w:rsid w:val="00FF510D"/>
    <w:rsid w:val="00FF5B92"/>
    <w:rsid w:val="00FF5D78"/>
    <w:rsid w:val="00FF7034"/>
    <w:rsid w:val="01065707"/>
    <w:rsid w:val="010B6346"/>
    <w:rsid w:val="012F3F7C"/>
    <w:rsid w:val="017932F1"/>
    <w:rsid w:val="018A0E13"/>
    <w:rsid w:val="01BD0368"/>
    <w:rsid w:val="01DE089D"/>
    <w:rsid w:val="020970CA"/>
    <w:rsid w:val="0226460D"/>
    <w:rsid w:val="023B43AB"/>
    <w:rsid w:val="028E1852"/>
    <w:rsid w:val="02C81B1F"/>
    <w:rsid w:val="03391357"/>
    <w:rsid w:val="035967B1"/>
    <w:rsid w:val="03597E40"/>
    <w:rsid w:val="035D4591"/>
    <w:rsid w:val="03631D1E"/>
    <w:rsid w:val="037E5DCB"/>
    <w:rsid w:val="03E26584"/>
    <w:rsid w:val="04492C16"/>
    <w:rsid w:val="045647A9"/>
    <w:rsid w:val="04680BC2"/>
    <w:rsid w:val="046A6CCD"/>
    <w:rsid w:val="047B4D00"/>
    <w:rsid w:val="04A732AF"/>
    <w:rsid w:val="04B527F1"/>
    <w:rsid w:val="05026E46"/>
    <w:rsid w:val="053C405B"/>
    <w:rsid w:val="056F5AD7"/>
    <w:rsid w:val="058916A3"/>
    <w:rsid w:val="059E10D1"/>
    <w:rsid w:val="05A012C8"/>
    <w:rsid w:val="05BF54F8"/>
    <w:rsid w:val="05E277B3"/>
    <w:rsid w:val="05FF6A11"/>
    <w:rsid w:val="060557D7"/>
    <w:rsid w:val="06305334"/>
    <w:rsid w:val="06434355"/>
    <w:rsid w:val="068C7C4C"/>
    <w:rsid w:val="06963DDF"/>
    <w:rsid w:val="06CC0A35"/>
    <w:rsid w:val="07031681"/>
    <w:rsid w:val="070A3CB8"/>
    <w:rsid w:val="07530E8A"/>
    <w:rsid w:val="0769686A"/>
    <w:rsid w:val="076E27BD"/>
    <w:rsid w:val="076E63D7"/>
    <w:rsid w:val="0770402F"/>
    <w:rsid w:val="078E5270"/>
    <w:rsid w:val="07913C76"/>
    <w:rsid w:val="07B42F31"/>
    <w:rsid w:val="07CA6B66"/>
    <w:rsid w:val="07F15671"/>
    <w:rsid w:val="08200491"/>
    <w:rsid w:val="08425E71"/>
    <w:rsid w:val="085D3E3F"/>
    <w:rsid w:val="087912F3"/>
    <w:rsid w:val="088C4ECC"/>
    <w:rsid w:val="08973524"/>
    <w:rsid w:val="08A26EE3"/>
    <w:rsid w:val="08A65D3D"/>
    <w:rsid w:val="0900762B"/>
    <w:rsid w:val="09264BC9"/>
    <w:rsid w:val="092D4D1C"/>
    <w:rsid w:val="09626007"/>
    <w:rsid w:val="09670379"/>
    <w:rsid w:val="097C4A9B"/>
    <w:rsid w:val="09993AB5"/>
    <w:rsid w:val="09B86E7F"/>
    <w:rsid w:val="09F66D51"/>
    <w:rsid w:val="0A0219DF"/>
    <w:rsid w:val="0A894FD9"/>
    <w:rsid w:val="0A9458FA"/>
    <w:rsid w:val="0AA20101"/>
    <w:rsid w:val="0ABA1F25"/>
    <w:rsid w:val="0ADD2F10"/>
    <w:rsid w:val="0AE113D2"/>
    <w:rsid w:val="0AF67B8B"/>
    <w:rsid w:val="0B0758A7"/>
    <w:rsid w:val="0B1B4548"/>
    <w:rsid w:val="0B3166EB"/>
    <w:rsid w:val="0BBF5056"/>
    <w:rsid w:val="0BE65845"/>
    <w:rsid w:val="0BE92617"/>
    <w:rsid w:val="0BEA0098"/>
    <w:rsid w:val="0BF0521B"/>
    <w:rsid w:val="0BF7455D"/>
    <w:rsid w:val="0BFE4B3A"/>
    <w:rsid w:val="0C296C83"/>
    <w:rsid w:val="0C5C1421"/>
    <w:rsid w:val="0C8D3125"/>
    <w:rsid w:val="0D545798"/>
    <w:rsid w:val="0D624402"/>
    <w:rsid w:val="0D696CE5"/>
    <w:rsid w:val="0D747B9F"/>
    <w:rsid w:val="0D8F41B3"/>
    <w:rsid w:val="0DD237BC"/>
    <w:rsid w:val="0E037D57"/>
    <w:rsid w:val="0E1D4B35"/>
    <w:rsid w:val="0E241F41"/>
    <w:rsid w:val="0E413A70"/>
    <w:rsid w:val="0E5F68A3"/>
    <w:rsid w:val="0E7813A9"/>
    <w:rsid w:val="0EBC441C"/>
    <w:rsid w:val="0EBD33B9"/>
    <w:rsid w:val="0EBE690E"/>
    <w:rsid w:val="0F1A117A"/>
    <w:rsid w:val="0F1C3F4D"/>
    <w:rsid w:val="0F5116AE"/>
    <w:rsid w:val="0F596ABB"/>
    <w:rsid w:val="0F5F09C4"/>
    <w:rsid w:val="0F5F4247"/>
    <w:rsid w:val="0F6273CA"/>
    <w:rsid w:val="0F7D4B34"/>
    <w:rsid w:val="0FC419ED"/>
    <w:rsid w:val="0FD9288C"/>
    <w:rsid w:val="0FEE6FAE"/>
    <w:rsid w:val="0FF20B73"/>
    <w:rsid w:val="10003991"/>
    <w:rsid w:val="100565B7"/>
    <w:rsid w:val="101F3001"/>
    <w:rsid w:val="10254F0A"/>
    <w:rsid w:val="10406DB9"/>
    <w:rsid w:val="107A5C99"/>
    <w:rsid w:val="107B7E97"/>
    <w:rsid w:val="10994EC9"/>
    <w:rsid w:val="109C57D8"/>
    <w:rsid w:val="10D64689"/>
    <w:rsid w:val="10E05471"/>
    <w:rsid w:val="10ED29B0"/>
    <w:rsid w:val="10EF7E56"/>
    <w:rsid w:val="10FB74EC"/>
    <w:rsid w:val="11321BC4"/>
    <w:rsid w:val="113A6FD0"/>
    <w:rsid w:val="11462FAC"/>
    <w:rsid w:val="11475BCD"/>
    <w:rsid w:val="1155307D"/>
    <w:rsid w:val="1160140E"/>
    <w:rsid w:val="11797DBA"/>
    <w:rsid w:val="117C38F8"/>
    <w:rsid w:val="117D6EEE"/>
    <w:rsid w:val="11B5219D"/>
    <w:rsid w:val="11DF67EB"/>
    <w:rsid w:val="12106FE1"/>
    <w:rsid w:val="12213A4B"/>
    <w:rsid w:val="122946DB"/>
    <w:rsid w:val="12750F57"/>
    <w:rsid w:val="12897C74"/>
    <w:rsid w:val="129C3395"/>
    <w:rsid w:val="12E83AF4"/>
    <w:rsid w:val="131A26ED"/>
    <w:rsid w:val="13771DFE"/>
    <w:rsid w:val="138F4439"/>
    <w:rsid w:val="13F25EC4"/>
    <w:rsid w:val="14245767"/>
    <w:rsid w:val="144A7BD8"/>
    <w:rsid w:val="144A7C4E"/>
    <w:rsid w:val="145C23B3"/>
    <w:rsid w:val="149A0C5C"/>
    <w:rsid w:val="149E7662"/>
    <w:rsid w:val="1508348E"/>
    <w:rsid w:val="15350710"/>
    <w:rsid w:val="155F416A"/>
    <w:rsid w:val="156354FD"/>
    <w:rsid w:val="156C0FB4"/>
    <w:rsid w:val="157A51BC"/>
    <w:rsid w:val="159557BE"/>
    <w:rsid w:val="15A85596"/>
    <w:rsid w:val="15CD7D54"/>
    <w:rsid w:val="15D00CD9"/>
    <w:rsid w:val="15E450B5"/>
    <w:rsid w:val="16371982"/>
    <w:rsid w:val="163D388B"/>
    <w:rsid w:val="16456719"/>
    <w:rsid w:val="1683077C"/>
    <w:rsid w:val="168B5B89"/>
    <w:rsid w:val="16C005E1"/>
    <w:rsid w:val="16E06917"/>
    <w:rsid w:val="16FD2BCB"/>
    <w:rsid w:val="175862BF"/>
    <w:rsid w:val="179D67CA"/>
    <w:rsid w:val="17B730F8"/>
    <w:rsid w:val="17C65910"/>
    <w:rsid w:val="17C80E13"/>
    <w:rsid w:val="17E44EC0"/>
    <w:rsid w:val="17F263D4"/>
    <w:rsid w:val="17F52BDC"/>
    <w:rsid w:val="180D2D20"/>
    <w:rsid w:val="182249A5"/>
    <w:rsid w:val="182269B6"/>
    <w:rsid w:val="183A0ACF"/>
    <w:rsid w:val="18642373"/>
    <w:rsid w:val="187831B6"/>
    <w:rsid w:val="18834ED9"/>
    <w:rsid w:val="18A656AF"/>
    <w:rsid w:val="18CE28C0"/>
    <w:rsid w:val="18E26C79"/>
    <w:rsid w:val="18E55D68"/>
    <w:rsid w:val="18FE0AB6"/>
    <w:rsid w:val="1911682C"/>
    <w:rsid w:val="19813C3F"/>
    <w:rsid w:val="19A17418"/>
    <w:rsid w:val="19B263B5"/>
    <w:rsid w:val="19B93092"/>
    <w:rsid w:val="19DF2D99"/>
    <w:rsid w:val="19EA686E"/>
    <w:rsid w:val="1A0A00C9"/>
    <w:rsid w:val="1A7D000B"/>
    <w:rsid w:val="1A8670A6"/>
    <w:rsid w:val="1A97657B"/>
    <w:rsid w:val="1A9E2B3B"/>
    <w:rsid w:val="1AAE167A"/>
    <w:rsid w:val="1AB02A55"/>
    <w:rsid w:val="1AF91F50"/>
    <w:rsid w:val="1AFD11C6"/>
    <w:rsid w:val="1B00542F"/>
    <w:rsid w:val="1B2F42F1"/>
    <w:rsid w:val="1B301DA5"/>
    <w:rsid w:val="1B3F3E40"/>
    <w:rsid w:val="1B7C00B3"/>
    <w:rsid w:val="1B7C0EA4"/>
    <w:rsid w:val="1BB42683"/>
    <w:rsid w:val="1BF509C2"/>
    <w:rsid w:val="1BF95FEE"/>
    <w:rsid w:val="1C0D0793"/>
    <w:rsid w:val="1C1B332C"/>
    <w:rsid w:val="1C2A6C2E"/>
    <w:rsid w:val="1C363B56"/>
    <w:rsid w:val="1C527C03"/>
    <w:rsid w:val="1C700838"/>
    <w:rsid w:val="1CAB3B14"/>
    <w:rsid w:val="1CE56278"/>
    <w:rsid w:val="1CFC261A"/>
    <w:rsid w:val="1CFF6E5D"/>
    <w:rsid w:val="1D0432AA"/>
    <w:rsid w:val="1D0A4412"/>
    <w:rsid w:val="1D0B38F8"/>
    <w:rsid w:val="1D1D5776"/>
    <w:rsid w:val="1D2753AE"/>
    <w:rsid w:val="1D3E218A"/>
    <w:rsid w:val="1D41310E"/>
    <w:rsid w:val="1D6D7456"/>
    <w:rsid w:val="1D7879E5"/>
    <w:rsid w:val="1D867707"/>
    <w:rsid w:val="1DE75A9B"/>
    <w:rsid w:val="1E295925"/>
    <w:rsid w:val="1E3D0B9B"/>
    <w:rsid w:val="1E535731"/>
    <w:rsid w:val="1E81151C"/>
    <w:rsid w:val="1E884DB6"/>
    <w:rsid w:val="1EBF357F"/>
    <w:rsid w:val="1EDC50AE"/>
    <w:rsid w:val="1EFE1319"/>
    <w:rsid w:val="1F0C367F"/>
    <w:rsid w:val="1F0D1045"/>
    <w:rsid w:val="1F1F489E"/>
    <w:rsid w:val="1F2F076D"/>
    <w:rsid w:val="1F5B6C81"/>
    <w:rsid w:val="1FFB17BC"/>
    <w:rsid w:val="200C3221"/>
    <w:rsid w:val="201828B7"/>
    <w:rsid w:val="203D39F0"/>
    <w:rsid w:val="20471021"/>
    <w:rsid w:val="20672636"/>
    <w:rsid w:val="20731CCC"/>
    <w:rsid w:val="20817033"/>
    <w:rsid w:val="208F37FB"/>
    <w:rsid w:val="20990887"/>
    <w:rsid w:val="20B523B5"/>
    <w:rsid w:val="20E833A7"/>
    <w:rsid w:val="20EA2C10"/>
    <w:rsid w:val="21182A73"/>
    <w:rsid w:val="2139298F"/>
    <w:rsid w:val="216C01F4"/>
    <w:rsid w:val="219168A1"/>
    <w:rsid w:val="21B038D2"/>
    <w:rsid w:val="21D70408"/>
    <w:rsid w:val="2216237D"/>
    <w:rsid w:val="221E7789"/>
    <w:rsid w:val="223076A3"/>
    <w:rsid w:val="228B3B2E"/>
    <w:rsid w:val="22E84C54"/>
    <w:rsid w:val="22ED23E8"/>
    <w:rsid w:val="235E2230"/>
    <w:rsid w:val="2370600B"/>
    <w:rsid w:val="237B1C44"/>
    <w:rsid w:val="23CA7445"/>
    <w:rsid w:val="240671CC"/>
    <w:rsid w:val="241B0EB4"/>
    <w:rsid w:val="24513BF6"/>
    <w:rsid w:val="24683E4B"/>
    <w:rsid w:val="246C2851"/>
    <w:rsid w:val="24775DB4"/>
    <w:rsid w:val="24841763"/>
    <w:rsid w:val="2488042D"/>
    <w:rsid w:val="24896A55"/>
    <w:rsid w:val="248A4000"/>
    <w:rsid w:val="24C36C6D"/>
    <w:rsid w:val="24CD15F1"/>
    <w:rsid w:val="24D50BFC"/>
    <w:rsid w:val="254734B9"/>
    <w:rsid w:val="254E0ABD"/>
    <w:rsid w:val="25641764"/>
    <w:rsid w:val="257C268E"/>
    <w:rsid w:val="258A21E5"/>
    <w:rsid w:val="25A10883"/>
    <w:rsid w:val="25D729E7"/>
    <w:rsid w:val="260E417C"/>
    <w:rsid w:val="260F5480"/>
    <w:rsid w:val="26382DB8"/>
    <w:rsid w:val="264017D0"/>
    <w:rsid w:val="265C4D5F"/>
    <w:rsid w:val="26644B8A"/>
    <w:rsid w:val="2683355D"/>
    <w:rsid w:val="268A1547"/>
    <w:rsid w:val="268B3CAF"/>
    <w:rsid w:val="269243D5"/>
    <w:rsid w:val="26A73075"/>
    <w:rsid w:val="26B2270B"/>
    <w:rsid w:val="26F853FE"/>
    <w:rsid w:val="270B1F80"/>
    <w:rsid w:val="274B1605"/>
    <w:rsid w:val="27706A48"/>
    <w:rsid w:val="277D7855"/>
    <w:rsid w:val="27816C71"/>
    <w:rsid w:val="278B3C06"/>
    <w:rsid w:val="27990C94"/>
    <w:rsid w:val="27C61EE6"/>
    <w:rsid w:val="27E33F9B"/>
    <w:rsid w:val="27F23097"/>
    <w:rsid w:val="2805016B"/>
    <w:rsid w:val="281F2C62"/>
    <w:rsid w:val="286036CB"/>
    <w:rsid w:val="28A2792A"/>
    <w:rsid w:val="28AA4C8A"/>
    <w:rsid w:val="28DF529E"/>
    <w:rsid w:val="294A494E"/>
    <w:rsid w:val="29560760"/>
    <w:rsid w:val="2960326E"/>
    <w:rsid w:val="2975343F"/>
    <w:rsid w:val="297731BB"/>
    <w:rsid w:val="29922597"/>
    <w:rsid w:val="29B84F82"/>
    <w:rsid w:val="29C71D19"/>
    <w:rsid w:val="29FE3300"/>
    <w:rsid w:val="2A144016"/>
    <w:rsid w:val="2A24682F"/>
    <w:rsid w:val="2A270F8C"/>
    <w:rsid w:val="2A2C74BF"/>
    <w:rsid w:val="2A377A4E"/>
    <w:rsid w:val="2A53737E"/>
    <w:rsid w:val="2A573A81"/>
    <w:rsid w:val="2A704730"/>
    <w:rsid w:val="2A8A52DA"/>
    <w:rsid w:val="2AC70C94"/>
    <w:rsid w:val="2AE354DA"/>
    <w:rsid w:val="2B1E47FB"/>
    <w:rsid w:val="2B2A3B5F"/>
    <w:rsid w:val="2B6A6B46"/>
    <w:rsid w:val="2B7042D3"/>
    <w:rsid w:val="2B7A5997"/>
    <w:rsid w:val="2B833767"/>
    <w:rsid w:val="2C0547C6"/>
    <w:rsid w:val="2C380499"/>
    <w:rsid w:val="2C401128"/>
    <w:rsid w:val="2C8A2F49"/>
    <w:rsid w:val="2C9F3BCE"/>
    <w:rsid w:val="2CA12446"/>
    <w:rsid w:val="2CA64350"/>
    <w:rsid w:val="2CDB1327"/>
    <w:rsid w:val="2CF9108B"/>
    <w:rsid w:val="2D0B6272"/>
    <w:rsid w:val="2D34475F"/>
    <w:rsid w:val="2D4D51B1"/>
    <w:rsid w:val="2D4D79AC"/>
    <w:rsid w:val="2D593F87"/>
    <w:rsid w:val="2DB7418D"/>
    <w:rsid w:val="2DD00879"/>
    <w:rsid w:val="2DD5373D"/>
    <w:rsid w:val="2DF80479"/>
    <w:rsid w:val="2E0B52AE"/>
    <w:rsid w:val="2E0E041F"/>
    <w:rsid w:val="2E141396"/>
    <w:rsid w:val="2E2A44CC"/>
    <w:rsid w:val="2E747DC3"/>
    <w:rsid w:val="2E8F1C72"/>
    <w:rsid w:val="2E9C0F87"/>
    <w:rsid w:val="2EA61F97"/>
    <w:rsid w:val="2EB7077F"/>
    <w:rsid w:val="2EB8044F"/>
    <w:rsid w:val="2EC16B9C"/>
    <w:rsid w:val="2ED53072"/>
    <w:rsid w:val="2ED8336B"/>
    <w:rsid w:val="2EDF426C"/>
    <w:rsid w:val="2EEC200B"/>
    <w:rsid w:val="2EEC4E92"/>
    <w:rsid w:val="2F1A1856"/>
    <w:rsid w:val="2F1C0982"/>
    <w:rsid w:val="2F5B00C1"/>
    <w:rsid w:val="2F63302B"/>
    <w:rsid w:val="2F747966"/>
    <w:rsid w:val="2FA801C0"/>
    <w:rsid w:val="2FCB6344"/>
    <w:rsid w:val="2FE04DD6"/>
    <w:rsid w:val="2FEC0BD0"/>
    <w:rsid w:val="2FEC1523"/>
    <w:rsid w:val="300D5786"/>
    <w:rsid w:val="3011145B"/>
    <w:rsid w:val="30524DF2"/>
    <w:rsid w:val="306B7868"/>
    <w:rsid w:val="30781792"/>
    <w:rsid w:val="3099089E"/>
    <w:rsid w:val="30E346C5"/>
    <w:rsid w:val="31187F2F"/>
    <w:rsid w:val="313C4D53"/>
    <w:rsid w:val="31432160"/>
    <w:rsid w:val="31490DA5"/>
    <w:rsid w:val="31570E00"/>
    <w:rsid w:val="315F5D75"/>
    <w:rsid w:val="31A54783"/>
    <w:rsid w:val="31CA113F"/>
    <w:rsid w:val="31E91E87"/>
    <w:rsid w:val="320E10B5"/>
    <w:rsid w:val="3243059C"/>
    <w:rsid w:val="32697D44"/>
    <w:rsid w:val="326D0948"/>
    <w:rsid w:val="328A5CFA"/>
    <w:rsid w:val="32C835E0"/>
    <w:rsid w:val="32D23EF0"/>
    <w:rsid w:val="32DF7982"/>
    <w:rsid w:val="331537CD"/>
    <w:rsid w:val="331E4E70"/>
    <w:rsid w:val="33285651"/>
    <w:rsid w:val="332F4289"/>
    <w:rsid w:val="336E17F0"/>
    <w:rsid w:val="33814F8D"/>
    <w:rsid w:val="33C133A6"/>
    <w:rsid w:val="33CC276C"/>
    <w:rsid w:val="33E2230D"/>
    <w:rsid w:val="33FB26D9"/>
    <w:rsid w:val="3424001A"/>
    <w:rsid w:val="34291F23"/>
    <w:rsid w:val="34413D46"/>
    <w:rsid w:val="34432ACD"/>
    <w:rsid w:val="344A45A5"/>
    <w:rsid w:val="345C5BF5"/>
    <w:rsid w:val="34692D0C"/>
    <w:rsid w:val="348103B3"/>
    <w:rsid w:val="34A76F6E"/>
    <w:rsid w:val="356F47B8"/>
    <w:rsid w:val="357C3ACE"/>
    <w:rsid w:val="357D1550"/>
    <w:rsid w:val="35962F2D"/>
    <w:rsid w:val="359F2D89"/>
    <w:rsid w:val="35AB6D2D"/>
    <w:rsid w:val="35B629AE"/>
    <w:rsid w:val="35B71496"/>
    <w:rsid w:val="35B73EBF"/>
    <w:rsid w:val="35B8262E"/>
    <w:rsid w:val="35BA5B31"/>
    <w:rsid w:val="35CC12CF"/>
    <w:rsid w:val="35D319E6"/>
    <w:rsid w:val="35D72EE3"/>
    <w:rsid w:val="35E768F5"/>
    <w:rsid w:val="35F559C7"/>
    <w:rsid w:val="36075C31"/>
    <w:rsid w:val="362D458B"/>
    <w:rsid w:val="36354715"/>
    <w:rsid w:val="36414A73"/>
    <w:rsid w:val="364A0F5C"/>
    <w:rsid w:val="36510879"/>
    <w:rsid w:val="36E16C19"/>
    <w:rsid w:val="37036DCD"/>
    <w:rsid w:val="372F46A7"/>
    <w:rsid w:val="37726C9D"/>
    <w:rsid w:val="379A1E22"/>
    <w:rsid w:val="37BD6848"/>
    <w:rsid w:val="37CC6816"/>
    <w:rsid w:val="37DE6907"/>
    <w:rsid w:val="37E810A7"/>
    <w:rsid w:val="380E1C87"/>
    <w:rsid w:val="38994363"/>
    <w:rsid w:val="38A9437C"/>
    <w:rsid w:val="38C2712E"/>
    <w:rsid w:val="38D16127"/>
    <w:rsid w:val="391842BA"/>
    <w:rsid w:val="39390072"/>
    <w:rsid w:val="393C0FF6"/>
    <w:rsid w:val="39515718"/>
    <w:rsid w:val="39592B25"/>
    <w:rsid w:val="39706EC7"/>
    <w:rsid w:val="39741150"/>
    <w:rsid w:val="39787B56"/>
    <w:rsid w:val="398E1CFA"/>
    <w:rsid w:val="39923F83"/>
    <w:rsid w:val="399A358E"/>
    <w:rsid w:val="39B62EBE"/>
    <w:rsid w:val="3A2A75FA"/>
    <w:rsid w:val="3A3F5379"/>
    <w:rsid w:val="3A436689"/>
    <w:rsid w:val="3A4614A9"/>
    <w:rsid w:val="3A675260"/>
    <w:rsid w:val="3A8646CD"/>
    <w:rsid w:val="3AAC45FF"/>
    <w:rsid w:val="3AC37B79"/>
    <w:rsid w:val="3AE070A1"/>
    <w:rsid w:val="3AF86D4E"/>
    <w:rsid w:val="3B1E2869"/>
    <w:rsid w:val="3B4413CB"/>
    <w:rsid w:val="3B617677"/>
    <w:rsid w:val="3B757B5E"/>
    <w:rsid w:val="3B883620"/>
    <w:rsid w:val="3B997439"/>
    <w:rsid w:val="3BA65BED"/>
    <w:rsid w:val="3BDB4DC2"/>
    <w:rsid w:val="3C090267"/>
    <w:rsid w:val="3C09240E"/>
    <w:rsid w:val="3C146221"/>
    <w:rsid w:val="3C1D10AF"/>
    <w:rsid w:val="3C317D4F"/>
    <w:rsid w:val="3C5C6615"/>
    <w:rsid w:val="3C7360F1"/>
    <w:rsid w:val="3CC365B8"/>
    <w:rsid w:val="3CD51844"/>
    <w:rsid w:val="3CE979FE"/>
    <w:rsid w:val="3D08452F"/>
    <w:rsid w:val="3D3675FD"/>
    <w:rsid w:val="3D5001A7"/>
    <w:rsid w:val="3D55441E"/>
    <w:rsid w:val="3D6B2F4F"/>
    <w:rsid w:val="3D713555"/>
    <w:rsid w:val="3D741DEE"/>
    <w:rsid w:val="3D85737C"/>
    <w:rsid w:val="3D9C3FFF"/>
    <w:rsid w:val="3DA92F31"/>
    <w:rsid w:val="3DB3244A"/>
    <w:rsid w:val="3DC213DF"/>
    <w:rsid w:val="3DDE328E"/>
    <w:rsid w:val="3E0B0DB0"/>
    <w:rsid w:val="3E0C635B"/>
    <w:rsid w:val="3E116F60"/>
    <w:rsid w:val="3E572F58"/>
    <w:rsid w:val="3E636D6A"/>
    <w:rsid w:val="3E872DEF"/>
    <w:rsid w:val="3E962A3C"/>
    <w:rsid w:val="3E9704BE"/>
    <w:rsid w:val="3EE94A45"/>
    <w:rsid w:val="3F043070"/>
    <w:rsid w:val="3F1D2CEE"/>
    <w:rsid w:val="3F4D6968"/>
    <w:rsid w:val="3F6116ED"/>
    <w:rsid w:val="3F8B424E"/>
    <w:rsid w:val="3F934EDE"/>
    <w:rsid w:val="3FA97081"/>
    <w:rsid w:val="3FB14FDF"/>
    <w:rsid w:val="3FCE6ABE"/>
    <w:rsid w:val="40130E98"/>
    <w:rsid w:val="401776B5"/>
    <w:rsid w:val="403501D5"/>
    <w:rsid w:val="40516596"/>
    <w:rsid w:val="407E4ADB"/>
    <w:rsid w:val="40B04E56"/>
    <w:rsid w:val="40C60753"/>
    <w:rsid w:val="40C761D4"/>
    <w:rsid w:val="40D15800"/>
    <w:rsid w:val="40D24565"/>
    <w:rsid w:val="40D74270"/>
    <w:rsid w:val="410113A2"/>
    <w:rsid w:val="415D4149"/>
    <w:rsid w:val="416F143B"/>
    <w:rsid w:val="41880811"/>
    <w:rsid w:val="419633AA"/>
    <w:rsid w:val="41B44DE2"/>
    <w:rsid w:val="41C60C56"/>
    <w:rsid w:val="41E9727E"/>
    <w:rsid w:val="41F50509"/>
    <w:rsid w:val="420226D9"/>
    <w:rsid w:val="42375131"/>
    <w:rsid w:val="42610172"/>
    <w:rsid w:val="426339F7"/>
    <w:rsid w:val="42705E47"/>
    <w:rsid w:val="42733C91"/>
    <w:rsid w:val="427C45A1"/>
    <w:rsid w:val="428803B3"/>
    <w:rsid w:val="428C76CE"/>
    <w:rsid w:val="42916AC5"/>
    <w:rsid w:val="42A3645B"/>
    <w:rsid w:val="42CE0B28"/>
    <w:rsid w:val="43046EDF"/>
    <w:rsid w:val="432106B2"/>
    <w:rsid w:val="43603542"/>
    <w:rsid w:val="436807A8"/>
    <w:rsid w:val="43790FC1"/>
    <w:rsid w:val="439901E8"/>
    <w:rsid w:val="43A14703"/>
    <w:rsid w:val="43BB74AB"/>
    <w:rsid w:val="43CD51C7"/>
    <w:rsid w:val="43EC12FF"/>
    <w:rsid w:val="43F11B33"/>
    <w:rsid w:val="43F17986"/>
    <w:rsid w:val="43FF4262"/>
    <w:rsid w:val="44062B2A"/>
    <w:rsid w:val="444678CE"/>
    <w:rsid w:val="444744C8"/>
    <w:rsid w:val="44495B09"/>
    <w:rsid w:val="44565A46"/>
    <w:rsid w:val="445C041A"/>
    <w:rsid w:val="44604594"/>
    <w:rsid w:val="447E086E"/>
    <w:rsid w:val="44B454C5"/>
    <w:rsid w:val="44C125DD"/>
    <w:rsid w:val="44CA2EEC"/>
    <w:rsid w:val="44D35D7A"/>
    <w:rsid w:val="44DD6689"/>
    <w:rsid w:val="44E7774D"/>
    <w:rsid w:val="45127C50"/>
    <w:rsid w:val="452B6409"/>
    <w:rsid w:val="454416D4"/>
    <w:rsid w:val="45595C53"/>
    <w:rsid w:val="455E7EDC"/>
    <w:rsid w:val="45830A1B"/>
    <w:rsid w:val="458A4224"/>
    <w:rsid w:val="458D51A8"/>
    <w:rsid w:val="459B4244"/>
    <w:rsid w:val="45A33E4B"/>
    <w:rsid w:val="45A94422"/>
    <w:rsid w:val="45B253E8"/>
    <w:rsid w:val="45CC5F92"/>
    <w:rsid w:val="46236563"/>
    <w:rsid w:val="465C2D4B"/>
    <w:rsid w:val="465C457C"/>
    <w:rsid w:val="467609A9"/>
    <w:rsid w:val="46B86E94"/>
    <w:rsid w:val="46E67A01"/>
    <w:rsid w:val="46F87BA3"/>
    <w:rsid w:val="47262D4B"/>
    <w:rsid w:val="474A246F"/>
    <w:rsid w:val="47670737"/>
    <w:rsid w:val="47BE6742"/>
    <w:rsid w:val="47D927EF"/>
    <w:rsid w:val="47F00216"/>
    <w:rsid w:val="47F236FB"/>
    <w:rsid w:val="480F5247"/>
    <w:rsid w:val="4839608B"/>
    <w:rsid w:val="483A3F41"/>
    <w:rsid w:val="485D1370"/>
    <w:rsid w:val="48622CF7"/>
    <w:rsid w:val="4869465C"/>
    <w:rsid w:val="488678AB"/>
    <w:rsid w:val="48B06FCF"/>
    <w:rsid w:val="48C37CC6"/>
    <w:rsid w:val="48FF25D1"/>
    <w:rsid w:val="49281A93"/>
    <w:rsid w:val="492F313E"/>
    <w:rsid w:val="495010D7"/>
    <w:rsid w:val="4955555E"/>
    <w:rsid w:val="49611371"/>
    <w:rsid w:val="49A21DDA"/>
    <w:rsid w:val="49E453DD"/>
    <w:rsid w:val="49EE4458"/>
    <w:rsid w:val="4A3C21D9"/>
    <w:rsid w:val="4A521971"/>
    <w:rsid w:val="4A880DD3"/>
    <w:rsid w:val="4A9C4E28"/>
    <w:rsid w:val="4AEC68F9"/>
    <w:rsid w:val="4AFF7B18"/>
    <w:rsid w:val="4B254325"/>
    <w:rsid w:val="4B275459"/>
    <w:rsid w:val="4B2941E0"/>
    <w:rsid w:val="4B7D2F03"/>
    <w:rsid w:val="4BE90D9B"/>
    <w:rsid w:val="4BEF2CA4"/>
    <w:rsid w:val="4BFF2F3E"/>
    <w:rsid w:val="4C261BDE"/>
    <w:rsid w:val="4C334692"/>
    <w:rsid w:val="4C660668"/>
    <w:rsid w:val="4C816990"/>
    <w:rsid w:val="4CB613E8"/>
    <w:rsid w:val="4CCC6E0F"/>
    <w:rsid w:val="4CE51F37"/>
    <w:rsid w:val="4D1B40EF"/>
    <w:rsid w:val="4D2079EB"/>
    <w:rsid w:val="4D2B4C2A"/>
    <w:rsid w:val="4D3A7443"/>
    <w:rsid w:val="4D570F71"/>
    <w:rsid w:val="4DE1452E"/>
    <w:rsid w:val="4DEE01EB"/>
    <w:rsid w:val="4DF036EE"/>
    <w:rsid w:val="4DF30DF0"/>
    <w:rsid w:val="4DF6271E"/>
    <w:rsid w:val="4DFC16FF"/>
    <w:rsid w:val="4E03108A"/>
    <w:rsid w:val="4E042C86"/>
    <w:rsid w:val="4E2822B5"/>
    <w:rsid w:val="4E5A1A99"/>
    <w:rsid w:val="4E640249"/>
    <w:rsid w:val="4E723844"/>
    <w:rsid w:val="4E7D0D54"/>
    <w:rsid w:val="4E835C30"/>
    <w:rsid w:val="4E85035F"/>
    <w:rsid w:val="4E9E77F7"/>
    <w:rsid w:val="4EB95335"/>
    <w:rsid w:val="4ED33CE1"/>
    <w:rsid w:val="4F01352B"/>
    <w:rsid w:val="4F13254C"/>
    <w:rsid w:val="4F26376B"/>
    <w:rsid w:val="4F423F95"/>
    <w:rsid w:val="4F4C1158"/>
    <w:rsid w:val="4F6279AB"/>
    <w:rsid w:val="4FA74FBE"/>
    <w:rsid w:val="4FBF6DE2"/>
    <w:rsid w:val="501555F2"/>
    <w:rsid w:val="502D7993"/>
    <w:rsid w:val="502E071A"/>
    <w:rsid w:val="504273BB"/>
    <w:rsid w:val="505605DA"/>
    <w:rsid w:val="506A727A"/>
    <w:rsid w:val="50941CF8"/>
    <w:rsid w:val="509636E2"/>
    <w:rsid w:val="50B13272"/>
    <w:rsid w:val="50B6710F"/>
    <w:rsid w:val="50BC2F96"/>
    <w:rsid w:val="50DE7239"/>
    <w:rsid w:val="51435EF0"/>
    <w:rsid w:val="51A227FA"/>
    <w:rsid w:val="51A57002"/>
    <w:rsid w:val="51B95CA3"/>
    <w:rsid w:val="51F65583"/>
    <w:rsid w:val="520A0F25"/>
    <w:rsid w:val="521274CB"/>
    <w:rsid w:val="522265CC"/>
    <w:rsid w:val="523D726B"/>
    <w:rsid w:val="52611333"/>
    <w:rsid w:val="528278EA"/>
    <w:rsid w:val="52B5070D"/>
    <w:rsid w:val="52E03A67"/>
    <w:rsid w:val="52FC46EA"/>
    <w:rsid w:val="534D042C"/>
    <w:rsid w:val="5350703E"/>
    <w:rsid w:val="538B07B0"/>
    <w:rsid w:val="538C361F"/>
    <w:rsid w:val="538D10A1"/>
    <w:rsid w:val="53A46AC8"/>
    <w:rsid w:val="53A54549"/>
    <w:rsid w:val="53C25E9B"/>
    <w:rsid w:val="53DC6880"/>
    <w:rsid w:val="53F47B4C"/>
    <w:rsid w:val="5403314B"/>
    <w:rsid w:val="54213B13"/>
    <w:rsid w:val="542A2224"/>
    <w:rsid w:val="544A4CD7"/>
    <w:rsid w:val="545309AA"/>
    <w:rsid w:val="54BF0519"/>
    <w:rsid w:val="54E603D9"/>
    <w:rsid w:val="552827AD"/>
    <w:rsid w:val="552B1450"/>
    <w:rsid w:val="552D6BF5"/>
    <w:rsid w:val="55584783"/>
    <w:rsid w:val="55835CD9"/>
    <w:rsid w:val="558E2FA7"/>
    <w:rsid w:val="559B1181"/>
    <w:rsid w:val="55B464A8"/>
    <w:rsid w:val="55B577AC"/>
    <w:rsid w:val="55B7742C"/>
    <w:rsid w:val="55BD2802"/>
    <w:rsid w:val="55F969E7"/>
    <w:rsid w:val="56024028"/>
    <w:rsid w:val="5616190A"/>
    <w:rsid w:val="56856B80"/>
    <w:rsid w:val="56941399"/>
    <w:rsid w:val="56962361"/>
    <w:rsid w:val="569F71AC"/>
    <w:rsid w:val="56BA15D9"/>
    <w:rsid w:val="56E65920"/>
    <w:rsid w:val="56EF3AF5"/>
    <w:rsid w:val="56F23931"/>
    <w:rsid w:val="56F83407"/>
    <w:rsid w:val="571A4227"/>
    <w:rsid w:val="571E54DC"/>
    <w:rsid w:val="572210F5"/>
    <w:rsid w:val="572A730E"/>
    <w:rsid w:val="57435A05"/>
    <w:rsid w:val="574B7843"/>
    <w:rsid w:val="576146B9"/>
    <w:rsid w:val="57677173"/>
    <w:rsid w:val="577865C9"/>
    <w:rsid w:val="578F7CCE"/>
    <w:rsid w:val="579C1BCB"/>
    <w:rsid w:val="57B74973"/>
    <w:rsid w:val="57E1103B"/>
    <w:rsid w:val="57E23AB5"/>
    <w:rsid w:val="57F020A7"/>
    <w:rsid w:val="580637F9"/>
    <w:rsid w:val="58144D0D"/>
    <w:rsid w:val="58420BB7"/>
    <w:rsid w:val="58467715"/>
    <w:rsid w:val="587B1239"/>
    <w:rsid w:val="58886F75"/>
    <w:rsid w:val="58B65B9B"/>
    <w:rsid w:val="593309E8"/>
    <w:rsid w:val="598227C6"/>
    <w:rsid w:val="59AD4E2E"/>
    <w:rsid w:val="59B07FB1"/>
    <w:rsid w:val="59FB712C"/>
    <w:rsid w:val="59FD262F"/>
    <w:rsid w:val="5A050D40"/>
    <w:rsid w:val="5A09064B"/>
    <w:rsid w:val="5A364636"/>
    <w:rsid w:val="5A5468C1"/>
    <w:rsid w:val="5A5A624C"/>
    <w:rsid w:val="5A770B6E"/>
    <w:rsid w:val="5A7B6781"/>
    <w:rsid w:val="5A8A0BF0"/>
    <w:rsid w:val="5AB246DC"/>
    <w:rsid w:val="5AB3215E"/>
    <w:rsid w:val="5AB61CF5"/>
    <w:rsid w:val="5AD05E8B"/>
    <w:rsid w:val="5AD42692"/>
    <w:rsid w:val="5AE250B9"/>
    <w:rsid w:val="5AE65E30"/>
    <w:rsid w:val="5B2F7529"/>
    <w:rsid w:val="5B814DBA"/>
    <w:rsid w:val="5B8931D8"/>
    <w:rsid w:val="5BBA168B"/>
    <w:rsid w:val="5BBD01B3"/>
    <w:rsid w:val="5C13779B"/>
    <w:rsid w:val="5C297741"/>
    <w:rsid w:val="5C443BB1"/>
    <w:rsid w:val="5CB660AB"/>
    <w:rsid w:val="5CC611FF"/>
    <w:rsid w:val="5CCF11D3"/>
    <w:rsid w:val="5D4A309B"/>
    <w:rsid w:val="5D6A315C"/>
    <w:rsid w:val="5D7F7CF2"/>
    <w:rsid w:val="5D851C35"/>
    <w:rsid w:val="5DAA43BA"/>
    <w:rsid w:val="5DBB1104"/>
    <w:rsid w:val="5DBC7B57"/>
    <w:rsid w:val="5DDE7708"/>
    <w:rsid w:val="5DF04B2E"/>
    <w:rsid w:val="5E203FF8"/>
    <w:rsid w:val="5E77028A"/>
    <w:rsid w:val="5F187E14"/>
    <w:rsid w:val="5F255EFF"/>
    <w:rsid w:val="5F3C12CD"/>
    <w:rsid w:val="5F3D0F4D"/>
    <w:rsid w:val="5F5159EF"/>
    <w:rsid w:val="5FBE2597"/>
    <w:rsid w:val="5FC559AE"/>
    <w:rsid w:val="5FDA5B33"/>
    <w:rsid w:val="5FDC7E75"/>
    <w:rsid w:val="5FF120B4"/>
    <w:rsid w:val="60083E99"/>
    <w:rsid w:val="603A596D"/>
    <w:rsid w:val="607B393B"/>
    <w:rsid w:val="609B470C"/>
    <w:rsid w:val="60AC4695"/>
    <w:rsid w:val="60BA2331"/>
    <w:rsid w:val="60D45B6B"/>
    <w:rsid w:val="60D6106E"/>
    <w:rsid w:val="60EB32AF"/>
    <w:rsid w:val="61171AD8"/>
    <w:rsid w:val="612620F2"/>
    <w:rsid w:val="612B657A"/>
    <w:rsid w:val="6142291C"/>
    <w:rsid w:val="614E316C"/>
    <w:rsid w:val="61B73BDF"/>
    <w:rsid w:val="61EE1B3B"/>
    <w:rsid w:val="61FE0917"/>
    <w:rsid w:val="620152D8"/>
    <w:rsid w:val="623E513D"/>
    <w:rsid w:val="62563CE5"/>
    <w:rsid w:val="62E47AC9"/>
    <w:rsid w:val="63097D09"/>
    <w:rsid w:val="6350047D"/>
    <w:rsid w:val="63723EB5"/>
    <w:rsid w:val="6412053C"/>
    <w:rsid w:val="64430D0B"/>
    <w:rsid w:val="648065F1"/>
    <w:rsid w:val="64971BDD"/>
    <w:rsid w:val="64BA3B41"/>
    <w:rsid w:val="64F81E92"/>
    <w:rsid w:val="65015C46"/>
    <w:rsid w:val="65046BCA"/>
    <w:rsid w:val="650A2CD2"/>
    <w:rsid w:val="650D32FF"/>
    <w:rsid w:val="651435E1"/>
    <w:rsid w:val="654153AA"/>
    <w:rsid w:val="654D4A40"/>
    <w:rsid w:val="6566621E"/>
    <w:rsid w:val="65821697"/>
    <w:rsid w:val="65CE6293"/>
    <w:rsid w:val="65F740ED"/>
    <w:rsid w:val="66077C6A"/>
    <w:rsid w:val="660A60F8"/>
    <w:rsid w:val="661E7317"/>
    <w:rsid w:val="66495BDD"/>
    <w:rsid w:val="666D4B17"/>
    <w:rsid w:val="669E696B"/>
    <w:rsid w:val="66B94F97"/>
    <w:rsid w:val="66BA4C17"/>
    <w:rsid w:val="66C60005"/>
    <w:rsid w:val="66D435C2"/>
    <w:rsid w:val="66ED66EB"/>
    <w:rsid w:val="671E273D"/>
    <w:rsid w:val="67763396"/>
    <w:rsid w:val="6779274B"/>
    <w:rsid w:val="678A1A6C"/>
    <w:rsid w:val="67926E78"/>
    <w:rsid w:val="679F070D"/>
    <w:rsid w:val="67A9335C"/>
    <w:rsid w:val="67D44D17"/>
    <w:rsid w:val="68014F2E"/>
    <w:rsid w:val="680B32BF"/>
    <w:rsid w:val="680C4CB4"/>
    <w:rsid w:val="680E2045"/>
    <w:rsid w:val="68334803"/>
    <w:rsid w:val="68374408"/>
    <w:rsid w:val="68400296"/>
    <w:rsid w:val="68976726"/>
    <w:rsid w:val="69156EBB"/>
    <w:rsid w:val="69760313"/>
    <w:rsid w:val="698A6FB3"/>
    <w:rsid w:val="69DD483F"/>
    <w:rsid w:val="69F47683"/>
    <w:rsid w:val="69F942E4"/>
    <w:rsid w:val="6A010AFD"/>
    <w:rsid w:val="6A0568FD"/>
    <w:rsid w:val="6A2B6B3C"/>
    <w:rsid w:val="6A5F0290"/>
    <w:rsid w:val="6A865F51"/>
    <w:rsid w:val="6AA40D85"/>
    <w:rsid w:val="6ABB09AA"/>
    <w:rsid w:val="6AD74A57"/>
    <w:rsid w:val="6B266753"/>
    <w:rsid w:val="6B4F341C"/>
    <w:rsid w:val="6B7845E0"/>
    <w:rsid w:val="6B9F60AC"/>
    <w:rsid w:val="6BA350A4"/>
    <w:rsid w:val="6BFA38B5"/>
    <w:rsid w:val="6C0A3B4F"/>
    <w:rsid w:val="6C254067"/>
    <w:rsid w:val="6C3426E1"/>
    <w:rsid w:val="6C5703CB"/>
    <w:rsid w:val="6C774F51"/>
    <w:rsid w:val="6C7A1884"/>
    <w:rsid w:val="6CD62F24"/>
    <w:rsid w:val="6D0A6F75"/>
    <w:rsid w:val="6D2E4BAB"/>
    <w:rsid w:val="6D4A44DB"/>
    <w:rsid w:val="6D63623C"/>
    <w:rsid w:val="6D812437"/>
    <w:rsid w:val="6D853006"/>
    <w:rsid w:val="6DE82CCD"/>
    <w:rsid w:val="6DEB7F47"/>
    <w:rsid w:val="6E087CA3"/>
    <w:rsid w:val="6E123F24"/>
    <w:rsid w:val="6E3B72E7"/>
    <w:rsid w:val="6E5C02CB"/>
    <w:rsid w:val="6E680DA5"/>
    <w:rsid w:val="6E804558"/>
    <w:rsid w:val="6EA0288E"/>
    <w:rsid w:val="6EE509F4"/>
    <w:rsid w:val="6EFC51A7"/>
    <w:rsid w:val="6F023405"/>
    <w:rsid w:val="6F0B13DB"/>
    <w:rsid w:val="6F25039A"/>
    <w:rsid w:val="6F376285"/>
    <w:rsid w:val="6F8D3411"/>
    <w:rsid w:val="6FA8783E"/>
    <w:rsid w:val="6FBC2EB1"/>
    <w:rsid w:val="6FDB6D93"/>
    <w:rsid w:val="700346D4"/>
    <w:rsid w:val="70623166"/>
    <w:rsid w:val="70714D08"/>
    <w:rsid w:val="7073020B"/>
    <w:rsid w:val="709C35CE"/>
    <w:rsid w:val="70D127A3"/>
    <w:rsid w:val="70F86AD9"/>
    <w:rsid w:val="71032079"/>
    <w:rsid w:val="71936767"/>
    <w:rsid w:val="71A26F09"/>
    <w:rsid w:val="720F35F2"/>
    <w:rsid w:val="72100F31"/>
    <w:rsid w:val="72287D95"/>
    <w:rsid w:val="72304FDF"/>
    <w:rsid w:val="723356D2"/>
    <w:rsid w:val="72434C03"/>
    <w:rsid w:val="7247717D"/>
    <w:rsid w:val="729926C8"/>
    <w:rsid w:val="72DB607B"/>
    <w:rsid w:val="73096F4B"/>
    <w:rsid w:val="73131A58"/>
    <w:rsid w:val="73142D5D"/>
    <w:rsid w:val="7317045F"/>
    <w:rsid w:val="732D5E85"/>
    <w:rsid w:val="733D42E3"/>
    <w:rsid w:val="734E1AC2"/>
    <w:rsid w:val="737230F7"/>
    <w:rsid w:val="73854316"/>
    <w:rsid w:val="73950D2D"/>
    <w:rsid w:val="73A57DF9"/>
    <w:rsid w:val="73A744CA"/>
    <w:rsid w:val="73CC19D5"/>
    <w:rsid w:val="74126445"/>
    <w:rsid w:val="741A7D2C"/>
    <w:rsid w:val="74486D25"/>
    <w:rsid w:val="746016FA"/>
    <w:rsid w:val="74694588"/>
    <w:rsid w:val="746C550D"/>
    <w:rsid w:val="74AF2AFE"/>
    <w:rsid w:val="74B54A08"/>
    <w:rsid w:val="74CB0DAA"/>
    <w:rsid w:val="74E146D2"/>
    <w:rsid w:val="74F86B15"/>
    <w:rsid w:val="754D5E80"/>
    <w:rsid w:val="756A3232"/>
    <w:rsid w:val="75745DF5"/>
    <w:rsid w:val="75876F5E"/>
    <w:rsid w:val="75895CE5"/>
    <w:rsid w:val="759901A2"/>
    <w:rsid w:val="759F2407"/>
    <w:rsid w:val="75D02BD6"/>
    <w:rsid w:val="75E15270"/>
    <w:rsid w:val="76116EC2"/>
    <w:rsid w:val="76325B80"/>
    <w:rsid w:val="76B72ED4"/>
    <w:rsid w:val="76C07F60"/>
    <w:rsid w:val="76E3721B"/>
    <w:rsid w:val="76F00D88"/>
    <w:rsid w:val="771928DB"/>
    <w:rsid w:val="771C067A"/>
    <w:rsid w:val="772032D2"/>
    <w:rsid w:val="772A6AEC"/>
    <w:rsid w:val="77693C0F"/>
    <w:rsid w:val="77695CCA"/>
    <w:rsid w:val="776C5E7A"/>
    <w:rsid w:val="77785510"/>
    <w:rsid w:val="779415BD"/>
    <w:rsid w:val="779C0BC8"/>
    <w:rsid w:val="779C4C9B"/>
    <w:rsid w:val="77C2468B"/>
    <w:rsid w:val="780A11FC"/>
    <w:rsid w:val="780B5507"/>
    <w:rsid w:val="7855167B"/>
    <w:rsid w:val="788F4999"/>
    <w:rsid w:val="78A53586"/>
    <w:rsid w:val="78A92755"/>
    <w:rsid w:val="78B8009B"/>
    <w:rsid w:val="78B9366E"/>
    <w:rsid w:val="78BC17CD"/>
    <w:rsid w:val="78C5192F"/>
    <w:rsid w:val="78D366C6"/>
    <w:rsid w:val="790B20A3"/>
    <w:rsid w:val="79171739"/>
    <w:rsid w:val="796C47DC"/>
    <w:rsid w:val="799B610F"/>
    <w:rsid w:val="79DF2C7C"/>
    <w:rsid w:val="79E47779"/>
    <w:rsid w:val="79F57AA2"/>
    <w:rsid w:val="7A194129"/>
    <w:rsid w:val="7A1F66E8"/>
    <w:rsid w:val="7A361B91"/>
    <w:rsid w:val="7A4C3D34"/>
    <w:rsid w:val="7A7D4CC5"/>
    <w:rsid w:val="7AC04CBB"/>
    <w:rsid w:val="7AD57A5A"/>
    <w:rsid w:val="7AD9139A"/>
    <w:rsid w:val="7AE67D87"/>
    <w:rsid w:val="7B484ED1"/>
    <w:rsid w:val="7B6E2211"/>
    <w:rsid w:val="7B8472B4"/>
    <w:rsid w:val="7BC80470"/>
    <w:rsid w:val="7BE0484E"/>
    <w:rsid w:val="7C081A8C"/>
    <w:rsid w:val="7C0A4F8F"/>
    <w:rsid w:val="7C0F40E4"/>
    <w:rsid w:val="7C153320"/>
    <w:rsid w:val="7C345209"/>
    <w:rsid w:val="7C482875"/>
    <w:rsid w:val="7C513185"/>
    <w:rsid w:val="7C5D3714"/>
    <w:rsid w:val="7C92278E"/>
    <w:rsid w:val="7C970076"/>
    <w:rsid w:val="7CD32459"/>
    <w:rsid w:val="7CDE07EA"/>
    <w:rsid w:val="7CF22D0E"/>
    <w:rsid w:val="7D0C0035"/>
    <w:rsid w:val="7D4D3494"/>
    <w:rsid w:val="7D9E7791"/>
    <w:rsid w:val="7DA22244"/>
    <w:rsid w:val="7DBC28DE"/>
    <w:rsid w:val="7DC50AE8"/>
    <w:rsid w:val="7DCE3976"/>
    <w:rsid w:val="7DFB0564"/>
    <w:rsid w:val="7E0B59D9"/>
    <w:rsid w:val="7E1178E2"/>
    <w:rsid w:val="7E4C3A0F"/>
    <w:rsid w:val="7E4C3A98"/>
    <w:rsid w:val="7E4C4244"/>
    <w:rsid w:val="7E4F51C9"/>
    <w:rsid w:val="7E9E07CB"/>
    <w:rsid w:val="7EDD5D31"/>
    <w:rsid w:val="7F1A61C1"/>
    <w:rsid w:val="7F23352A"/>
    <w:rsid w:val="7F6C689A"/>
    <w:rsid w:val="7F7D33DC"/>
    <w:rsid w:val="7F8242C1"/>
    <w:rsid w:val="7FA06BEF"/>
    <w:rsid w:val="7FAA1790"/>
    <w:rsid w:val="7FAB1C02"/>
    <w:rsid w:val="7FBD539F"/>
    <w:rsid w:val="7FC13DA6"/>
    <w:rsid w:val="7FD3213E"/>
    <w:rsid w:val="7FED59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0" w:semiHidden="0" w:name="annotation text"/>
    <w:lsdException w:qFormat="1" w:uiPriority="99" w:semiHidden="0" w:name="header"/>
    <w:lsdException w:qFormat="1" w:uiPriority="99" w:semiHidden="0" w:name="footer"/>
    <w:lsdException w:uiPriority="99" w:name="index heading"/>
    <w:lsdException w:qFormat="1" w:unhideWhenUsed="0"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G Times (WN)" w:hAnsi="CG Times (WN)" w:eastAsia="宋体" w:cs="Times New Roman"/>
      <w:kern w:val="2"/>
      <w:sz w:val="21"/>
      <w:szCs w:val="22"/>
      <w:lang w:val="en-US" w:eastAsia="zh-CN" w:bidi="ar-SA"/>
    </w:rPr>
  </w:style>
  <w:style w:type="paragraph" w:styleId="2">
    <w:name w:val="heading 1"/>
    <w:next w:val="1"/>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宋体" w:cs="Times New Roman"/>
      <w:sz w:val="36"/>
      <w:lang w:val="en-GB" w:eastAsia="en-GB" w:bidi="ar-SA"/>
    </w:rPr>
  </w:style>
  <w:style w:type="paragraph" w:styleId="3">
    <w:name w:val="heading 2"/>
    <w:basedOn w:val="2"/>
    <w:next w:val="1"/>
    <w:link w:val="43"/>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46"/>
    <w:unhideWhenUsed/>
    <w:qFormat/>
    <w:uiPriority w:val="9"/>
    <w:pPr>
      <w:keepNext/>
      <w:keepLines/>
      <w:spacing w:before="50" w:beforeLines="50" w:after="50" w:afterLines="50" w:line="240" w:lineRule="auto"/>
      <w:outlineLvl w:val="2"/>
    </w:pPr>
    <w:rPr>
      <w:rFonts w:ascii="Arial" w:hAnsi="Arial" w:eastAsia="Arial Unicode MS"/>
      <w:bCs/>
      <w:sz w:val="30"/>
      <w:szCs w:val="32"/>
    </w:rPr>
  </w:style>
  <w:style w:type="paragraph" w:styleId="5">
    <w:name w:val="heading 5"/>
    <w:basedOn w:val="1"/>
    <w:next w:val="1"/>
    <w:link w:val="50"/>
    <w:semiHidden/>
    <w:unhideWhenUsed/>
    <w:qFormat/>
    <w:uiPriority w:val="9"/>
    <w:pPr>
      <w:keepNext/>
      <w:keepLines/>
      <w:spacing w:before="280" w:after="290" w:line="376" w:lineRule="auto"/>
      <w:outlineLvl w:val="4"/>
    </w:pPr>
    <w:rPr>
      <w:b/>
      <w:bCs/>
      <w:sz w:val="28"/>
      <w:szCs w:val="28"/>
    </w:rPr>
  </w:style>
  <w:style w:type="character" w:default="1" w:styleId="18">
    <w:name w:val="Default Paragraph Font"/>
    <w:semiHidden/>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6">
    <w:name w:val="caption"/>
    <w:basedOn w:val="1"/>
    <w:next w:val="1"/>
    <w:link w:val="40"/>
    <w:qFormat/>
    <w:uiPriority w:val="35"/>
    <w:pPr>
      <w:widowControl/>
      <w:spacing w:before="120" w:after="120"/>
      <w:jc w:val="left"/>
    </w:pPr>
    <w:rPr>
      <w:rFonts w:ascii="Times New Roman" w:hAnsi="Times New Roman" w:eastAsia="MS Mincho"/>
      <w:b/>
      <w:kern w:val="0"/>
      <w:sz w:val="20"/>
      <w:szCs w:val="20"/>
      <w:lang w:val="en-GB" w:eastAsia="en-US"/>
    </w:rPr>
  </w:style>
  <w:style w:type="paragraph" w:styleId="7">
    <w:name w:val="Document Map"/>
    <w:basedOn w:val="1"/>
    <w:link w:val="39"/>
    <w:semiHidden/>
    <w:unhideWhenUsed/>
    <w:qFormat/>
    <w:uiPriority w:val="99"/>
    <w:rPr>
      <w:rFonts w:ascii="宋体"/>
      <w:sz w:val="18"/>
      <w:szCs w:val="18"/>
    </w:rPr>
  </w:style>
  <w:style w:type="paragraph" w:styleId="8">
    <w:name w:val="annotation text"/>
    <w:basedOn w:val="1"/>
    <w:link w:val="37"/>
    <w:unhideWhenUsed/>
    <w:qFormat/>
    <w:uiPriority w:val="0"/>
    <w:pPr>
      <w:jc w:val="left"/>
    </w:pPr>
  </w:style>
  <w:style w:type="paragraph" w:styleId="9">
    <w:name w:val="List 2"/>
    <w:basedOn w:val="10"/>
    <w:qFormat/>
    <w:uiPriority w:val="0"/>
    <w:pPr>
      <w:ind w:left="851"/>
    </w:pPr>
  </w:style>
  <w:style w:type="paragraph" w:styleId="10">
    <w:name w:val="List"/>
    <w:basedOn w:val="1"/>
    <w:semiHidden/>
    <w:unhideWhenUsed/>
    <w:qFormat/>
    <w:uiPriority w:val="99"/>
    <w:pPr>
      <w:ind w:left="200" w:hanging="200" w:hangingChars="200"/>
      <w:contextualSpacing/>
    </w:pPr>
  </w:style>
  <w:style w:type="paragraph" w:styleId="11">
    <w:name w:val="Balloon Text"/>
    <w:basedOn w:val="1"/>
    <w:link w:val="35"/>
    <w:semiHidden/>
    <w:unhideWhenUsed/>
    <w:qFormat/>
    <w:uiPriority w:val="99"/>
    <w:rPr>
      <w:sz w:val="18"/>
      <w:szCs w:val="18"/>
    </w:rPr>
  </w:style>
  <w:style w:type="paragraph" w:styleId="12">
    <w:name w:val="footer"/>
    <w:basedOn w:val="1"/>
    <w:link w:val="22"/>
    <w:unhideWhenUsed/>
    <w:qFormat/>
    <w:uiPriority w:val="99"/>
    <w:pPr>
      <w:tabs>
        <w:tab w:val="center" w:pos="4153"/>
        <w:tab w:val="right" w:pos="8306"/>
      </w:tabs>
      <w:snapToGrid w:val="0"/>
      <w:jc w:val="left"/>
    </w:pPr>
    <w:rPr>
      <w:sz w:val="18"/>
      <w:szCs w:val="18"/>
    </w:rPr>
  </w:style>
  <w:style w:type="paragraph" w:styleId="13">
    <w:name w:val="header"/>
    <w:basedOn w:val="1"/>
    <w:link w:val="21"/>
    <w:unhideWhenUsed/>
    <w:qFormat/>
    <w:uiPriority w:val="99"/>
    <w:pPr>
      <w:pBdr>
        <w:bottom w:val="single" w:color="auto" w:sz="6" w:space="1"/>
      </w:pBdr>
      <w:tabs>
        <w:tab w:val="center" w:pos="4153"/>
        <w:tab w:val="right" w:pos="8306"/>
      </w:tabs>
      <w:snapToGrid w:val="0"/>
      <w:jc w:val="center"/>
    </w:pPr>
    <w:rPr>
      <w:sz w:val="18"/>
      <w:szCs w:val="18"/>
    </w:rPr>
  </w:style>
  <w:style w:type="paragraph" w:styleId="14">
    <w:name w:val="Normal (Web)"/>
    <w:basedOn w:val="1"/>
    <w:semiHidden/>
    <w:unhideWhenUsed/>
    <w:qFormat/>
    <w:uiPriority w:val="99"/>
    <w:pPr>
      <w:widowControl/>
      <w:spacing w:before="100" w:beforeAutospacing="1" w:after="100" w:afterAutospacing="1"/>
      <w:jc w:val="left"/>
    </w:pPr>
    <w:rPr>
      <w:rFonts w:ascii="宋体" w:hAnsi="宋体" w:cs="宋体"/>
      <w:kern w:val="0"/>
      <w:sz w:val="24"/>
      <w:szCs w:val="24"/>
    </w:rPr>
  </w:style>
  <w:style w:type="paragraph" w:styleId="15">
    <w:name w:val="annotation subject"/>
    <w:basedOn w:val="8"/>
    <w:next w:val="8"/>
    <w:link w:val="38"/>
    <w:semiHidden/>
    <w:unhideWhenUsed/>
    <w:qFormat/>
    <w:uiPriority w:val="99"/>
    <w:rPr>
      <w:b/>
      <w:bCs/>
    </w:rPr>
  </w:style>
  <w:style w:type="table" w:styleId="17">
    <w:name w:val="Table Grid"/>
    <w:basedOn w:val="16"/>
    <w:qFormat/>
    <w:uiPriority w:val="0"/>
    <w:pPr>
      <w:spacing w:before="120" w:line="280" w:lineRule="atLeast"/>
      <w:jc w:val="both"/>
    </w:pPr>
    <w:rPr>
      <w:rFonts w:ascii="New York" w:hAnsi="New York" w:eastAsia="宋体" w:cs="Times New Roman"/>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9">
    <w:name w:val="Hyperlink"/>
    <w:basedOn w:val="18"/>
    <w:unhideWhenUsed/>
    <w:qFormat/>
    <w:uiPriority w:val="99"/>
    <w:rPr>
      <w:color w:val="0000FF"/>
      <w:u w:val="single"/>
    </w:rPr>
  </w:style>
  <w:style w:type="character" w:styleId="20">
    <w:name w:val="annotation reference"/>
    <w:basedOn w:val="18"/>
    <w:unhideWhenUsed/>
    <w:qFormat/>
    <w:uiPriority w:val="99"/>
    <w:rPr>
      <w:sz w:val="21"/>
      <w:szCs w:val="21"/>
    </w:rPr>
  </w:style>
  <w:style w:type="character" w:customStyle="1" w:styleId="21">
    <w:name w:val="Header Char"/>
    <w:basedOn w:val="18"/>
    <w:link w:val="13"/>
    <w:qFormat/>
    <w:uiPriority w:val="99"/>
    <w:rPr>
      <w:sz w:val="18"/>
      <w:szCs w:val="18"/>
    </w:rPr>
  </w:style>
  <w:style w:type="character" w:customStyle="1" w:styleId="22">
    <w:name w:val="Footer Char"/>
    <w:basedOn w:val="18"/>
    <w:link w:val="12"/>
    <w:qFormat/>
    <w:uiPriority w:val="99"/>
    <w:rPr>
      <w:sz w:val="18"/>
      <w:szCs w:val="18"/>
    </w:rPr>
  </w:style>
  <w:style w:type="character" w:customStyle="1" w:styleId="23">
    <w:name w:val="Char Char"/>
    <w:link w:val="24"/>
    <w:qFormat/>
    <w:uiPriority w:val="0"/>
    <w:rPr>
      <w:rFonts w:ascii="Arial" w:hAnsi="Arial"/>
      <w:sz w:val="32"/>
      <w:szCs w:val="36"/>
    </w:rPr>
  </w:style>
  <w:style w:type="paragraph" w:customStyle="1" w:styleId="24">
    <w:name w:val="Char"/>
    <w:basedOn w:val="25"/>
    <w:link w:val="23"/>
    <w:qFormat/>
    <w:uiPriority w:val="0"/>
    <w:pPr>
      <w:keepNext/>
      <w:keepLines/>
      <w:widowControl/>
      <w:pBdr>
        <w:top w:val="single" w:color="auto" w:sz="12" w:space="1"/>
      </w:pBdr>
      <w:tabs>
        <w:tab w:val="left" w:pos="1985"/>
      </w:tabs>
      <w:spacing w:before="240" w:after="180"/>
      <w:ind w:left="360" w:firstLine="0" w:firstLineChars="0"/>
      <w:outlineLvl w:val="0"/>
    </w:pPr>
    <w:rPr>
      <w:rFonts w:ascii="Arial" w:hAnsi="Arial" w:eastAsiaTheme="minorEastAsia" w:cstheme="minorBidi"/>
      <w:sz w:val="32"/>
      <w:szCs w:val="36"/>
    </w:rPr>
  </w:style>
  <w:style w:type="paragraph" w:styleId="25">
    <w:name w:val="List Paragraph"/>
    <w:basedOn w:val="1"/>
    <w:link w:val="41"/>
    <w:qFormat/>
    <w:uiPriority w:val="34"/>
    <w:pPr>
      <w:ind w:firstLine="420" w:firstLineChars="200"/>
    </w:pPr>
  </w:style>
  <w:style w:type="character" w:customStyle="1" w:styleId="26">
    <w:name w:val="TAH Car"/>
    <w:link w:val="27"/>
    <w:qFormat/>
    <w:uiPriority w:val="0"/>
    <w:rPr>
      <w:rFonts w:ascii="Arial" w:hAnsi="Arial" w:eastAsia="Times New Roman" w:cs="Times New Roman"/>
      <w:b/>
      <w:kern w:val="0"/>
      <w:sz w:val="18"/>
      <w:szCs w:val="20"/>
      <w:lang w:val="en-GB" w:eastAsia="ja-JP"/>
    </w:rPr>
  </w:style>
  <w:style w:type="paragraph" w:customStyle="1" w:styleId="27">
    <w:name w:val="TAH"/>
    <w:basedOn w:val="28"/>
    <w:link w:val="26"/>
    <w:qFormat/>
    <w:uiPriority w:val="0"/>
    <w:rPr>
      <w:b/>
    </w:rPr>
  </w:style>
  <w:style w:type="paragraph" w:customStyle="1" w:styleId="28">
    <w:name w:val="TAC"/>
    <w:basedOn w:val="29"/>
    <w:link w:val="32"/>
    <w:qFormat/>
    <w:uiPriority w:val="0"/>
    <w:pPr>
      <w:overflowPunct w:val="0"/>
      <w:autoSpaceDE w:val="0"/>
      <w:autoSpaceDN w:val="0"/>
      <w:adjustRightInd w:val="0"/>
      <w:jc w:val="center"/>
      <w:textAlignment w:val="baseline"/>
    </w:pPr>
    <w:rPr>
      <w:lang w:eastAsia="ja-JP"/>
    </w:rPr>
  </w:style>
  <w:style w:type="paragraph" w:customStyle="1" w:styleId="29">
    <w:name w:val="TAL"/>
    <w:basedOn w:val="1"/>
    <w:link w:val="36"/>
    <w:qFormat/>
    <w:uiPriority w:val="0"/>
    <w:pPr>
      <w:keepNext/>
      <w:keepLines/>
      <w:widowControl/>
      <w:jc w:val="left"/>
    </w:pPr>
    <w:rPr>
      <w:rFonts w:ascii="Arial" w:hAnsi="Arial" w:eastAsia="Times New Roman"/>
      <w:kern w:val="0"/>
      <w:sz w:val="18"/>
      <w:szCs w:val="20"/>
      <w:lang w:val="en-GB" w:eastAsia="en-US"/>
    </w:rPr>
  </w:style>
  <w:style w:type="character" w:customStyle="1" w:styleId="30">
    <w:name w:val="B1 Char"/>
    <w:link w:val="31"/>
    <w:qFormat/>
    <w:uiPriority w:val="0"/>
    <w:rPr>
      <w:rFonts w:ascii="Times New Roman" w:hAnsi="Times New Roman" w:eastAsia="MS Mincho"/>
      <w:lang w:val="en-GB" w:eastAsia="de-DE"/>
    </w:rPr>
  </w:style>
  <w:style w:type="paragraph" w:customStyle="1" w:styleId="31">
    <w:name w:val="B1"/>
    <w:basedOn w:val="10"/>
    <w:link w:val="30"/>
    <w:qFormat/>
    <w:uiPriority w:val="0"/>
    <w:pPr>
      <w:widowControl/>
      <w:spacing w:after="180"/>
      <w:ind w:left="568" w:hanging="284" w:firstLineChars="0"/>
      <w:jc w:val="left"/>
    </w:pPr>
    <w:rPr>
      <w:rFonts w:ascii="Times New Roman" w:hAnsi="Times New Roman" w:eastAsia="MS Mincho" w:cstheme="minorBidi"/>
      <w:lang w:val="en-GB" w:eastAsia="de-DE"/>
    </w:rPr>
  </w:style>
  <w:style w:type="character" w:customStyle="1" w:styleId="32">
    <w:name w:val="TAC Char"/>
    <w:link w:val="28"/>
    <w:qFormat/>
    <w:uiPriority w:val="0"/>
    <w:rPr>
      <w:rFonts w:ascii="Arial" w:hAnsi="Arial" w:eastAsia="Times New Roman" w:cs="Times New Roman"/>
      <w:kern w:val="0"/>
      <w:sz w:val="18"/>
      <w:szCs w:val="20"/>
      <w:lang w:val="en-GB" w:eastAsia="ja-JP"/>
    </w:rPr>
  </w:style>
  <w:style w:type="paragraph" w:styleId="33">
    <w:name w:val="No Spacing"/>
    <w:qFormat/>
    <w:uiPriority w:val="1"/>
    <w:pPr>
      <w:widowControl w:val="0"/>
      <w:jc w:val="both"/>
    </w:pPr>
    <w:rPr>
      <w:rFonts w:ascii="CG Times (WN)" w:hAnsi="CG Times (WN)" w:eastAsia="宋体" w:cs="Times New Roman"/>
      <w:kern w:val="2"/>
      <w:sz w:val="21"/>
      <w:szCs w:val="24"/>
      <w:lang w:val="en-US" w:eastAsia="zh-CN" w:bidi="ar-SA"/>
    </w:rPr>
  </w:style>
  <w:style w:type="paragraph" w:customStyle="1" w:styleId="34">
    <w:name w:val="_Style 0"/>
    <w:qFormat/>
    <w:uiPriority w:val="1"/>
    <w:pPr>
      <w:widowControl w:val="0"/>
      <w:jc w:val="both"/>
    </w:pPr>
    <w:rPr>
      <w:rFonts w:ascii="CG Times (WN)" w:hAnsi="CG Times (WN)" w:eastAsia="宋体" w:cs="Times New Roman"/>
      <w:kern w:val="2"/>
      <w:sz w:val="21"/>
      <w:szCs w:val="24"/>
      <w:lang w:val="en-US" w:eastAsia="zh-CN" w:bidi="ar-SA"/>
    </w:rPr>
  </w:style>
  <w:style w:type="character" w:customStyle="1" w:styleId="35">
    <w:name w:val="Balloon Text Char"/>
    <w:basedOn w:val="18"/>
    <w:link w:val="11"/>
    <w:semiHidden/>
    <w:qFormat/>
    <w:uiPriority w:val="99"/>
    <w:rPr>
      <w:rFonts w:ascii="CG Times (WN)" w:hAnsi="CG Times (WN)" w:eastAsia="宋体" w:cs="Times New Roman"/>
      <w:sz w:val="18"/>
      <w:szCs w:val="18"/>
    </w:rPr>
  </w:style>
  <w:style w:type="character" w:customStyle="1" w:styleId="36">
    <w:name w:val="TAL Char"/>
    <w:link w:val="29"/>
    <w:qFormat/>
    <w:uiPriority w:val="0"/>
    <w:rPr>
      <w:rFonts w:ascii="Arial" w:hAnsi="Arial" w:eastAsia="Times New Roman" w:cs="Times New Roman"/>
      <w:kern w:val="0"/>
      <w:sz w:val="18"/>
      <w:szCs w:val="20"/>
      <w:lang w:val="en-GB" w:eastAsia="en-US"/>
    </w:rPr>
  </w:style>
  <w:style w:type="character" w:customStyle="1" w:styleId="37">
    <w:name w:val="Comment Text Char"/>
    <w:basedOn w:val="18"/>
    <w:link w:val="8"/>
    <w:qFormat/>
    <w:uiPriority w:val="0"/>
    <w:rPr>
      <w:rFonts w:ascii="CG Times (WN)" w:hAnsi="CG Times (WN)" w:eastAsia="宋体" w:cs="Times New Roman"/>
    </w:rPr>
  </w:style>
  <w:style w:type="character" w:customStyle="1" w:styleId="38">
    <w:name w:val="Comment Subject Char"/>
    <w:basedOn w:val="37"/>
    <w:link w:val="15"/>
    <w:semiHidden/>
    <w:qFormat/>
    <w:uiPriority w:val="99"/>
    <w:rPr>
      <w:rFonts w:ascii="CG Times (WN)" w:hAnsi="CG Times (WN)" w:eastAsia="宋体" w:cs="Times New Roman"/>
      <w:b/>
      <w:bCs/>
    </w:rPr>
  </w:style>
  <w:style w:type="character" w:customStyle="1" w:styleId="39">
    <w:name w:val="Document Map Char"/>
    <w:basedOn w:val="18"/>
    <w:link w:val="7"/>
    <w:semiHidden/>
    <w:qFormat/>
    <w:uiPriority w:val="99"/>
    <w:rPr>
      <w:rFonts w:ascii="宋体" w:hAnsi="CG Times (WN)" w:eastAsia="宋体" w:cs="Times New Roman"/>
      <w:sz w:val="18"/>
      <w:szCs w:val="18"/>
    </w:rPr>
  </w:style>
  <w:style w:type="character" w:customStyle="1" w:styleId="40">
    <w:name w:val="Caption Char"/>
    <w:link w:val="6"/>
    <w:qFormat/>
    <w:uiPriority w:val="35"/>
    <w:rPr>
      <w:rFonts w:ascii="Times New Roman" w:hAnsi="Times New Roman" w:eastAsia="MS Mincho" w:cs="Times New Roman"/>
      <w:b/>
      <w:kern w:val="0"/>
      <w:sz w:val="20"/>
      <w:szCs w:val="20"/>
      <w:lang w:val="en-GB" w:eastAsia="en-US"/>
    </w:rPr>
  </w:style>
  <w:style w:type="character" w:customStyle="1" w:styleId="41">
    <w:name w:val="List Paragraph Char"/>
    <w:link w:val="25"/>
    <w:qFormat/>
    <w:uiPriority w:val="34"/>
    <w:rPr>
      <w:rFonts w:ascii="CG Times (WN)" w:hAnsi="CG Times (WN)" w:eastAsia="宋体" w:cs="Times New Roman"/>
    </w:rPr>
  </w:style>
  <w:style w:type="paragraph" w:customStyle="1" w:styleId="42">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character" w:customStyle="1" w:styleId="43">
    <w:name w:val="Heading 2 Char"/>
    <w:basedOn w:val="18"/>
    <w:link w:val="3"/>
    <w:qFormat/>
    <w:uiPriority w:val="9"/>
    <w:rPr>
      <w:rFonts w:asciiTheme="majorHAnsi" w:hAnsiTheme="majorHAnsi" w:eastAsiaTheme="majorEastAsia" w:cstheme="majorBidi"/>
      <w:b/>
      <w:bCs/>
      <w:sz w:val="32"/>
      <w:szCs w:val="32"/>
    </w:rPr>
  </w:style>
  <w:style w:type="table" w:customStyle="1" w:styleId="44">
    <w:name w:val="网格型1"/>
    <w:basedOn w:val="16"/>
    <w:qFormat/>
    <w:uiPriority w:val="39"/>
    <w:rPr>
      <w:rFonts w:ascii="Calibri" w:hAnsi="Calibri" w:eastAsia="Times New Roman"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
    <w:name w:val="网格型2"/>
    <w:basedOn w:val="16"/>
    <w:qFormat/>
    <w:uiPriority w:val="0"/>
    <w:pPr>
      <w:spacing w:after="160" w:line="259" w:lineRule="auto"/>
    </w:pPr>
    <w:rPr>
      <w:lang w:val="fi-FI" w:eastAsia="fi-F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6">
    <w:name w:val="Heading 3 Char"/>
    <w:basedOn w:val="18"/>
    <w:link w:val="4"/>
    <w:qFormat/>
    <w:uiPriority w:val="9"/>
    <w:rPr>
      <w:rFonts w:ascii="Arial" w:hAnsi="Arial" w:eastAsia="Arial Unicode MS" w:cs="Times New Roman"/>
      <w:bCs/>
      <w:sz w:val="30"/>
      <w:szCs w:val="32"/>
    </w:rPr>
  </w:style>
  <w:style w:type="table" w:customStyle="1" w:styleId="47">
    <w:name w:val="网格型3"/>
    <w:basedOn w:val="16"/>
    <w:qFormat/>
    <w:uiPriority w:val="0"/>
    <w:pPr>
      <w:overflowPunct w:val="0"/>
      <w:autoSpaceDE w:val="0"/>
      <w:autoSpaceDN w:val="0"/>
      <w:adjustRightInd w:val="0"/>
      <w:spacing w:after="180"/>
      <w:textAlignment w:val="baseline"/>
    </w:pPr>
    <w:rPr>
      <w:rFonts w:ascii="Times New Roman" w:hAnsi="Times New Roman" w:eastAsia="Yu Mincho" w:cs="Times New Roman"/>
      <w:lang w:val="sv-SE" w:eastAsia="sv-S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8">
    <w:name w:val="Placeholder Text"/>
    <w:basedOn w:val="18"/>
    <w:semiHidden/>
    <w:qFormat/>
    <w:uiPriority w:val="99"/>
    <w:rPr>
      <w:color w:val="808080"/>
    </w:rPr>
  </w:style>
  <w:style w:type="table" w:customStyle="1" w:styleId="49">
    <w:name w:val="Table Grid1"/>
    <w:basedOn w:val="16"/>
    <w:qFormat/>
    <w:uiPriority w:val="0"/>
    <w:pPr>
      <w:spacing w:before="120" w:line="280" w:lineRule="atLeast"/>
      <w:jc w:val="both"/>
    </w:pPr>
    <w:rPr>
      <w:rFonts w:ascii="New York" w:hAnsi="New York" w:eastAsia="宋体" w:cs="Times New Roman"/>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50">
    <w:name w:val="Heading 5 Char"/>
    <w:basedOn w:val="18"/>
    <w:link w:val="5"/>
    <w:semiHidden/>
    <w:qFormat/>
    <w:uiPriority w:val="9"/>
    <w:rPr>
      <w:rFonts w:ascii="CG Times (WN)" w:hAnsi="CG Times (WN)" w:eastAsia="宋体" w:cs="Times New Roman"/>
      <w:b/>
      <w:bCs/>
      <w:sz w:val="28"/>
      <w:szCs w:val="28"/>
    </w:rPr>
  </w:style>
  <w:style w:type="paragraph" w:customStyle="1" w:styleId="51">
    <w:name w:val="TH"/>
    <w:basedOn w:val="1"/>
    <w:qFormat/>
    <w:uiPriority w:val="0"/>
    <w:pPr>
      <w:keepNext/>
      <w:keepLines/>
      <w:spacing w:before="60"/>
      <w:jc w:val="center"/>
    </w:pPr>
    <w:rPr>
      <w:rFonts w:ascii="Arial" w:hAnsi="Arial"/>
      <w:b/>
    </w:rPr>
  </w:style>
  <w:style w:type="paragraph" w:customStyle="1" w:styleId="52">
    <w:name w:val="EQ"/>
    <w:basedOn w:val="1"/>
    <w:next w:val="1"/>
    <w:qFormat/>
    <w:uiPriority w:val="0"/>
    <w:pPr>
      <w:keepLines/>
      <w:tabs>
        <w:tab w:val="center" w:pos="4536"/>
        <w:tab w:val="right" w:pos="9072"/>
      </w:tabs>
    </w:pPr>
  </w:style>
  <w:style w:type="paragraph" w:customStyle="1" w:styleId="53">
    <w:name w:val="B2"/>
    <w:basedOn w:val="9"/>
    <w:qFormat/>
    <w:uiPriority w:val="0"/>
  </w:style>
  <w:style w:type="paragraph" w:customStyle="1" w:styleId="54">
    <w:name w:val="TAN"/>
    <w:basedOn w:val="29"/>
    <w:qFormat/>
    <w:uiPriority w:val="0"/>
    <w:pPr>
      <w:ind w:left="851" w:hanging="851"/>
    </w:pPr>
  </w:style>
  <w:style w:type="character" w:customStyle="1" w:styleId="55">
    <w:name w:val="B1 Char1"/>
    <w:qFormat/>
    <w:uiPriority w:val="0"/>
    <w:rPr>
      <w:rFonts w:eastAsia="Times New Roman"/>
    </w:rPr>
  </w:style>
  <w:style w:type="paragraph" w:customStyle="1" w:styleId="56">
    <w:name w:val="enumlev1"/>
    <w:basedOn w:val="1"/>
    <w:qFormat/>
    <w:uiPriority w:val="0"/>
    <w:pPr>
      <w:tabs>
        <w:tab w:val="left" w:pos="1134"/>
        <w:tab w:val="left" w:pos="1871"/>
        <w:tab w:val="left" w:pos="2608"/>
        <w:tab w:val="left" w:pos="3345"/>
      </w:tabs>
      <w:spacing w:before="80"/>
      <w:ind w:left="1134" w:hanging="1134"/>
    </w:pPr>
  </w:style>
  <w:style w:type="paragraph" w:customStyle="1" w:styleId="57">
    <w:name w:val="Table_title"/>
    <w:basedOn w:val="1"/>
    <w:next w:val="58"/>
    <w:qFormat/>
    <w:uiPriority w:val="0"/>
    <w:pPr>
      <w:keepNext/>
      <w:keepLines/>
      <w:tabs>
        <w:tab w:val="left" w:pos="1134"/>
        <w:tab w:val="left" w:pos="1871"/>
        <w:tab w:val="left" w:pos="2268"/>
      </w:tabs>
      <w:spacing w:before="0" w:after="120"/>
      <w:jc w:val="center"/>
    </w:pPr>
    <w:rPr>
      <w:rFonts w:ascii="Times New Roman Bold" w:hAnsi="Times New Roman Bold"/>
      <w:b/>
      <w:sz w:val="20"/>
    </w:rPr>
  </w:style>
  <w:style w:type="paragraph" w:customStyle="1" w:styleId="58">
    <w:name w:val="Table_text"/>
    <w:basedOn w:val="1"/>
    <w:qFormat/>
    <w:uiPriority w:val="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sz w:val="20"/>
    </w:rPr>
  </w:style>
  <w:style w:type="paragraph" w:customStyle="1" w:styleId="59">
    <w:name w:val="enumlev2"/>
    <w:basedOn w:val="56"/>
    <w:qFormat/>
    <w:uiPriority w:val="99"/>
    <w:pPr>
      <w:ind w:left="1871" w:hanging="737"/>
    </w:pPr>
  </w:style>
  <w:style w:type="paragraph" w:customStyle="1" w:styleId="60">
    <w:name w:val="enumlev3"/>
    <w:basedOn w:val="59"/>
    <w:qFormat/>
    <w:uiPriority w:val="0"/>
    <w:pPr>
      <w:ind w:left="2268" w:hanging="397"/>
    </w:p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1.xml"/><Relationship Id="rId12" Type="http://schemas.openxmlformats.org/officeDocument/2006/relationships/numbering" Target="numbering.xml"/><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48F535-9B44-4AF4-B04A-C051AEE72C7F}">
  <ds:schemaRefs/>
</ds:datastoreItem>
</file>

<file path=docProps/app.xml><?xml version="1.0" encoding="utf-8"?>
<Properties xmlns="http://schemas.openxmlformats.org/officeDocument/2006/extended-properties" xmlns:vt="http://schemas.openxmlformats.org/officeDocument/2006/docPropsVTypes">
  <Template>Normal.dotm</Template>
  <Pages>3</Pages>
  <Words>787</Words>
  <Characters>4487</Characters>
  <Lines>37</Lines>
  <Paragraphs>10</Paragraphs>
  <TotalTime>0</TotalTime>
  <ScaleCrop>false</ScaleCrop>
  <LinksUpToDate>false</LinksUpToDate>
  <CharactersWithSpaces>5264</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2022-04-25T02:55:00Z</dcterms:created>
  <dc:creator>cmcc</dc:creator>
  <cp:lastModifiedBy>cmcc-chunxia Guo</cp:lastModifiedBy>
  <dcterms:modified xsi:type="dcterms:W3CDTF">2024-04-08T12:10:27Z</dcterms:modified>
  <cp:revision>181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FB78A630D2F9430AB7BFC4D35C8334EE</vt:lpwstr>
  </property>
</Properties>
</file>