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7FA67BFB"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D43146">
        <w:rPr>
          <w:rFonts w:ascii="Arial" w:hAnsi="Arial" w:cs="Arial"/>
          <w:b/>
          <w:sz w:val="24"/>
          <w:szCs w:val="24"/>
          <w:lang w:val="en-US"/>
        </w:rPr>
        <w:t xml:space="preserve"> </w:t>
      </w:r>
      <w:r w:rsidR="00D43146">
        <w:rPr>
          <w:rFonts w:ascii="Arial" w:hAnsi="Arial" w:cs="Arial"/>
          <w:b/>
          <w:sz w:val="24"/>
          <w:szCs w:val="24"/>
          <w:lang w:val="en-US"/>
        </w:rPr>
        <w:tab/>
      </w:r>
      <w:r w:rsidR="00FC698C" w:rsidRPr="00FC698C">
        <w:rPr>
          <w:rFonts w:ascii="Arial" w:hAnsi="Arial" w:cs="Arial"/>
          <w:b/>
          <w:sz w:val="24"/>
          <w:szCs w:val="24"/>
          <w:lang w:val="en-US"/>
        </w:rPr>
        <w:t>R4-2402141</w:t>
      </w:r>
      <w:bookmarkStart w:id="4" w:name="_GoBack"/>
      <w:bookmarkEnd w:id="4"/>
    </w:p>
    <w:p w14:paraId="525953A8" w14:textId="7A90D153" w:rsidR="00054954" w:rsidRPr="00F44C66" w:rsidRDefault="00E06B08"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lang w:val="en-US"/>
        </w:rPr>
        <w:t>February</w:t>
      </w:r>
      <w:r w:rsidR="00624FAB">
        <w:rPr>
          <w:rFonts w:ascii="Arial" w:hAnsi="Arial" w:cs="Arial"/>
          <w:b/>
          <w:sz w:val="24"/>
          <w:szCs w:val="24"/>
        </w:rPr>
        <w:t xml:space="preserve"> </w:t>
      </w:r>
      <w:r>
        <w:rPr>
          <w:rFonts w:ascii="Arial" w:hAnsi="Arial" w:cs="Arial"/>
          <w:b/>
          <w:sz w:val="24"/>
          <w:szCs w:val="24"/>
        </w:rPr>
        <w:t>26</w:t>
      </w:r>
      <w:r w:rsidR="00F44C66" w:rsidRPr="00E13633">
        <w:rPr>
          <w:rFonts w:ascii="Arial" w:hAnsi="Arial" w:cs="Arial"/>
          <w:b/>
          <w:sz w:val="24"/>
          <w:szCs w:val="24"/>
        </w:rPr>
        <w:t xml:space="preserve"> – </w:t>
      </w:r>
      <w:r>
        <w:rPr>
          <w:rFonts w:ascii="Arial" w:hAnsi="Arial" w:cs="Arial"/>
          <w:b/>
          <w:sz w:val="24"/>
          <w:szCs w:val="24"/>
        </w:rPr>
        <w:t>March 01</w:t>
      </w:r>
      <w:r w:rsidR="00F44C66" w:rsidRPr="00E13633">
        <w:rPr>
          <w:rFonts w:ascii="Arial" w:hAnsi="Arial" w:cs="Arial"/>
          <w:b/>
          <w:sz w:val="24"/>
          <w:szCs w:val="24"/>
        </w:rPr>
        <w:t>, 202</w:t>
      </w:r>
      <w:r>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156CA383"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p>
    <w:p w14:paraId="787D1100" w14:textId="2FDDDA10"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5" w:name="OLE_LINK97"/>
      <w:bookmarkStart w:id="6" w:name="OLE_LINK98"/>
      <w:r w:rsidR="00F609B5">
        <w:t xml:space="preserve">Expected EIRP mask for upper </w:t>
      </w:r>
      <w:r w:rsidR="00F609B5" w:rsidRPr="00765156">
        <w:t>6GHz</w:t>
      </w:r>
      <w:bookmarkEnd w:id="5"/>
      <w:bookmarkEnd w:id="6"/>
    </w:p>
    <w:p w14:paraId="71022389" w14:textId="4DC9974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3B3311">
        <w:rPr>
          <w:rFonts w:ascii="Arial" w:eastAsia="Symbol" w:hAnsi="Arial" w:cs="Arial"/>
          <w:sz w:val="22"/>
        </w:rPr>
        <w:t>14</w:t>
      </w:r>
    </w:p>
    <w:p w14:paraId="7A1A2664" w14:textId="7EAAE301"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F609B5">
        <w:rPr>
          <w:rFonts w:ascii="Arial" w:eastAsia="Symbol" w:hAnsi="Arial" w:cs="Arial"/>
          <w:sz w:val="22"/>
        </w:rPr>
        <w:t>Information</w:t>
      </w:r>
    </w:p>
    <w:bookmarkEnd w:id="2"/>
    <w:bookmarkEnd w:id="3"/>
    <w:p w14:paraId="583FD29F" w14:textId="12280587" w:rsidR="00FC0076" w:rsidRDefault="00D43146" w:rsidP="00FD61B3">
      <w:pPr>
        <w:pStyle w:val="10"/>
        <w:rPr>
          <w:rFonts w:cs="Arial"/>
        </w:rPr>
      </w:pPr>
      <w:r>
        <w:rPr>
          <w:rFonts w:cs="Arial"/>
        </w:rPr>
        <w:t xml:space="preserve">1 </w:t>
      </w:r>
      <w:r w:rsidR="00FD61B3" w:rsidRPr="00883F32">
        <w:rPr>
          <w:rFonts w:cs="Arial"/>
        </w:rPr>
        <w:t>Introduction</w:t>
      </w:r>
    </w:p>
    <w:p w14:paraId="2468C4C4" w14:textId="3DDDAE93" w:rsidR="00F609B5" w:rsidRDefault="00F609B5" w:rsidP="00F609B5">
      <w:bookmarkStart w:id="7" w:name="OLE_LINK106"/>
      <w:r w:rsidRPr="00F609B5">
        <w:t xml:space="preserve">RAN4 </w:t>
      </w:r>
      <w:r>
        <w:t>c</w:t>
      </w:r>
      <w:r w:rsidRPr="00F609B5">
        <w:t xml:space="preserve">andidate RF/OTA </w:t>
      </w:r>
      <w:r>
        <w:t>t</w:t>
      </w:r>
      <w:r w:rsidRPr="00F609B5">
        <w:t>opics for Rel-19</w:t>
      </w:r>
      <w:r>
        <w:t xml:space="preserve"> was discussed at RAN#102 [1]. The following topics are high level suggestions from the moderator summary and further discussions and refinement are needed.</w:t>
      </w:r>
    </w:p>
    <w:tbl>
      <w:tblPr>
        <w:tblStyle w:val="aff"/>
        <w:tblW w:w="0" w:type="auto"/>
        <w:tblLook w:val="04A0" w:firstRow="1" w:lastRow="0" w:firstColumn="1" w:lastColumn="0" w:noHBand="0" w:noVBand="1"/>
      </w:tblPr>
      <w:tblGrid>
        <w:gridCol w:w="9631"/>
      </w:tblGrid>
      <w:tr w:rsidR="00F609B5" w14:paraId="037D221A" w14:textId="77777777" w:rsidTr="00F609B5">
        <w:tc>
          <w:tcPr>
            <w:tcW w:w="9631" w:type="dxa"/>
          </w:tcPr>
          <w:bookmarkEnd w:id="7"/>
          <w:p w14:paraId="2591CCD2" w14:textId="77777777" w:rsidR="00F609B5" w:rsidRDefault="00F609B5" w:rsidP="00F609B5">
            <w:pPr>
              <w:pStyle w:val="afff0"/>
              <w:widowControl w:val="0"/>
              <w:numPr>
                <w:ilvl w:val="0"/>
                <w:numId w:val="17"/>
              </w:numPr>
              <w:overflowPunct/>
              <w:autoSpaceDE/>
              <w:autoSpaceDN/>
              <w:adjustRightInd/>
              <w:ind w:firstLineChars="0"/>
              <w:jc w:val="both"/>
              <w:textAlignment w:val="auto"/>
            </w:pPr>
            <w:r w:rsidRPr="00765156">
              <w:t>BS RF</w:t>
            </w:r>
          </w:p>
          <w:p w14:paraId="656B5F4A" w14:textId="77777777" w:rsidR="00F609B5" w:rsidRPr="00765156" w:rsidRDefault="00F609B5" w:rsidP="00F609B5">
            <w:pPr>
              <w:pStyle w:val="afff0"/>
              <w:widowControl w:val="0"/>
              <w:numPr>
                <w:ilvl w:val="1"/>
                <w:numId w:val="17"/>
              </w:numPr>
              <w:overflowPunct/>
              <w:autoSpaceDE/>
              <w:autoSpaceDN/>
              <w:adjustRightInd/>
              <w:ind w:firstLineChars="0"/>
              <w:jc w:val="both"/>
              <w:textAlignment w:val="auto"/>
            </w:pPr>
            <w:r w:rsidRPr="00765156">
              <w:t>OTA test enhancement</w:t>
            </w:r>
          </w:p>
          <w:p w14:paraId="63339344" w14:textId="77777777" w:rsidR="00F609B5" w:rsidRPr="00765156" w:rsidRDefault="00F609B5" w:rsidP="00F609B5">
            <w:pPr>
              <w:pStyle w:val="afff0"/>
              <w:widowControl w:val="0"/>
              <w:numPr>
                <w:ilvl w:val="1"/>
                <w:numId w:val="17"/>
              </w:numPr>
              <w:overflowPunct/>
              <w:autoSpaceDE/>
              <w:autoSpaceDN/>
              <w:adjustRightInd/>
              <w:ind w:firstLineChars="0"/>
              <w:jc w:val="both"/>
              <w:textAlignment w:val="auto"/>
            </w:pPr>
            <w:r>
              <w:t>Core requirements/c</w:t>
            </w:r>
            <w:r w:rsidRPr="00765156">
              <w:t>onformance t</w:t>
            </w:r>
            <w:r>
              <w:t xml:space="preserve">est for expected EIRP mask for upper </w:t>
            </w:r>
            <w:r w:rsidRPr="00765156">
              <w:t>6GHz</w:t>
            </w:r>
            <w:r>
              <w:t xml:space="preserve"> (depending on WRC-23 conclusions)</w:t>
            </w:r>
          </w:p>
          <w:p w14:paraId="4CA57B6F" w14:textId="77777777" w:rsidR="00F609B5" w:rsidRPr="003B1C8E" w:rsidRDefault="00F609B5" w:rsidP="00F609B5">
            <w:pPr>
              <w:pStyle w:val="afff0"/>
              <w:widowControl w:val="0"/>
              <w:numPr>
                <w:ilvl w:val="1"/>
                <w:numId w:val="17"/>
              </w:numPr>
              <w:overflowPunct/>
              <w:autoSpaceDE/>
              <w:autoSpaceDN/>
              <w:adjustRightInd/>
              <w:ind w:firstLineChars="0"/>
              <w:jc w:val="both"/>
              <w:textAlignment w:val="auto"/>
            </w:pPr>
            <w:r>
              <w:t>Network</w:t>
            </w:r>
            <w:r w:rsidRPr="00765156">
              <w:t xml:space="preserve"> RF specification simplification</w:t>
            </w:r>
          </w:p>
        </w:tc>
      </w:tr>
    </w:tbl>
    <w:p w14:paraId="2B418E86" w14:textId="62E13525" w:rsidR="00F609B5" w:rsidRDefault="00F609B5" w:rsidP="00F609B5"/>
    <w:p w14:paraId="74C0ABF9" w14:textId="7C96B84F" w:rsidR="00F609B5" w:rsidRPr="00F609B5" w:rsidRDefault="00F609B5" w:rsidP="00F609B5">
      <w:r>
        <w:t xml:space="preserve">On the topic expected EIRP for upper 6GHz, there is a dependency on WRC-23 conclusions. </w:t>
      </w:r>
      <w:bookmarkStart w:id="8" w:name="OLE_LINK104"/>
      <w:bookmarkStart w:id="9" w:name="OLE_LINK105"/>
      <w:r>
        <w:t>In this contribution we provide some information on WRC-23 outcome related to expected EIRP mask and potential</w:t>
      </w:r>
      <w:r w:rsidR="00D22C8B">
        <w:t xml:space="preserve"> objectives for Rel-19 WI.</w:t>
      </w:r>
    </w:p>
    <w:bookmarkEnd w:id="8"/>
    <w:bookmarkEnd w:id="9"/>
    <w:p w14:paraId="0636B00D" w14:textId="3C2D8E19" w:rsidR="002D0FAC" w:rsidRDefault="00D43146" w:rsidP="002D0FAC">
      <w:pPr>
        <w:pStyle w:val="10"/>
        <w:rPr>
          <w:rFonts w:cs="Arial"/>
        </w:rPr>
      </w:pPr>
      <w:r>
        <w:rPr>
          <w:rFonts w:cs="Arial"/>
        </w:rPr>
        <w:t xml:space="preserve">2 </w:t>
      </w:r>
      <w:r w:rsidR="009A65B2">
        <w:rPr>
          <w:rFonts w:cs="Arial"/>
        </w:rPr>
        <w:t>Discussion</w:t>
      </w:r>
    </w:p>
    <w:p w14:paraId="02D522A9" w14:textId="6AE8A5C0" w:rsidR="00014237" w:rsidRDefault="00D22C8B" w:rsidP="00D22C8B">
      <w:pPr>
        <w:pStyle w:val="2"/>
      </w:pPr>
      <w:r>
        <w:t>2.1 Background and WRC-23 conclusion</w:t>
      </w:r>
    </w:p>
    <w:p w14:paraId="1CBDB4A3" w14:textId="66AA2691" w:rsidR="00046F37" w:rsidRPr="00046F37" w:rsidRDefault="00195E42" w:rsidP="00046F37">
      <w:pPr>
        <w:shd w:val="clear" w:color="auto" w:fill="FFFFFF"/>
        <w:overflowPunct/>
        <w:autoSpaceDE/>
        <w:autoSpaceDN/>
        <w:adjustRightInd/>
        <w:spacing w:afterLines="50" w:after="120"/>
        <w:rPr>
          <w:lang w:val="en-US"/>
        </w:rPr>
      </w:pPr>
      <w:bookmarkStart w:id="10" w:name="OLE_LINK149"/>
      <w:r w:rsidRPr="00046F37">
        <w:rPr>
          <w:lang w:val="en-US"/>
        </w:rPr>
        <w:t>ITU World Radiocommunication Conference 2023 (WRC-23)</w:t>
      </w:r>
      <w:r w:rsidR="008E0A25" w:rsidRPr="00046F37">
        <w:rPr>
          <w:lang w:val="en-US"/>
        </w:rPr>
        <w:t xml:space="preserve"> held in Dubai, United Arab Emirates, 20 November to 15 December 2023</w:t>
      </w:r>
      <w:bookmarkEnd w:id="10"/>
      <w:r w:rsidR="008E0A25" w:rsidRPr="00046F37">
        <w:rPr>
          <w:lang w:val="en-US"/>
        </w:rPr>
        <w:t xml:space="preserve"> </w:t>
      </w:r>
      <w:r w:rsidR="008E0A25" w:rsidRPr="00195E42">
        <w:rPr>
          <w:lang w:val="en-US"/>
        </w:rPr>
        <w:t>agreed on revisions to the global treaty governing the use of the radio frequency spectrum, both on Earth and in space</w:t>
      </w:r>
      <w:r w:rsidR="008E0A25" w:rsidRPr="00046F37">
        <w:rPr>
          <w:lang w:val="en-US"/>
        </w:rPr>
        <w:t xml:space="preserve">. </w:t>
      </w:r>
      <w:r w:rsidR="008E0A25" w:rsidRPr="00195E42">
        <w:rPr>
          <w:lang w:val="en-US"/>
        </w:rPr>
        <w:t>The agreement on updates to the Radio Regulations</w:t>
      </w:r>
      <w:r w:rsidR="008E0A25" w:rsidRPr="00046F37">
        <w:rPr>
          <w:lang w:val="en-US"/>
        </w:rPr>
        <w:t xml:space="preserve"> (RR)</w:t>
      </w:r>
      <w:r w:rsidR="008E0A25" w:rsidRPr="00195E42">
        <w:rPr>
          <w:lang w:val="en-US"/>
        </w:rPr>
        <w:t xml:space="preserve"> identifies new spectrum resources to support technological innovation, deepen global connectivity, increase access to and equitable use of space-based radio resources, and enhance safety at sea, in the air, and on land.</w:t>
      </w:r>
      <w:r w:rsidR="008E0A25" w:rsidRPr="00046F37">
        <w:rPr>
          <w:lang w:val="en-US"/>
        </w:rPr>
        <w:t xml:space="preserve"> See </w:t>
      </w:r>
      <w:bookmarkStart w:id="11" w:name="OLE_LINK144"/>
      <w:bookmarkStart w:id="12" w:name="OLE_LINK145"/>
      <w:r w:rsidR="00DF0F60">
        <w:fldChar w:fldCharType="begin"/>
      </w:r>
      <w:r w:rsidR="00DF0F60">
        <w:instrText xml:space="preserve"> HYPERLINK "https://www.itu.int/dms_pub/itu-r/opb/act/R-ACT-WRC.15-2023-PDF-E.pdf" </w:instrText>
      </w:r>
      <w:r w:rsidR="00DF0F60">
        <w:fldChar w:fldCharType="separate"/>
      </w:r>
      <w:r w:rsidR="008E0A25" w:rsidRPr="00046F37">
        <w:rPr>
          <w:rStyle w:val="af0"/>
          <w:lang w:val="en-US"/>
        </w:rPr>
        <w:t>WRC-23 Provisional Final Acts</w:t>
      </w:r>
      <w:r w:rsidR="00DF0F60">
        <w:rPr>
          <w:rStyle w:val="af0"/>
          <w:lang w:val="en-US"/>
        </w:rPr>
        <w:fldChar w:fldCharType="end"/>
      </w:r>
      <w:bookmarkEnd w:id="11"/>
      <w:bookmarkEnd w:id="12"/>
      <w:r w:rsidR="008E0A25" w:rsidRPr="00046F37">
        <w:rPr>
          <w:lang w:val="en-US"/>
        </w:rPr>
        <w:t xml:space="preserve">. </w:t>
      </w:r>
    </w:p>
    <w:p w14:paraId="341B6D71" w14:textId="28967BB1" w:rsidR="00046F37" w:rsidRPr="00046F37" w:rsidRDefault="008E0A25" w:rsidP="00046F37">
      <w:pPr>
        <w:spacing w:afterLines="50" w:after="120"/>
        <w:rPr>
          <w:lang w:val="en-US"/>
        </w:rPr>
      </w:pPr>
      <w:r w:rsidRPr="00046F37">
        <w:rPr>
          <w:shd w:val="clear" w:color="auto" w:fill="FFFFFF"/>
        </w:rPr>
        <w:t>Among the decisions, WRC-23 identified spectrum for International Mobile Telecommunications (IMT), which will be crucial for expanding broadband connectivity and developing IMT mobile services, also known as 4G, 5G and, in the future, 6G. That new spectrum includes the 3 300-3 400 megahertz (MHz), 3 600-3 800 MHz, 4 800-4 990 MHz and 6 425-7 125 MHz frequency bands in various countries and regions.</w:t>
      </w:r>
    </w:p>
    <w:p w14:paraId="7CA3E1BB" w14:textId="4A46F50E" w:rsidR="00046F37" w:rsidRDefault="008E0A25" w:rsidP="00046F37">
      <w:pPr>
        <w:spacing w:afterLines="50" w:after="120"/>
      </w:pPr>
      <w:bookmarkStart w:id="13" w:name="OLE_LINK150"/>
      <w:bookmarkStart w:id="14" w:name="OLE_LINK151"/>
      <w:r w:rsidRPr="00046F37">
        <w:rPr>
          <w:lang w:val="en-US"/>
        </w:rPr>
        <w:t xml:space="preserve">The frequency band of </w:t>
      </w:r>
      <w:r w:rsidRPr="00046F37">
        <w:rPr>
          <w:shd w:val="clear" w:color="auto" w:fill="FFFFFF"/>
        </w:rPr>
        <w:t xml:space="preserve">6 425-7 125 MHz was identified in every ITU region as in the RR </w:t>
      </w:r>
      <w:r w:rsidR="00046F37">
        <w:rPr>
          <w:shd w:val="clear" w:color="auto" w:fill="FFFFFF"/>
        </w:rPr>
        <w:t>F</w:t>
      </w:r>
      <w:r w:rsidRPr="00046F37">
        <w:rPr>
          <w:shd w:val="clear" w:color="auto" w:fill="FFFFFF"/>
        </w:rPr>
        <w:t>ootnotes 5.</w:t>
      </w:r>
      <w:r w:rsidR="00605503" w:rsidRPr="00046F37">
        <w:rPr>
          <w:shd w:val="clear" w:color="auto" w:fill="FFFFFF"/>
        </w:rPr>
        <w:t xml:space="preserve"> </w:t>
      </w:r>
      <w:r w:rsidRPr="00046F37">
        <w:rPr>
          <w:shd w:val="clear" w:color="auto" w:fill="FFFFFF"/>
        </w:rPr>
        <w:t>6</w:t>
      </w:r>
      <w:r w:rsidR="00605503" w:rsidRPr="00605503">
        <w:rPr>
          <w:shd w:val="clear" w:color="auto" w:fill="FFFFFF"/>
        </w:rPr>
        <w:t xml:space="preserve"> </w:t>
      </w:r>
      <w:r w:rsidR="00605503" w:rsidRPr="00046F37">
        <w:rPr>
          <w:shd w:val="clear" w:color="auto" w:fill="FFFFFF"/>
        </w:rPr>
        <w:t xml:space="preserve">A </w:t>
      </w:r>
      <w:r w:rsidRPr="00046F37">
        <w:rPr>
          <w:shd w:val="clear" w:color="auto" w:fill="FFFFFF"/>
        </w:rPr>
        <w:t>12, 5.</w:t>
      </w:r>
      <w:r w:rsidR="00605503" w:rsidRPr="00046F37">
        <w:rPr>
          <w:shd w:val="clear" w:color="auto" w:fill="FFFFFF"/>
        </w:rPr>
        <w:t xml:space="preserve"> </w:t>
      </w:r>
      <w:r w:rsidRPr="00046F37">
        <w:rPr>
          <w:shd w:val="clear" w:color="auto" w:fill="FFFFFF"/>
        </w:rPr>
        <w:t>6</w:t>
      </w:r>
      <w:r w:rsidR="00605503" w:rsidRPr="00605503">
        <w:rPr>
          <w:shd w:val="clear" w:color="auto" w:fill="FFFFFF"/>
        </w:rPr>
        <w:t xml:space="preserve"> </w:t>
      </w:r>
      <w:r w:rsidR="00605503" w:rsidRPr="00046F37">
        <w:rPr>
          <w:shd w:val="clear" w:color="auto" w:fill="FFFFFF"/>
        </w:rPr>
        <w:t xml:space="preserve">B </w:t>
      </w:r>
      <w:r w:rsidRPr="00046F37">
        <w:rPr>
          <w:shd w:val="clear" w:color="auto" w:fill="FFFFFF"/>
        </w:rPr>
        <w:t>12 and 5.</w:t>
      </w:r>
      <w:r w:rsidR="00605503">
        <w:rPr>
          <w:shd w:val="clear" w:color="auto" w:fill="FFFFFF"/>
        </w:rPr>
        <w:t>6</w:t>
      </w:r>
      <w:r w:rsidRPr="00046F37">
        <w:rPr>
          <w:shd w:val="clear" w:color="auto" w:fill="FFFFFF"/>
        </w:rPr>
        <w:t>C12 with associated</w:t>
      </w:r>
      <w:r w:rsidR="00046F37" w:rsidRPr="00046F37">
        <w:rPr>
          <w:shd w:val="clear" w:color="auto" w:fill="FFFFFF"/>
        </w:rPr>
        <w:t xml:space="preserve"> </w:t>
      </w:r>
      <w:r w:rsidR="00BA0D5D">
        <w:rPr>
          <w:shd w:val="clear" w:color="auto" w:fill="FFFFFF"/>
        </w:rPr>
        <w:t xml:space="preserve">technical condition of </w:t>
      </w:r>
      <w:r w:rsidR="00046F37" w:rsidRPr="00046F37">
        <w:t xml:space="preserve">limits on the expected </w:t>
      </w:r>
      <w:r w:rsidR="00046F37" w:rsidRPr="00046F37">
        <w:rPr>
          <w:lang w:val="en-US"/>
        </w:rPr>
        <w:t xml:space="preserve">equivalent </w:t>
      </w:r>
      <w:proofErr w:type="spellStart"/>
      <w:r w:rsidR="00046F37" w:rsidRPr="00046F37">
        <w:rPr>
          <w:lang w:val="en-US"/>
        </w:rPr>
        <w:t>isotropically</w:t>
      </w:r>
      <w:proofErr w:type="spellEnd"/>
      <w:r w:rsidR="00046F37" w:rsidRPr="00046F37">
        <w:rPr>
          <w:lang w:val="en-US"/>
        </w:rPr>
        <w:t xml:space="preserve"> radiated power (e</w:t>
      </w:r>
      <w:r w:rsidR="00046F37" w:rsidRPr="00046F37">
        <w:t>.</w:t>
      </w:r>
      <w:proofErr w:type="spellStart"/>
      <w:r w:rsidR="00046F37" w:rsidRPr="00046F37">
        <w:t>i.r.p.</w:t>
      </w:r>
      <w:proofErr w:type="spellEnd"/>
      <w:r w:rsidR="00046F37" w:rsidRPr="00046F37">
        <w:t>) spectral density of IMT base-stations for protecting Earth-to-space fixed satellite services (FSS)</w:t>
      </w:r>
      <w:bookmarkEnd w:id="13"/>
      <w:bookmarkEnd w:id="14"/>
      <w:r w:rsidR="00046F37" w:rsidRPr="00046F37">
        <w:t xml:space="preserve"> as in Resolution COM4/7 (WRC-23)</w:t>
      </w:r>
      <w:r w:rsidR="00046F37">
        <w:t xml:space="preserve"> </w:t>
      </w:r>
      <w:proofErr w:type="gramStart"/>
      <w:r w:rsidR="00046F37">
        <w:t>and also</w:t>
      </w:r>
      <w:proofErr w:type="gramEnd"/>
      <w:r w:rsidR="00046F37">
        <w:t xml:space="preserve"> extracted as below:</w:t>
      </w:r>
    </w:p>
    <w:p w14:paraId="22BDA42C" w14:textId="55098C4F" w:rsidR="00046F37" w:rsidRPr="00BA0D5D" w:rsidRDefault="00046F37" w:rsidP="00BA0D5D">
      <w:pPr>
        <w:spacing w:afterLines="50" w:after="120"/>
        <w:ind w:leftChars="200" w:left="400" w:firstLine="284"/>
        <w:rPr>
          <w:i/>
          <w:color w:val="0000FF"/>
          <w:shd w:val="clear" w:color="auto" w:fill="FFFFFF"/>
        </w:rPr>
      </w:pPr>
      <w:r w:rsidRPr="00BA0D5D">
        <w:rPr>
          <w:i/>
          <w:color w:val="0000FF"/>
          <w:shd w:val="clear" w:color="auto" w:fill="FFFFFF"/>
        </w:rPr>
        <w:t>“resolves</w:t>
      </w:r>
    </w:p>
    <w:p w14:paraId="477563C3" w14:textId="5B0EBC98" w:rsidR="00046F37" w:rsidRPr="00BA0D5D" w:rsidRDefault="008E0A25" w:rsidP="00BA0D5D">
      <w:pPr>
        <w:spacing w:afterLines="50" w:after="120"/>
        <w:ind w:leftChars="200" w:left="400"/>
        <w:rPr>
          <w:color w:val="0000FF"/>
          <w:lang w:val="en-US"/>
        </w:rPr>
      </w:pPr>
      <w:r w:rsidRPr="00BA0D5D">
        <w:rPr>
          <w:color w:val="0000FF"/>
          <w:shd w:val="clear" w:color="auto" w:fill="FFFFFF"/>
        </w:rPr>
        <w:t xml:space="preserve"> </w:t>
      </w:r>
      <w:r w:rsidR="00046F37" w:rsidRPr="00BA0D5D">
        <w:rPr>
          <w:color w:val="0000FF"/>
          <w:lang w:val="en-US"/>
        </w:rPr>
        <w:t>…</w:t>
      </w:r>
    </w:p>
    <w:p w14:paraId="0F5F9B3B" w14:textId="0D44BFA1" w:rsidR="00046F37" w:rsidRPr="00BA0D5D" w:rsidRDefault="00046F37" w:rsidP="00BA0D5D">
      <w:pPr>
        <w:spacing w:afterLines="50" w:after="120"/>
        <w:ind w:leftChars="200" w:left="400"/>
        <w:rPr>
          <w:color w:val="0000FF"/>
          <w:lang w:val="en-US"/>
        </w:rPr>
      </w:pPr>
      <w:r w:rsidRPr="00BA0D5D">
        <w:rPr>
          <w:rFonts w:hint="eastAsia"/>
          <w:color w:val="0000FF"/>
          <w:lang w:val="en-US"/>
        </w:rPr>
        <w:t>2</w:t>
      </w:r>
      <w:r w:rsidRPr="00BA0D5D">
        <w:rPr>
          <w:color w:val="0000FF"/>
          <w:lang w:val="en-US"/>
        </w:rPr>
        <w:tab/>
      </w:r>
      <w:r w:rsidRPr="00BA0D5D">
        <w:rPr>
          <w:color w:val="0000FF"/>
        </w:rPr>
        <w:t xml:space="preserve">that, </w:t>
      </w:r>
      <w:proofErr w:type="gramStart"/>
      <w:r w:rsidRPr="00BA0D5D">
        <w:rPr>
          <w:color w:val="0000FF"/>
        </w:rPr>
        <w:t>in order to</w:t>
      </w:r>
      <w:proofErr w:type="gramEnd"/>
      <w:r w:rsidRPr="00BA0D5D">
        <w:rPr>
          <w:color w:val="0000FF"/>
        </w:rPr>
        <w:t xml:space="preserve"> ensure protection for the FSS (Earth-to-space), and taking into account </w:t>
      </w:r>
      <w:r w:rsidRPr="00BA0D5D">
        <w:rPr>
          <w:i/>
          <w:color w:val="0000FF"/>
        </w:rPr>
        <w:t>considering</w:t>
      </w:r>
      <w:r w:rsidRPr="00BA0D5D">
        <w:rPr>
          <w:color w:val="0000FF"/>
        </w:rPr>
        <w:t xml:space="preserve"> d), the level of expected </w:t>
      </w:r>
      <w:proofErr w:type="spellStart"/>
      <w:r w:rsidRPr="00BA0D5D">
        <w:rPr>
          <w:color w:val="0000FF"/>
        </w:rPr>
        <w:t>e.i.r.p</w:t>
      </w:r>
      <w:proofErr w:type="spellEnd"/>
      <w:r w:rsidRPr="00BA0D5D">
        <w:rPr>
          <w:color w:val="0000FF"/>
        </w:rPr>
        <w:t>. spectral density emitted by an IMT base station as a function of the vertical angle above the horizon shall not exceed the following values (No. 21.5 does not apply):</w:t>
      </w:r>
    </w:p>
    <w:tbl>
      <w:tblPr>
        <w:tblStyle w:val="Tabellengitternetz1"/>
        <w:tblW w:w="8060" w:type="dxa"/>
        <w:jc w:val="center"/>
        <w:tblLook w:val="0420" w:firstRow="1" w:lastRow="0" w:firstColumn="0" w:lastColumn="0" w:noHBand="0" w:noVBand="1"/>
      </w:tblPr>
      <w:tblGrid>
        <w:gridCol w:w="4420"/>
        <w:gridCol w:w="3640"/>
      </w:tblGrid>
      <w:tr w:rsidR="00BA0D5D" w:rsidRPr="00BA0D5D" w14:paraId="163A5850" w14:textId="77777777" w:rsidTr="00BA0D5D">
        <w:trPr>
          <w:trHeight w:val="761"/>
          <w:jc w:val="center"/>
        </w:trPr>
        <w:tc>
          <w:tcPr>
            <w:tcW w:w="4420" w:type="dxa"/>
            <w:hideMark/>
          </w:tcPr>
          <w:p w14:paraId="6625C9FD" w14:textId="77777777" w:rsidR="00046F37" w:rsidRPr="00BA0D5D" w:rsidRDefault="00046F37" w:rsidP="00046F37">
            <w:pPr>
              <w:spacing w:after="0"/>
              <w:jc w:val="center"/>
              <w:rPr>
                <w:color w:val="0000FF"/>
                <w:lang w:val="en-US"/>
              </w:rPr>
            </w:pPr>
            <w:r w:rsidRPr="00BA0D5D">
              <w:rPr>
                <w:bCs/>
                <w:color w:val="0000FF"/>
              </w:rPr>
              <w:lastRenderedPageBreak/>
              <w:t>Vertical angle range</w:t>
            </w:r>
            <w:r w:rsidRPr="00BA0D5D">
              <w:rPr>
                <w:bCs/>
                <w:color w:val="0000FF"/>
              </w:rPr>
              <w:br/>
            </w:r>
            <w:proofErr w:type="spellStart"/>
            <w:r w:rsidRPr="00BA0D5D">
              <w:rPr>
                <w:bCs/>
                <w:color w:val="0000FF"/>
              </w:rPr>
              <w:t>θ</w:t>
            </w:r>
            <w:r w:rsidRPr="00BA0D5D">
              <w:rPr>
                <w:bCs/>
                <w:color w:val="0000FF"/>
                <w:vertAlign w:val="subscript"/>
              </w:rPr>
              <w:t>L</w:t>
            </w:r>
            <w:proofErr w:type="spellEnd"/>
            <w:r w:rsidRPr="00BA0D5D">
              <w:rPr>
                <w:bCs/>
                <w:color w:val="0000FF"/>
              </w:rPr>
              <w:t> ≤ θ &lt; </w:t>
            </w:r>
            <w:proofErr w:type="spellStart"/>
            <w:r w:rsidRPr="00BA0D5D">
              <w:rPr>
                <w:bCs/>
                <w:color w:val="0000FF"/>
              </w:rPr>
              <w:t>θ</w:t>
            </w:r>
            <w:r w:rsidRPr="00BA0D5D">
              <w:rPr>
                <w:bCs/>
                <w:color w:val="0000FF"/>
                <w:vertAlign w:val="subscript"/>
              </w:rPr>
              <w:t>H</w:t>
            </w:r>
            <w:proofErr w:type="spellEnd"/>
            <w:r w:rsidRPr="00BA0D5D">
              <w:rPr>
                <w:bCs/>
                <w:color w:val="0000FF"/>
              </w:rPr>
              <w:br/>
              <w:t>(vertical angle θ above the horizon)</w:t>
            </w:r>
          </w:p>
        </w:tc>
        <w:tc>
          <w:tcPr>
            <w:tcW w:w="3640" w:type="dxa"/>
            <w:hideMark/>
          </w:tcPr>
          <w:p w14:paraId="701EFACD" w14:textId="77777777" w:rsidR="00046F37" w:rsidRPr="00BA0D5D" w:rsidRDefault="00046F37" w:rsidP="00046F37">
            <w:pPr>
              <w:spacing w:after="0"/>
              <w:jc w:val="center"/>
              <w:rPr>
                <w:bCs/>
                <w:color w:val="0000FF"/>
                <w:lang w:val="en-US"/>
              </w:rPr>
            </w:pPr>
            <w:r w:rsidRPr="00BA0D5D">
              <w:rPr>
                <w:bCs/>
                <w:color w:val="0000FF"/>
                <w:lang w:val="en-US"/>
              </w:rPr>
              <w:t xml:space="preserve">Expected </w:t>
            </w:r>
            <w:proofErr w:type="spellStart"/>
            <w:r w:rsidRPr="00BA0D5D">
              <w:rPr>
                <w:bCs/>
                <w:color w:val="0000FF"/>
                <w:lang w:val="en-US"/>
              </w:rPr>
              <w:t>e.i.r.p</w:t>
            </w:r>
            <w:proofErr w:type="spellEnd"/>
            <w:r w:rsidRPr="00BA0D5D">
              <w:rPr>
                <w:bCs/>
                <w:color w:val="0000FF"/>
                <w:lang w:val="en-US"/>
              </w:rPr>
              <w:t>.</w:t>
            </w:r>
          </w:p>
          <w:p w14:paraId="629373BC" w14:textId="77777777" w:rsidR="00046F37" w:rsidRPr="00BA0D5D" w:rsidRDefault="00046F37" w:rsidP="00046F37">
            <w:pPr>
              <w:spacing w:after="0"/>
              <w:jc w:val="center"/>
              <w:rPr>
                <w:bCs/>
                <w:color w:val="0000FF"/>
                <w:lang w:val="en-US"/>
              </w:rPr>
            </w:pPr>
            <w:r w:rsidRPr="00BA0D5D">
              <w:rPr>
                <w:bCs/>
                <w:color w:val="0000FF"/>
                <w:lang w:val="en-US"/>
              </w:rPr>
              <w:t xml:space="preserve"> (dBm/MHz)</w:t>
            </w:r>
          </w:p>
          <w:p w14:paraId="52C2CCDF" w14:textId="53070905" w:rsidR="00046F37" w:rsidRPr="00BA0D5D" w:rsidRDefault="00046F37" w:rsidP="00046F37">
            <w:pPr>
              <w:spacing w:after="0"/>
              <w:jc w:val="center"/>
              <w:rPr>
                <w:color w:val="0000FF"/>
                <w:lang w:val="en-US"/>
              </w:rPr>
            </w:pPr>
            <w:r w:rsidRPr="00BA0D5D">
              <w:rPr>
                <w:bCs/>
                <w:color w:val="0000FF"/>
                <w:lang w:val="en-US"/>
              </w:rPr>
              <w:t>(See NOTES 1, 2 and 3)</w:t>
            </w:r>
          </w:p>
        </w:tc>
      </w:tr>
      <w:tr w:rsidR="00BA0D5D" w:rsidRPr="00BA0D5D" w14:paraId="74ADB8BD" w14:textId="77777777" w:rsidTr="00BA0D5D">
        <w:trPr>
          <w:trHeight w:val="303"/>
          <w:jc w:val="center"/>
        </w:trPr>
        <w:tc>
          <w:tcPr>
            <w:tcW w:w="4420" w:type="dxa"/>
            <w:hideMark/>
          </w:tcPr>
          <w:p w14:paraId="575AAB9C" w14:textId="77777777" w:rsidR="00046F37" w:rsidRPr="00BA0D5D" w:rsidRDefault="00046F37" w:rsidP="00046F37">
            <w:pPr>
              <w:spacing w:after="0"/>
              <w:jc w:val="center"/>
              <w:rPr>
                <w:color w:val="0000FF"/>
                <w:lang w:val="en-US"/>
              </w:rPr>
            </w:pPr>
            <w:r w:rsidRPr="00BA0D5D">
              <w:rPr>
                <w:color w:val="0000FF"/>
              </w:rPr>
              <w:t>0</w:t>
            </w:r>
            <w:r w:rsidRPr="00BA0D5D">
              <w:rPr>
                <w:color w:val="0000FF"/>
              </w:rPr>
              <w:sym w:font="Symbol" w:char="F0B0"/>
            </w:r>
            <w:r w:rsidRPr="00BA0D5D">
              <w:rPr>
                <w:color w:val="0000FF"/>
              </w:rPr>
              <w:t xml:space="preserve"> ≤ θ &lt; 5</w:t>
            </w:r>
            <w:r w:rsidRPr="00BA0D5D">
              <w:rPr>
                <w:color w:val="0000FF"/>
              </w:rPr>
              <w:sym w:font="Symbol" w:char="F0B0"/>
            </w:r>
          </w:p>
        </w:tc>
        <w:tc>
          <w:tcPr>
            <w:tcW w:w="3640" w:type="dxa"/>
            <w:hideMark/>
          </w:tcPr>
          <w:p w14:paraId="4C766280" w14:textId="77777777" w:rsidR="00046F37" w:rsidRPr="00BA0D5D" w:rsidRDefault="00046F37" w:rsidP="00046F37">
            <w:pPr>
              <w:spacing w:after="0"/>
              <w:jc w:val="center"/>
              <w:rPr>
                <w:color w:val="0000FF"/>
                <w:lang w:val="en-US"/>
              </w:rPr>
            </w:pPr>
            <w:r w:rsidRPr="00BA0D5D">
              <w:rPr>
                <w:color w:val="0000FF"/>
                <w:lang w:val="en-US"/>
              </w:rPr>
              <w:t>27</w:t>
            </w:r>
          </w:p>
        </w:tc>
      </w:tr>
      <w:tr w:rsidR="00BA0D5D" w:rsidRPr="00BA0D5D" w14:paraId="003EEBCD" w14:textId="77777777" w:rsidTr="00BA0D5D">
        <w:trPr>
          <w:trHeight w:val="303"/>
          <w:jc w:val="center"/>
        </w:trPr>
        <w:tc>
          <w:tcPr>
            <w:tcW w:w="4420" w:type="dxa"/>
            <w:hideMark/>
          </w:tcPr>
          <w:p w14:paraId="47952E9C" w14:textId="5532CFB2" w:rsidR="00046F37" w:rsidRPr="00BA0D5D" w:rsidRDefault="00046F37" w:rsidP="00046F37">
            <w:pPr>
              <w:spacing w:after="0"/>
              <w:jc w:val="center"/>
              <w:rPr>
                <w:color w:val="0000FF"/>
                <w:lang w:val="en-US"/>
              </w:rPr>
            </w:pPr>
            <w:r w:rsidRPr="00BA0D5D">
              <w:rPr>
                <w:color w:val="0000FF"/>
              </w:rPr>
              <w:t>5</w:t>
            </w:r>
            <w:r w:rsidRPr="00BA0D5D">
              <w:rPr>
                <w:color w:val="0000FF"/>
              </w:rPr>
              <w:sym w:font="Symbol" w:char="F0B0"/>
            </w:r>
            <w:r w:rsidRPr="00BA0D5D">
              <w:rPr>
                <w:color w:val="0000FF"/>
              </w:rPr>
              <w:t xml:space="preserve"> ≤ θ &lt; 10</w:t>
            </w:r>
            <w:r w:rsidRPr="00BA0D5D">
              <w:rPr>
                <w:color w:val="0000FF"/>
              </w:rPr>
              <w:sym w:font="Symbol" w:char="F0B0"/>
            </w:r>
          </w:p>
        </w:tc>
        <w:tc>
          <w:tcPr>
            <w:tcW w:w="3640" w:type="dxa"/>
            <w:hideMark/>
          </w:tcPr>
          <w:p w14:paraId="4129EB91" w14:textId="77777777" w:rsidR="00046F37" w:rsidRPr="00BA0D5D" w:rsidRDefault="00046F37" w:rsidP="00046F37">
            <w:pPr>
              <w:spacing w:after="0"/>
              <w:jc w:val="center"/>
              <w:rPr>
                <w:color w:val="0000FF"/>
                <w:lang w:val="en-US"/>
              </w:rPr>
            </w:pPr>
            <w:r w:rsidRPr="00BA0D5D">
              <w:rPr>
                <w:color w:val="0000FF"/>
                <w:lang w:val="en-US"/>
              </w:rPr>
              <w:t>23</w:t>
            </w:r>
          </w:p>
        </w:tc>
      </w:tr>
      <w:tr w:rsidR="00BA0D5D" w:rsidRPr="00BA0D5D" w14:paraId="17BEE6AC" w14:textId="77777777" w:rsidTr="00BA0D5D">
        <w:trPr>
          <w:trHeight w:val="303"/>
          <w:jc w:val="center"/>
        </w:trPr>
        <w:tc>
          <w:tcPr>
            <w:tcW w:w="4420" w:type="dxa"/>
            <w:hideMark/>
          </w:tcPr>
          <w:p w14:paraId="08E8CDF3" w14:textId="77777777" w:rsidR="00046F37" w:rsidRPr="00BA0D5D" w:rsidRDefault="00046F37" w:rsidP="00046F37">
            <w:pPr>
              <w:spacing w:after="0"/>
              <w:jc w:val="center"/>
              <w:rPr>
                <w:color w:val="0000FF"/>
                <w:lang w:val="en-US"/>
              </w:rPr>
            </w:pPr>
            <w:r w:rsidRPr="00BA0D5D">
              <w:rPr>
                <w:color w:val="0000FF"/>
              </w:rPr>
              <w:t>10</w:t>
            </w:r>
            <w:r w:rsidRPr="00BA0D5D">
              <w:rPr>
                <w:color w:val="0000FF"/>
              </w:rPr>
              <w:sym w:font="Symbol" w:char="F0B0"/>
            </w:r>
            <w:r w:rsidRPr="00BA0D5D">
              <w:rPr>
                <w:color w:val="0000FF"/>
              </w:rPr>
              <w:t xml:space="preserve"> ≤ θ &lt; 15</w:t>
            </w:r>
            <w:r w:rsidRPr="00BA0D5D">
              <w:rPr>
                <w:color w:val="0000FF"/>
              </w:rPr>
              <w:sym w:font="Symbol" w:char="F0B0"/>
            </w:r>
          </w:p>
        </w:tc>
        <w:tc>
          <w:tcPr>
            <w:tcW w:w="3640" w:type="dxa"/>
            <w:hideMark/>
          </w:tcPr>
          <w:p w14:paraId="663198C7" w14:textId="77777777" w:rsidR="00046F37" w:rsidRPr="00BA0D5D" w:rsidRDefault="00046F37" w:rsidP="00046F37">
            <w:pPr>
              <w:spacing w:after="0"/>
              <w:jc w:val="center"/>
              <w:rPr>
                <w:color w:val="0000FF"/>
                <w:lang w:val="en-US"/>
              </w:rPr>
            </w:pPr>
            <w:r w:rsidRPr="00BA0D5D">
              <w:rPr>
                <w:color w:val="0000FF"/>
                <w:lang w:val="en-US"/>
              </w:rPr>
              <w:t>19</w:t>
            </w:r>
          </w:p>
        </w:tc>
      </w:tr>
      <w:tr w:rsidR="00BA0D5D" w:rsidRPr="00BA0D5D" w14:paraId="0586F56E" w14:textId="77777777" w:rsidTr="00BA0D5D">
        <w:trPr>
          <w:trHeight w:val="303"/>
          <w:jc w:val="center"/>
        </w:trPr>
        <w:tc>
          <w:tcPr>
            <w:tcW w:w="4420" w:type="dxa"/>
            <w:hideMark/>
          </w:tcPr>
          <w:p w14:paraId="11A41D9E" w14:textId="77777777" w:rsidR="00046F37" w:rsidRPr="00BA0D5D" w:rsidRDefault="00046F37" w:rsidP="00046F37">
            <w:pPr>
              <w:spacing w:after="0"/>
              <w:jc w:val="center"/>
              <w:rPr>
                <w:color w:val="0000FF"/>
                <w:lang w:val="en-US"/>
              </w:rPr>
            </w:pPr>
            <w:r w:rsidRPr="00BA0D5D">
              <w:rPr>
                <w:color w:val="0000FF"/>
              </w:rPr>
              <w:t>15</w:t>
            </w:r>
            <w:r w:rsidRPr="00BA0D5D">
              <w:rPr>
                <w:color w:val="0000FF"/>
              </w:rPr>
              <w:sym w:font="Symbol" w:char="F0B0"/>
            </w:r>
            <w:r w:rsidRPr="00BA0D5D">
              <w:rPr>
                <w:color w:val="0000FF"/>
              </w:rPr>
              <w:t xml:space="preserve"> ≤ θ &lt; 20</w:t>
            </w:r>
            <w:r w:rsidRPr="00BA0D5D">
              <w:rPr>
                <w:color w:val="0000FF"/>
              </w:rPr>
              <w:sym w:font="Symbol" w:char="F0B0"/>
            </w:r>
          </w:p>
        </w:tc>
        <w:tc>
          <w:tcPr>
            <w:tcW w:w="3640" w:type="dxa"/>
            <w:hideMark/>
          </w:tcPr>
          <w:p w14:paraId="6010F4AA" w14:textId="77777777" w:rsidR="00046F37" w:rsidRPr="00BA0D5D" w:rsidRDefault="00046F37" w:rsidP="00046F37">
            <w:pPr>
              <w:spacing w:after="0"/>
              <w:jc w:val="center"/>
              <w:rPr>
                <w:color w:val="0000FF"/>
                <w:lang w:val="en-US"/>
              </w:rPr>
            </w:pPr>
            <w:r w:rsidRPr="00BA0D5D">
              <w:rPr>
                <w:color w:val="0000FF"/>
                <w:lang w:val="en-US"/>
              </w:rPr>
              <w:t>18</w:t>
            </w:r>
          </w:p>
        </w:tc>
      </w:tr>
      <w:tr w:rsidR="00BA0D5D" w:rsidRPr="00BA0D5D" w14:paraId="42B583B5" w14:textId="77777777" w:rsidTr="00BA0D5D">
        <w:trPr>
          <w:trHeight w:val="303"/>
          <w:jc w:val="center"/>
        </w:trPr>
        <w:tc>
          <w:tcPr>
            <w:tcW w:w="4420" w:type="dxa"/>
            <w:hideMark/>
          </w:tcPr>
          <w:p w14:paraId="25821E02" w14:textId="77777777" w:rsidR="00046F37" w:rsidRPr="00BA0D5D" w:rsidRDefault="00046F37" w:rsidP="00046F37">
            <w:pPr>
              <w:spacing w:after="0"/>
              <w:jc w:val="center"/>
              <w:rPr>
                <w:color w:val="0000FF"/>
                <w:lang w:val="en-US"/>
              </w:rPr>
            </w:pPr>
            <w:r w:rsidRPr="00BA0D5D">
              <w:rPr>
                <w:color w:val="0000FF"/>
              </w:rPr>
              <w:t>20</w:t>
            </w:r>
            <w:r w:rsidRPr="00BA0D5D">
              <w:rPr>
                <w:color w:val="0000FF"/>
              </w:rPr>
              <w:sym w:font="Symbol" w:char="F0B0"/>
            </w:r>
            <w:r w:rsidRPr="00BA0D5D">
              <w:rPr>
                <w:color w:val="0000FF"/>
              </w:rPr>
              <w:t xml:space="preserve"> ≤ θ &lt; 30</w:t>
            </w:r>
            <w:r w:rsidRPr="00BA0D5D">
              <w:rPr>
                <w:color w:val="0000FF"/>
              </w:rPr>
              <w:sym w:font="Symbol" w:char="F0B0"/>
            </w:r>
          </w:p>
        </w:tc>
        <w:tc>
          <w:tcPr>
            <w:tcW w:w="3640" w:type="dxa"/>
            <w:hideMark/>
          </w:tcPr>
          <w:p w14:paraId="0BC5EA2D" w14:textId="77777777" w:rsidR="00046F37" w:rsidRPr="00BA0D5D" w:rsidRDefault="00046F37" w:rsidP="00046F37">
            <w:pPr>
              <w:spacing w:after="0"/>
              <w:jc w:val="center"/>
              <w:rPr>
                <w:color w:val="0000FF"/>
                <w:lang w:val="en-US"/>
              </w:rPr>
            </w:pPr>
            <w:r w:rsidRPr="00BA0D5D">
              <w:rPr>
                <w:color w:val="0000FF"/>
                <w:lang w:val="en-US"/>
              </w:rPr>
              <w:t>16</w:t>
            </w:r>
          </w:p>
        </w:tc>
      </w:tr>
      <w:tr w:rsidR="00BA0D5D" w:rsidRPr="00BA0D5D" w14:paraId="7C50C1B4" w14:textId="77777777" w:rsidTr="00BA0D5D">
        <w:trPr>
          <w:trHeight w:val="303"/>
          <w:jc w:val="center"/>
        </w:trPr>
        <w:tc>
          <w:tcPr>
            <w:tcW w:w="4420" w:type="dxa"/>
            <w:hideMark/>
          </w:tcPr>
          <w:p w14:paraId="488A9BE8" w14:textId="77777777" w:rsidR="00046F37" w:rsidRPr="00BA0D5D" w:rsidRDefault="00046F37" w:rsidP="00046F37">
            <w:pPr>
              <w:spacing w:after="0"/>
              <w:jc w:val="center"/>
              <w:rPr>
                <w:color w:val="0000FF"/>
                <w:lang w:val="en-US"/>
              </w:rPr>
            </w:pPr>
            <w:r w:rsidRPr="00BA0D5D">
              <w:rPr>
                <w:color w:val="0000FF"/>
              </w:rPr>
              <w:t>30</w:t>
            </w:r>
            <w:r w:rsidRPr="00BA0D5D">
              <w:rPr>
                <w:color w:val="0000FF"/>
              </w:rPr>
              <w:sym w:font="Symbol" w:char="F0B0"/>
            </w:r>
            <w:r w:rsidRPr="00BA0D5D">
              <w:rPr>
                <w:color w:val="0000FF"/>
              </w:rPr>
              <w:t xml:space="preserve"> ≤ θ &lt; 60</w:t>
            </w:r>
            <w:r w:rsidRPr="00BA0D5D">
              <w:rPr>
                <w:color w:val="0000FF"/>
              </w:rPr>
              <w:sym w:font="Symbol" w:char="F0B0"/>
            </w:r>
          </w:p>
        </w:tc>
        <w:tc>
          <w:tcPr>
            <w:tcW w:w="3640" w:type="dxa"/>
            <w:hideMark/>
          </w:tcPr>
          <w:p w14:paraId="088BF55E" w14:textId="77777777" w:rsidR="00046F37" w:rsidRPr="00BA0D5D" w:rsidRDefault="00046F37" w:rsidP="00046F37">
            <w:pPr>
              <w:spacing w:after="0"/>
              <w:jc w:val="center"/>
              <w:rPr>
                <w:color w:val="0000FF"/>
                <w:lang w:val="en-US"/>
              </w:rPr>
            </w:pPr>
            <w:r w:rsidRPr="00BA0D5D">
              <w:rPr>
                <w:color w:val="0000FF"/>
                <w:lang w:val="en-US"/>
              </w:rPr>
              <w:t>15</w:t>
            </w:r>
          </w:p>
        </w:tc>
      </w:tr>
      <w:tr w:rsidR="00BA0D5D" w:rsidRPr="00BA0D5D" w14:paraId="5B77C877" w14:textId="77777777" w:rsidTr="00BA0D5D">
        <w:trPr>
          <w:trHeight w:val="43"/>
          <w:jc w:val="center"/>
        </w:trPr>
        <w:tc>
          <w:tcPr>
            <w:tcW w:w="4420" w:type="dxa"/>
            <w:hideMark/>
          </w:tcPr>
          <w:p w14:paraId="41241D30" w14:textId="77777777" w:rsidR="00046F37" w:rsidRPr="00BA0D5D" w:rsidRDefault="00046F37" w:rsidP="00046F37">
            <w:pPr>
              <w:spacing w:after="0"/>
              <w:jc w:val="center"/>
              <w:rPr>
                <w:color w:val="0000FF"/>
                <w:lang w:val="en-US"/>
              </w:rPr>
            </w:pPr>
            <w:r w:rsidRPr="00BA0D5D">
              <w:rPr>
                <w:color w:val="0000FF"/>
              </w:rPr>
              <w:t>60</w:t>
            </w:r>
            <w:r w:rsidRPr="00BA0D5D">
              <w:rPr>
                <w:color w:val="0000FF"/>
              </w:rPr>
              <w:sym w:font="Symbol" w:char="F0B0"/>
            </w:r>
            <w:r w:rsidRPr="00BA0D5D">
              <w:rPr>
                <w:color w:val="0000FF"/>
              </w:rPr>
              <w:t xml:space="preserve"> ≤ θ ≤ 90</w:t>
            </w:r>
            <w:r w:rsidRPr="00BA0D5D">
              <w:rPr>
                <w:color w:val="0000FF"/>
              </w:rPr>
              <w:sym w:font="Symbol" w:char="F0B0"/>
            </w:r>
          </w:p>
        </w:tc>
        <w:tc>
          <w:tcPr>
            <w:tcW w:w="3640" w:type="dxa"/>
            <w:hideMark/>
          </w:tcPr>
          <w:p w14:paraId="21808B96" w14:textId="77777777" w:rsidR="00046F37" w:rsidRPr="00BA0D5D" w:rsidRDefault="00046F37" w:rsidP="00046F37">
            <w:pPr>
              <w:spacing w:after="0"/>
              <w:jc w:val="center"/>
              <w:rPr>
                <w:color w:val="0000FF"/>
                <w:lang w:val="en-US"/>
              </w:rPr>
            </w:pPr>
            <w:r w:rsidRPr="00BA0D5D">
              <w:rPr>
                <w:color w:val="0000FF"/>
                <w:lang w:val="en-US"/>
              </w:rPr>
              <w:t>15</w:t>
            </w:r>
          </w:p>
        </w:tc>
      </w:tr>
    </w:tbl>
    <w:p w14:paraId="268EB2C6" w14:textId="77777777" w:rsidR="00046F37" w:rsidRPr="00BA0D5D" w:rsidRDefault="00046F37" w:rsidP="00BA0D5D">
      <w:pPr>
        <w:spacing w:beforeLines="50" w:before="120" w:afterLines="50" w:after="120"/>
        <w:ind w:leftChars="200" w:left="400"/>
        <w:rPr>
          <w:color w:val="0000FF"/>
        </w:rPr>
      </w:pPr>
      <w:r w:rsidRPr="00BA0D5D">
        <w:rPr>
          <w:color w:val="0000FF"/>
        </w:rPr>
        <w:t xml:space="preserve">NOTE 1: The expected </w:t>
      </w:r>
      <w:proofErr w:type="spellStart"/>
      <w:r w:rsidRPr="00BA0D5D">
        <w:rPr>
          <w:color w:val="0000FF"/>
        </w:rPr>
        <w:t>e.i.r.p</w:t>
      </w:r>
      <w:proofErr w:type="spellEnd"/>
      <w:r w:rsidRPr="00BA0D5D">
        <w:rPr>
          <w:color w:val="0000FF"/>
        </w:rPr>
        <w:t xml:space="preserve">. is defined as the average value of the </w:t>
      </w:r>
      <w:proofErr w:type="spellStart"/>
      <w:r w:rsidRPr="00BA0D5D">
        <w:rPr>
          <w:color w:val="0000FF"/>
        </w:rPr>
        <w:t>e.i.r.p</w:t>
      </w:r>
      <w:proofErr w:type="spellEnd"/>
      <w:r w:rsidRPr="00BA0D5D">
        <w:rPr>
          <w:color w:val="0000FF"/>
        </w:rPr>
        <w:t xml:space="preserve">., with the averaging being performed: </w:t>
      </w:r>
    </w:p>
    <w:p w14:paraId="3181A748" w14:textId="2A3B2E7A" w:rsidR="00046F37" w:rsidRPr="00BA0D5D" w:rsidRDefault="00046F37" w:rsidP="00BA0D5D">
      <w:pPr>
        <w:spacing w:afterLines="50" w:after="120"/>
        <w:ind w:leftChars="200" w:left="400"/>
        <w:rPr>
          <w:color w:val="0000FF"/>
        </w:rPr>
      </w:pPr>
      <w:r w:rsidRPr="00BA0D5D">
        <w:rPr>
          <w:color w:val="0000FF"/>
        </w:rPr>
        <w:t>‒ over horizontal angles from −180</w:t>
      </w:r>
      <w:r w:rsidRPr="00BA0D5D">
        <w:rPr>
          <w:color w:val="0000FF"/>
        </w:rPr>
        <w:sym w:font="Symbol" w:char="F0B0"/>
      </w:r>
      <w:r w:rsidRPr="00BA0D5D">
        <w:rPr>
          <w:color w:val="0000FF"/>
        </w:rPr>
        <w:t xml:space="preserve"> to +180</w:t>
      </w:r>
      <w:r w:rsidRPr="00BA0D5D">
        <w:rPr>
          <w:color w:val="0000FF"/>
        </w:rPr>
        <w:sym w:font="Symbol" w:char="F0B0"/>
      </w:r>
      <w:r w:rsidRPr="00BA0D5D">
        <w:rPr>
          <w:color w:val="0000FF"/>
        </w:rPr>
        <w:t xml:space="preserve">, with the IMT base station beamforming in a specific direction within its horizontal and vertical steering range, </w:t>
      </w:r>
    </w:p>
    <w:p w14:paraId="234C32BE" w14:textId="77777777" w:rsidR="00046F37" w:rsidRPr="00BA0D5D" w:rsidRDefault="00046F37" w:rsidP="00BA0D5D">
      <w:pPr>
        <w:spacing w:afterLines="50" w:after="120"/>
        <w:ind w:leftChars="200" w:left="400"/>
        <w:rPr>
          <w:color w:val="0000FF"/>
        </w:rPr>
      </w:pPr>
      <w:r w:rsidRPr="00BA0D5D">
        <w:rPr>
          <w:color w:val="0000FF"/>
        </w:rPr>
        <w:t xml:space="preserve">‒ over different beamforming directions within the IMT base station horizontal and vertical steering range, and </w:t>
      </w:r>
    </w:p>
    <w:p w14:paraId="60E07E8B" w14:textId="49ADF351" w:rsidR="00046F37" w:rsidRPr="00BA0D5D" w:rsidRDefault="00046F37" w:rsidP="00BA0D5D">
      <w:pPr>
        <w:spacing w:afterLines="50" w:after="120"/>
        <w:ind w:leftChars="200" w:left="400"/>
        <w:rPr>
          <w:color w:val="0000FF"/>
        </w:rPr>
      </w:pPr>
      <w:r w:rsidRPr="00BA0D5D">
        <w:rPr>
          <w:color w:val="0000FF"/>
        </w:rPr>
        <w:t xml:space="preserve">‒ over the specified vertical angle range </w:t>
      </w:r>
      <w:proofErr w:type="spellStart"/>
      <w:r w:rsidRPr="00BA0D5D">
        <w:rPr>
          <w:bCs/>
          <w:color w:val="0000FF"/>
        </w:rPr>
        <w:t>θ</w:t>
      </w:r>
      <w:r w:rsidRPr="00BA0D5D">
        <w:rPr>
          <w:bCs/>
          <w:color w:val="0000FF"/>
          <w:vertAlign w:val="subscript"/>
        </w:rPr>
        <w:t>L</w:t>
      </w:r>
      <w:proofErr w:type="spellEnd"/>
      <w:r w:rsidRPr="00BA0D5D">
        <w:rPr>
          <w:bCs/>
          <w:color w:val="0000FF"/>
        </w:rPr>
        <w:t> ≤ θ &lt; </w:t>
      </w:r>
      <w:proofErr w:type="spellStart"/>
      <w:r w:rsidRPr="00BA0D5D">
        <w:rPr>
          <w:bCs/>
          <w:color w:val="0000FF"/>
        </w:rPr>
        <w:t>θ</w:t>
      </w:r>
      <w:r w:rsidRPr="00BA0D5D">
        <w:rPr>
          <w:bCs/>
          <w:color w:val="0000FF"/>
          <w:vertAlign w:val="subscript"/>
        </w:rPr>
        <w:t>H</w:t>
      </w:r>
      <w:proofErr w:type="spellEnd"/>
      <w:r w:rsidRPr="00BA0D5D">
        <w:rPr>
          <w:color w:val="0000FF"/>
        </w:rPr>
        <w:t xml:space="preserve">. </w:t>
      </w:r>
    </w:p>
    <w:p w14:paraId="3FC74F79" w14:textId="77777777" w:rsidR="00046F37" w:rsidRPr="00BA0D5D" w:rsidRDefault="00046F37" w:rsidP="00BA0D5D">
      <w:pPr>
        <w:spacing w:afterLines="50" w:after="120"/>
        <w:ind w:leftChars="200" w:left="400"/>
        <w:rPr>
          <w:color w:val="0000FF"/>
        </w:rPr>
      </w:pPr>
      <w:r w:rsidRPr="00BA0D5D">
        <w:rPr>
          <w:color w:val="0000FF"/>
        </w:rPr>
        <w:t xml:space="preserve">NOTE 2: An IMT base station shall comply with the specified limits on expected </w:t>
      </w:r>
      <w:proofErr w:type="spellStart"/>
      <w:r w:rsidRPr="00BA0D5D">
        <w:rPr>
          <w:color w:val="0000FF"/>
        </w:rPr>
        <w:t>e.i.r.p</w:t>
      </w:r>
      <w:proofErr w:type="spellEnd"/>
      <w:r w:rsidRPr="00BA0D5D">
        <w:rPr>
          <w:color w:val="0000FF"/>
        </w:rPr>
        <w:t xml:space="preserve">. spectral density for all mechanical tilts with which it can be deployed, </w:t>
      </w:r>
      <w:proofErr w:type="gramStart"/>
      <w:r w:rsidRPr="00BA0D5D">
        <w:rPr>
          <w:color w:val="0000FF"/>
        </w:rPr>
        <w:t>taking into account</w:t>
      </w:r>
      <w:proofErr w:type="gramEnd"/>
      <w:r w:rsidRPr="00BA0D5D">
        <w:rPr>
          <w:color w:val="0000FF"/>
        </w:rPr>
        <w:t xml:space="preserve"> </w:t>
      </w:r>
      <w:r w:rsidRPr="00BA0D5D">
        <w:rPr>
          <w:i/>
          <w:color w:val="0000FF"/>
        </w:rPr>
        <w:t>considering</w:t>
      </w:r>
      <w:r w:rsidRPr="00BA0D5D">
        <w:rPr>
          <w:color w:val="0000FF"/>
        </w:rPr>
        <w:t xml:space="preserve"> m). </w:t>
      </w:r>
    </w:p>
    <w:p w14:paraId="21D2A530" w14:textId="3B72D7A3" w:rsidR="00046F37" w:rsidRPr="00BA0D5D" w:rsidRDefault="00046F37" w:rsidP="00BA0D5D">
      <w:pPr>
        <w:spacing w:afterLines="50" w:after="120"/>
        <w:ind w:leftChars="200" w:left="400"/>
        <w:rPr>
          <w:color w:val="0000FF"/>
          <w:lang w:val="en-US"/>
        </w:rPr>
      </w:pPr>
      <w:r w:rsidRPr="00BA0D5D">
        <w:rPr>
          <w:color w:val="0000FF"/>
        </w:rPr>
        <w:t xml:space="preserve">NOTE 3: See the Annex to this Resolution for additional details on how the expected </w:t>
      </w:r>
      <w:proofErr w:type="spellStart"/>
      <w:r w:rsidRPr="00BA0D5D">
        <w:rPr>
          <w:color w:val="0000FF"/>
        </w:rPr>
        <w:t>e.i.r.p</w:t>
      </w:r>
      <w:proofErr w:type="spellEnd"/>
      <w:r w:rsidRPr="00BA0D5D">
        <w:rPr>
          <w:color w:val="0000FF"/>
        </w:rPr>
        <w:t>. can be calculated for this frequency band.</w:t>
      </w:r>
    </w:p>
    <w:p w14:paraId="346D3E3C" w14:textId="1CAE9338" w:rsidR="00195E42" w:rsidRPr="00BA0D5D" w:rsidRDefault="00046F37" w:rsidP="00BA0D5D">
      <w:pPr>
        <w:ind w:leftChars="200" w:left="400"/>
        <w:rPr>
          <w:color w:val="0000FF"/>
          <w:lang w:val="en-US"/>
        </w:rPr>
      </w:pPr>
      <w:r w:rsidRPr="00BA0D5D">
        <w:rPr>
          <w:color w:val="0000FF"/>
          <w:lang w:val="en-US"/>
        </w:rPr>
        <w:t>…”</w:t>
      </w:r>
    </w:p>
    <w:p w14:paraId="490A0910" w14:textId="1C9F9B66" w:rsidR="003B2B14" w:rsidRDefault="00BA0D5D" w:rsidP="00241B95">
      <w:pPr>
        <w:shd w:val="clear" w:color="auto" w:fill="FFFFFF"/>
        <w:overflowPunct/>
        <w:autoSpaceDE/>
        <w:autoSpaceDN/>
        <w:adjustRightInd/>
        <w:spacing w:after="150"/>
      </w:pPr>
      <w:bookmarkStart w:id="15" w:name="OLE_LINK152"/>
      <w:r>
        <w:t xml:space="preserve">The expected </w:t>
      </w:r>
      <w:proofErr w:type="spellStart"/>
      <w:r>
        <w:t>e.i.r.p</w:t>
      </w:r>
      <w:proofErr w:type="spellEnd"/>
      <w:r>
        <w:t xml:space="preserve">. is a </w:t>
      </w:r>
      <w:bookmarkStart w:id="16" w:name="OLE_LINK142"/>
      <w:bookmarkStart w:id="17" w:name="OLE_LINK143"/>
      <w:r>
        <w:t>new regulatory requirement</w:t>
      </w:r>
      <w:bookmarkEnd w:id="15"/>
      <w:r>
        <w:t xml:space="preserve"> </w:t>
      </w:r>
      <w:bookmarkEnd w:id="16"/>
      <w:bookmarkEnd w:id="17"/>
      <w:r>
        <w:t>and the Annex to the</w:t>
      </w:r>
      <w:r w:rsidR="00241B95">
        <w:t xml:space="preserve"> </w:t>
      </w:r>
      <w:r w:rsidR="00241B95" w:rsidRPr="00046F37">
        <w:t>Resolution COM4/7 (WRC-23)</w:t>
      </w:r>
      <w:r w:rsidR="00241B95">
        <w:t xml:space="preserve"> outlines</w:t>
      </w:r>
      <w:r>
        <w:t xml:space="preserve"> </w:t>
      </w:r>
      <w:r w:rsidR="00241B95">
        <w:t xml:space="preserve">the </w:t>
      </w:r>
      <w:r>
        <w:t xml:space="preserve">theoretical calculation of the expected equivalent </w:t>
      </w:r>
      <w:proofErr w:type="spellStart"/>
      <w:r>
        <w:t>isotropically</w:t>
      </w:r>
      <w:proofErr w:type="spellEnd"/>
      <w:r>
        <w:t xml:space="preserve"> radiated power (</w:t>
      </w:r>
      <w:proofErr w:type="spellStart"/>
      <w:r>
        <w:t>e.i.r.p</w:t>
      </w:r>
      <w:proofErr w:type="spellEnd"/>
      <w:r>
        <w:t xml:space="preserve">.) of an International Mobile Telecommunications (IMT) base station for assessing the compliance of IMT base station equipment with the limit on expected </w:t>
      </w:r>
      <w:proofErr w:type="spellStart"/>
      <w:r>
        <w:t>e.i.r.p</w:t>
      </w:r>
      <w:proofErr w:type="spellEnd"/>
      <w:r w:rsidR="00241B95">
        <w:t xml:space="preserve">. </w:t>
      </w:r>
      <w:bookmarkStart w:id="18" w:name="OLE_LINK155"/>
      <w:bookmarkStart w:id="19" w:name="OLE_LINK156"/>
      <w:r w:rsidR="00F70C60">
        <w:t xml:space="preserve">When developing the expected </w:t>
      </w:r>
      <w:proofErr w:type="spellStart"/>
      <w:r w:rsidR="00F70C60">
        <w:t>e.i.r.p</w:t>
      </w:r>
      <w:proofErr w:type="spellEnd"/>
      <w:r w:rsidR="00F70C60">
        <w:t>. it is expected that 3GPP to develop the harmonized specification for compliance testing.</w:t>
      </w:r>
      <w:bookmarkEnd w:id="18"/>
      <w:bookmarkEnd w:id="19"/>
      <w:r w:rsidR="00F70C60">
        <w:t xml:space="preserve">  </w:t>
      </w:r>
    </w:p>
    <w:p w14:paraId="5BFBCB56" w14:textId="1583027E" w:rsidR="00D22C8B" w:rsidRDefault="00D22C8B" w:rsidP="00D22C8B">
      <w:pPr>
        <w:pStyle w:val="2"/>
      </w:pPr>
      <w:r>
        <w:rPr>
          <w:rFonts w:hint="eastAsia"/>
        </w:rPr>
        <w:t>2</w:t>
      </w:r>
      <w:r>
        <w:t>.2 RAN4 tasks</w:t>
      </w:r>
    </w:p>
    <w:p w14:paraId="74F046DB" w14:textId="7038F8C2" w:rsidR="00D22C8B" w:rsidRDefault="00D22C8B" w:rsidP="00D22C8B">
      <w:r>
        <w:t>Based the discussion in clause 2.1</w:t>
      </w:r>
      <w:r w:rsidR="00344AA1">
        <w:t>, the technical conditions are defined by WRC-23, i.e. expected EIRP mask</w:t>
      </w:r>
      <w:r w:rsidR="00691319">
        <w:t xml:space="preserve">, </w:t>
      </w:r>
      <w:r w:rsidR="00344AA1">
        <w:t xml:space="preserve">while </w:t>
      </w:r>
      <w:bookmarkStart w:id="20" w:name="OLE_LINK153"/>
      <w:bookmarkStart w:id="21" w:name="OLE_LINK154"/>
      <w:r w:rsidR="00344AA1">
        <w:t>the conformance test aspects are not discussed in ITU-R</w:t>
      </w:r>
      <w:bookmarkEnd w:id="20"/>
      <w:bookmarkEnd w:id="21"/>
      <w:r w:rsidR="00344AA1">
        <w:t xml:space="preserve">. </w:t>
      </w:r>
      <w:bookmarkStart w:id="22" w:name="OLE_LINK157"/>
      <w:bookmarkStart w:id="23" w:name="OLE_LINK158"/>
      <w:r w:rsidR="00691319">
        <w:t>i</w:t>
      </w:r>
      <w:r w:rsidR="00691319" w:rsidRPr="00691319">
        <w:t>t requests RAN4 to perform the study on the conformance test</w:t>
      </w:r>
      <w:r w:rsidR="00691319">
        <w:t xml:space="preserve"> for the newly introduced requirements</w:t>
      </w:r>
      <w:r w:rsidR="000D4FCE">
        <w:t xml:space="preserve"> and develop a harmonized specification which would be beneficial for the whole industry</w:t>
      </w:r>
      <w:bookmarkEnd w:id="22"/>
      <w:bookmarkEnd w:id="23"/>
      <w:r w:rsidR="000D4FCE">
        <w:t xml:space="preserve">. It is proposed to </w:t>
      </w:r>
      <w:r w:rsidR="00691319" w:rsidRPr="00691319">
        <w:t>include</w:t>
      </w:r>
      <w:r w:rsidR="000D4FCE">
        <w:t xml:space="preserve"> expected EIRP</w:t>
      </w:r>
      <w:r w:rsidR="00691319" w:rsidRPr="00691319">
        <w:t xml:space="preserve"> </w:t>
      </w:r>
      <w:r w:rsidR="00691319">
        <w:t xml:space="preserve">for NR band n104 </w:t>
      </w:r>
      <w:r w:rsidR="00691319" w:rsidRPr="00691319">
        <w:t>in BS RF core specification TS 38.104 and BS conformance specification TS 38.141-2.</w:t>
      </w:r>
    </w:p>
    <w:p w14:paraId="62C1A1B6" w14:textId="36CD0FDD" w:rsidR="004C3C3E" w:rsidRDefault="00195416" w:rsidP="00691319">
      <w:pPr>
        <w:numPr>
          <w:ilvl w:val="0"/>
          <w:numId w:val="18"/>
        </w:numPr>
        <w:rPr>
          <w:lang w:val="en-US"/>
        </w:rPr>
      </w:pPr>
      <w:bookmarkStart w:id="24" w:name="OLE_LINK162"/>
      <w:bookmarkStart w:id="25" w:name="OLE_LINK163"/>
      <w:r w:rsidRPr="00691319">
        <w:rPr>
          <w:lang w:val="en-US"/>
        </w:rPr>
        <w:t>Introduction of the definition and limits on expected EIRP in</w:t>
      </w:r>
      <w:r w:rsidR="00691319">
        <w:rPr>
          <w:lang w:val="en-US"/>
        </w:rPr>
        <w:t xml:space="preserve"> TS 38.104</w:t>
      </w:r>
    </w:p>
    <w:p w14:paraId="73E67157" w14:textId="2D3D1F05" w:rsidR="00691319" w:rsidRPr="00691319" w:rsidRDefault="00691319" w:rsidP="00691319">
      <w:pPr>
        <w:numPr>
          <w:ilvl w:val="0"/>
          <w:numId w:val="18"/>
        </w:numPr>
        <w:rPr>
          <w:lang w:val="en-US"/>
        </w:rPr>
      </w:pPr>
      <w:r w:rsidRPr="00691319">
        <w:t>To define the conformance test in TS 38.141-2</w:t>
      </w:r>
    </w:p>
    <w:p w14:paraId="5A2D1187" w14:textId="23B6ACD5" w:rsidR="004C3C3E" w:rsidRPr="00691319" w:rsidRDefault="00691319" w:rsidP="00691319">
      <w:pPr>
        <w:numPr>
          <w:ilvl w:val="1"/>
          <w:numId w:val="18"/>
        </w:numPr>
        <w:rPr>
          <w:lang w:val="en-US"/>
        </w:rPr>
      </w:pPr>
      <w:r>
        <w:rPr>
          <w:lang w:val="en-US"/>
        </w:rPr>
        <w:t>M</w:t>
      </w:r>
      <w:r w:rsidR="00195416" w:rsidRPr="00691319">
        <w:rPr>
          <w:lang w:val="en-US"/>
        </w:rPr>
        <w:t>easurement system set-up</w:t>
      </w:r>
    </w:p>
    <w:p w14:paraId="0E0653DE" w14:textId="325E1AF4" w:rsidR="004C3C3E" w:rsidRPr="00691319" w:rsidRDefault="00195416" w:rsidP="00691319">
      <w:pPr>
        <w:numPr>
          <w:ilvl w:val="1"/>
          <w:numId w:val="18"/>
        </w:numPr>
        <w:rPr>
          <w:lang w:val="en-US"/>
        </w:rPr>
      </w:pPr>
      <w:r w:rsidRPr="00691319">
        <w:rPr>
          <w:lang w:val="en-US"/>
        </w:rPr>
        <w:t>Test method</w:t>
      </w:r>
    </w:p>
    <w:p w14:paraId="23CC2DBD" w14:textId="77777777" w:rsidR="004C3C3E" w:rsidRPr="00691319" w:rsidRDefault="00195416" w:rsidP="00691319">
      <w:pPr>
        <w:numPr>
          <w:ilvl w:val="2"/>
          <w:numId w:val="18"/>
        </w:numPr>
        <w:rPr>
          <w:lang w:val="en-US"/>
        </w:rPr>
      </w:pPr>
      <w:r w:rsidRPr="00691319">
        <w:rPr>
          <w:lang w:val="en-US"/>
        </w:rPr>
        <w:t xml:space="preserve">define the tested beam directions  </w:t>
      </w:r>
    </w:p>
    <w:p w14:paraId="6B036713" w14:textId="77777777" w:rsidR="004C3C3E" w:rsidRPr="00691319" w:rsidRDefault="00195416" w:rsidP="00691319">
      <w:pPr>
        <w:numPr>
          <w:ilvl w:val="2"/>
          <w:numId w:val="18"/>
        </w:numPr>
        <w:rPr>
          <w:lang w:val="en-US"/>
        </w:rPr>
      </w:pPr>
      <w:r w:rsidRPr="00691319">
        <w:rPr>
          <w:rFonts w:hint="eastAsia"/>
          <w:lang w:val="en-US"/>
        </w:rPr>
        <w:t xml:space="preserve">define </w:t>
      </w:r>
      <w:r w:rsidRPr="00691319">
        <w:rPr>
          <w:lang w:val="en-US"/>
        </w:rPr>
        <w:t>the measured points at upper hemisphere</w:t>
      </w:r>
    </w:p>
    <w:p w14:paraId="7C9645AD" w14:textId="4997297F" w:rsidR="004C3C3E" w:rsidRPr="00691319" w:rsidRDefault="00195416" w:rsidP="00691319">
      <w:pPr>
        <w:numPr>
          <w:ilvl w:val="2"/>
          <w:numId w:val="18"/>
        </w:numPr>
        <w:rPr>
          <w:lang w:val="en-US"/>
        </w:rPr>
      </w:pPr>
      <w:r w:rsidRPr="00691319">
        <w:rPr>
          <w:lang w:val="en-US"/>
        </w:rPr>
        <w:t>Manufacturer declarations</w:t>
      </w:r>
    </w:p>
    <w:p w14:paraId="1948019F" w14:textId="6BE38FCF" w:rsidR="00691319" w:rsidRPr="00691319" w:rsidRDefault="00195416" w:rsidP="00CB00D6">
      <w:pPr>
        <w:numPr>
          <w:ilvl w:val="1"/>
          <w:numId w:val="18"/>
        </w:numPr>
        <w:rPr>
          <w:lang w:val="en-US"/>
        </w:rPr>
      </w:pPr>
      <w:r w:rsidRPr="00691319">
        <w:rPr>
          <w:lang w:val="en-US"/>
        </w:rPr>
        <w:t>Measurement uncertainty</w:t>
      </w:r>
    </w:p>
    <w:bookmarkEnd w:id="24"/>
    <w:bookmarkEnd w:id="25"/>
    <w:p w14:paraId="29390F43" w14:textId="31871375" w:rsidR="00014237" w:rsidRPr="00D22C8B" w:rsidRDefault="00014237" w:rsidP="00014237">
      <w:pPr>
        <w:pStyle w:val="10"/>
        <w:rPr>
          <w:rFonts w:cs="Arial"/>
        </w:rPr>
      </w:pPr>
      <w:r w:rsidRPr="00D22C8B">
        <w:rPr>
          <w:rFonts w:cs="Arial"/>
        </w:rPr>
        <w:lastRenderedPageBreak/>
        <w:t>3</w:t>
      </w:r>
      <w:r w:rsidR="00D22C8B">
        <w:rPr>
          <w:rFonts w:cs="Arial"/>
        </w:rPr>
        <w:t xml:space="preserve"> </w:t>
      </w:r>
      <w:r w:rsidR="000D4FCE">
        <w:rPr>
          <w:rFonts w:cs="Arial"/>
        </w:rPr>
        <w:t>Conclusion</w:t>
      </w:r>
    </w:p>
    <w:p w14:paraId="3EC082DD" w14:textId="35CE3470" w:rsidR="000D4FCE" w:rsidRPr="00F609B5" w:rsidRDefault="000D4FCE" w:rsidP="000D4FCE">
      <w:r>
        <w:t xml:space="preserve">In this contribution we present some background, WRC-23 outcome, and potential Rel-19 WI objectives for the </w:t>
      </w:r>
      <w:r w:rsidR="00605503">
        <w:t>new regulatory requirement</w:t>
      </w:r>
      <w:r>
        <w:t>.</w:t>
      </w:r>
    </w:p>
    <w:p w14:paraId="1F9F33B5" w14:textId="77777777" w:rsidR="00035E7D" w:rsidRPr="00883F32" w:rsidRDefault="00035E7D" w:rsidP="000D380F">
      <w:pPr>
        <w:pStyle w:val="10"/>
        <w:pBdr>
          <w:top w:val="single" w:sz="12" w:space="0" w:color="auto"/>
        </w:pBdr>
        <w:ind w:left="0" w:firstLine="0"/>
        <w:rPr>
          <w:rFonts w:eastAsia="Arial" w:cs="Arial"/>
        </w:rPr>
      </w:pPr>
      <w:r w:rsidRPr="00883F32">
        <w:rPr>
          <w:rFonts w:cs="Arial"/>
        </w:rPr>
        <w:t>References</w:t>
      </w:r>
    </w:p>
    <w:p w14:paraId="6E726006" w14:textId="688076A1" w:rsidR="007A2A46" w:rsidRDefault="007B3C01" w:rsidP="00F609B5">
      <w:bookmarkStart w:id="26" w:name="OLE_LINK146"/>
      <w:bookmarkStart w:id="27" w:name="OLE_LINK147"/>
      <w:r w:rsidRPr="00FE0BBB">
        <w:t xml:space="preserve">[1] </w:t>
      </w:r>
      <w:bookmarkEnd w:id="26"/>
      <w:bookmarkEnd w:id="27"/>
      <w:r w:rsidR="00F609B5" w:rsidRPr="00F609B5">
        <w:t>RP-233918</w:t>
      </w:r>
      <w:r w:rsidR="00F609B5">
        <w:t>, “</w:t>
      </w:r>
      <w:r w:rsidR="00F609B5" w:rsidRPr="00F609B5">
        <w:t xml:space="preserve">Moderator's summary </w:t>
      </w:r>
      <w:bookmarkStart w:id="28" w:name="OLE_LINK101"/>
      <w:r w:rsidR="00F609B5" w:rsidRPr="00F609B5">
        <w:t>for RAN4 Candidate RF/OTA Topics for Rel-19</w:t>
      </w:r>
      <w:bookmarkEnd w:id="28"/>
      <w:r w:rsidR="00F609B5">
        <w:t xml:space="preserve">”, </w:t>
      </w:r>
      <w:r w:rsidR="00F609B5" w:rsidRPr="00F609B5">
        <w:t>RAN4 chair (Huawei)</w:t>
      </w:r>
    </w:p>
    <w:p w14:paraId="2353F63A" w14:textId="4FC20D24" w:rsidR="00605503" w:rsidRPr="00014237" w:rsidRDefault="00605503" w:rsidP="00F609B5">
      <w:pPr>
        <w:rPr>
          <w:lang w:val="en-US"/>
        </w:rPr>
      </w:pPr>
      <w:r w:rsidRPr="00FE0BBB">
        <w:t>[</w:t>
      </w:r>
      <w:r>
        <w:t>2</w:t>
      </w:r>
      <w:r w:rsidRPr="00FE0BBB">
        <w:t xml:space="preserve">] </w:t>
      </w:r>
      <w:bookmarkStart w:id="29" w:name="OLE_LINK159"/>
      <w:bookmarkStart w:id="30" w:name="OLE_LINK160"/>
      <w:r w:rsidRPr="00605503">
        <w:rPr>
          <w:lang w:val="en-US"/>
        </w:rPr>
        <w:t>WRC-23 Provisional Fi</w:t>
      </w:r>
      <w:proofErr w:type="spellStart"/>
      <w:r w:rsidRPr="00605503">
        <w:t>nal</w:t>
      </w:r>
      <w:proofErr w:type="spellEnd"/>
      <w:r w:rsidRPr="00605503">
        <w:t xml:space="preserve"> Acts</w:t>
      </w:r>
      <w:bookmarkEnd w:id="29"/>
      <w:bookmarkEnd w:id="30"/>
      <w:r>
        <w:t xml:space="preserve">, </w:t>
      </w:r>
      <w:bookmarkStart w:id="31" w:name="OLE_LINK148"/>
      <w:bookmarkStart w:id="32" w:name="OLE_LINK161"/>
      <w:r w:rsidR="003B3311" w:rsidRPr="003B3311">
        <w:t>https://www.itu.int/dms_pub/itu-r/opb/act/R-ACT-WRC.15-2023-PDF-E.pdf</w:t>
      </w:r>
      <w:bookmarkEnd w:id="31"/>
      <w:bookmarkEnd w:id="32"/>
    </w:p>
    <w:sectPr w:rsidR="00605503" w:rsidRPr="00014237"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14F37" w14:textId="77777777" w:rsidR="008B7586" w:rsidRDefault="008B7586">
      <w:r>
        <w:separator/>
      </w:r>
    </w:p>
  </w:endnote>
  <w:endnote w:type="continuationSeparator" w:id="0">
    <w:p w14:paraId="43F9296E" w14:textId="77777777" w:rsidR="008B7586" w:rsidRDefault="008B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1983C" w14:textId="77777777" w:rsidR="008B7586" w:rsidRDefault="008B7586">
      <w:r>
        <w:separator/>
      </w:r>
    </w:p>
  </w:footnote>
  <w:footnote w:type="continuationSeparator" w:id="0">
    <w:p w14:paraId="744D5E28" w14:textId="77777777" w:rsidR="008B7586" w:rsidRDefault="008B7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45079D"/>
    <w:multiLevelType w:val="hybridMultilevel"/>
    <w:tmpl w:val="9B6E4EC2"/>
    <w:lvl w:ilvl="0" w:tplc="CE9CC3C2">
      <w:start w:val="1"/>
      <w:numFmt w:val="bullet"/>
      <w:lvlText w:val=""/>
      <w:lvlJc w:val="left"/>
      <w:pPr>
        <w:tabs>
          <w:tab w:val="num" w:pos="720"/>
        </w:tabs>
        <w:ind w:left="720" w:hanging="360"/>
      </w:pPr>
      <w:rPr>
        <w:rFonts w:ascii="Wingdings" w:hAnsi="Wingdings" w:hint="default"/>
      </w:rPr>
    </w:lvl>
    <w:lvl w:ilvl="1" w:tplc="6B48300A">
      <w:start w:val="1"/>
      <w:numFmt w:val="bullet"/>
      <w:lvlText w:val=""/>
      <w:lvlJc w:val="left"/>
      <w:pPr>
        <w:tabs>
          <w:tab w:val="num" w:pos="1440"/>
        </w:tabs>
        <w:ind w:left="1440" w:hanging="360"/>
      </w:pPr>
      <w:rPr>
        <w:rFonts w:ascii="Wingdings" w:hAnsi="Wingdings" w:hint="default"/>
      </w:rPr>
    </w:lvl>
    <w:lvl w:ilvl="2" w:tplc="447E2C1A">
      <w:numFmt w:val="bullet"/>
      <w:lvlText w:val=""/>
      <w:lvlJc w:val="left"/>
      <w:pPr>
        <w:tabs>
          <w:tab w:val="num" w:pos="2160"/>
        </w:tabs>
        <w:ind w:left="2160" w:hanging="360"/>
      </w:pPr>
      <w:rPr>
        <w:rFonts w:ascii="Wingdings" w:hAnsi="Wingdings" w:hint="default"/>
      </w:rPr>
    </w:lvl>
    <w:lvl w:ilvl="3" w:tplc="3A6CA6D2" w:tentative="1">
      <w:start w:val="1"/>
      <w:numFmt w:val="bullet"/>
      <w:lvlText w:val=""/>
      <w:lvlJc w:val="left"/>
      <w:pPr>
        <w:tabs>
          <w:tab w:val="num" w:pos="2880"/>
        </w:tabs>
        <w:ind w:left="2880" w:hanging="360"/>
      </w:pPr>
      <w:rPr>
        <w:rFonts w:ascii="Wingdings" w:hAnsi="Wingdings" w:hint="default"/>
      </w:rPr>
    </w:lvl>
    <w:lvl w:ilvl="4" w:tplc="32369884" w:tentative="1">
      <w:start w:val="1"/>
      <w:numFmt w:val="bullet"/>
      <w:lvlText w:val=""/>
      <w:lvlJc w:val="left"/>
      <w:pPr>
        <w:tabs>
          <w:tab w:val="num" w:pos="3600"/>
        </w:tabs>
        <w:ind w:left="3600" w:hanging="360"/>
      </w:pPr>
      <w:rPr>
        <w:rFonts w:ascii="Wingdings" w:hAnsi="Wingdings" w:hint="default"/>
      </w:rPr>
    </w:lvl>
    <w:lvl w:ilvl="5" w:tplc="956E2886" w:tentative="1">
      <w:start w:val="1"/>
      <w:numFmt w:val="bullet"/>
      <w:lvlText w:val=""/>
      <w:lvlJc w:val="left"/>
      <w:pPr>
        <w:tabs>
          <w:tab w:val="num" w:pos="4320"/>
        </w:tabs>
        <w:ind w:left="4320" w:hanging="360"/>
      </w:pPr>
      <w:rPr>
        <w:rFonts w:ascii="Wingdings" w:hAnsi="Wingdings" w:hint="default"/>
      </w:rPr>
    </w:lvl>
    <w:lvl w:ilvl="6" w:tplc="E5269864" w:tentative="1">
      <w:start w:val="1"/>
      <w:numFmt w:val="bullet"/>
      <w:lvlText w:val=""/>
      <w:lvlJc w:val="left"/>
      <w:pPr>
        <w:tabs>
          <w:tab w:val="num" w:pos="5040"/>
        </w:tabs>
        <w:ind w:left="5040" w:hanging="360"/>
      </w:pPr>
      <w:rPr>
        <w:rFonts w:ascii="Wingdings" w:hAnsi="Wingdings" w:hint="default"/>
      </w:rPr>
    </w:lvl>
    <w:lvl w:ilvl="7" w:tplc="C4F22D5E" w:tentative="1">
      <w:start w:val="1"/>
      <w:numFmt w:val="bullet"/>
      <w:lvlText w:val=""/>
      <w:lvlJc w:val="left"/>
      <w:pPr>
        <w:tabs>
          <w:tab w:val="num" w:pos="5760"/>
        </w:tabs>
        <w:ind w:left="5760" w:hanging="360"/>
      </w:pPr>
      <w:rPr>
        <w:rFonts w:ascii="Wingdings" w:hAnsi="Wingdings" w:hint="default"/>
      </w:rPr>
    </w:lvl>
    <w:lvl w:ilvl="8" w:tplc="C158DBC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85903"/>
    <w:multiLevelType w:val="hybridMultilevel"/>
    <w:tmpl w:val="30D0FD96"/>
    <w:lvl w:ilvl="0" w:tplc="0908E294">
      <w:start w:val="1"/>
      <w:numFmt w:val="bullet"/>
      <w:lvlText w:val=""/>
      <w:lvlJc w:val="left"/>
      <w:pPr>
        <w:tabs>
          <w:tab w:val="num" w:pos="720"/>
        </w:tabs>
        <w:ind w:left="720" w:hanging="360"/>
      </w:pPr>
      <w:rPr>
        <w:rFonts w:ascii="Wingdings" w:hAnsi="Wingdings" w:hint="default"/>
      </w:rPr>
    </w:lvl>
    <w:lvl w:ilvl="1" w:tplc="D0F851B2" w:tentative="1">
      <w:start w:val="1"/>
      <w:numFmt w:val="bullet"/>
      <w:lvlText w:val=""/>
      <w:lvlJc w:val="left"/>
      <w:pPr>
        <w:tabs>
          <w:tab w:val="num" w:pos="1440"/>
        </w:tabs>
        <w:ind w:left="1440" w:hanging="360"/>
      </w:pPr>
      <w:rPr>
        <w:rFonts w:ascii="Wingdings" w:hAnsi="Wingdings" w:hint="default"/>
      </w:rPr>
    </w:lvl>
    <w:lvl w:ilvl="2" w:tplc="6D18B6F2" w:tentative="1">
      <w:start w:val="1"/>
      <w:numFmt w:val="bullet"/>
      <w:lvlText w:val=""/>
      <w:lvlJc w:val="left"/>
      <w:pPr>
        <w:tabs>
          <w:tab w:val="num" w:pos="2160"/>
        </w:tabs>
        <w:ind w:left="2160" w:hanging="360"/>
      </w:pPr>
      <w:rPr>
        <w:rFonts w:ascii="Wingdings" w:hAnsi="Wingdings" w:hint="default"/>
      </w:rPr>
    </w:lvl>
    <w:lvl w:ilvl="3" w:tplc="1092FBE0" w:tentative="1">
      <w:start w:val="1"/>
      <w:numFmt w:val="bullet"/>
      <w:lvlText w:val=""/>
      <w:lvlJc w:val="left"/>
      <w:pPr>
        <w:tabs>
          <w:tab w:val="num" w:pos="2880"/>
        </w:tabs>
        <w:ind w:left="2880" w:hanging="360"/>
      </w:pPr>
      <w:rPr>
        <w:rFonts w:ascii="Wingdings" w:hAnsi="Wingdings" w:hint="default"/>
      </w:rPr>
    </w:lvl>
    <w:lvl w:ilvl="4" w:tplc="519658CC" w:tentative="1">
      <w:start w:val="1"/>
      <w:numFmt w:val="bullet"/>
      <w:lvlText w:val=""/>
      <w:lvlJc w:val="left"/>
      <w:pPr>
        <w:tabs>
          <w:tab w:val="num" w:pos="3600"/>
        </w:tabs>
        <w:ind w:left="3600" w:hanging="360"/>
      </w:pPr>
      <w:rPr>
        <w:rFonts w:ascii="Wingdings" w:hAnsi="Wingdings" w:hint="default"/>
      </w:rPr>
    </w:lvl>
    <w:lvl w:ilvl="5" w:tplc="DB000B80" w:tentative="1">
      <w:start w:val="1"/>
      <w:numFmt w:val="bullet"/>
      <w:lvlText w:val=""/>
      <w:lvlJc w:val="left"/>
      <w:pPr>
        <w:tabs>
          <w:tab w:val="num" w:pos="4320"/>
        </w:tabs>
        <w:ind w:left="4320" w:hanging="360"/>
      </w:pPr>
      <w:rPr>
        <w:rFonts w:ascii="Wingdings" w:hAnsi="Wingdings" w:hint="default"/>
      </w:rPr>
    </w:lvl>
    <w:lvl w:ilvl="6" w:tplc="9A8C5760" w:tentative="1">
      <w:start w:val="1"/>
      <w:numFmt w:val="bullet"/>
      <w:lvlText w:val=""/>
      <w:lvlJc w:val="left"/>
      <w:pPr>
        <w:tabs>
          <w:tab w:val="num" w:pos="5040"/>
        </w:tabs>
        <w:ind w:left="5040" w:hanging="360"/>
      </w:pPr>
      <w:rPr>
        <w:rFonts w:ascii="Wingdings" w:hAnsi="Wingdings" w:hint="default"/>
      </w:rPr>
    </w:lvl>
    <w:lvl w:ilvl="7" w:tplc="9488B0E6" w:tentative="1">
      <w:start w:val="1"/>
      <w:numFmt w:val="bullet"/>
      <w:lvlText w:val=""/>
      <w:lvlJc w:val="left"/>
      <w:pPr>
        <w:tabs>
          <w:tab w:val="num" w:pos="5760"/>
        </w:tabs>
        <w:ind w:left="5760" w:hanging="360"/>
      </w:pPr>
      <w:rPr>
        <w:rFonts w:ascii="Wingdings" w:hAnsi="Wingdings" w:hint="default"/>
      </w:rPr>
    </w:lvl>
    <w:lvl w:ilvl="8" w:tplc="199CEAB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2" w15:restartNumberingAfterBreak="0">
    <w:nsid w:val="4E2C2B76"/>
    <w:multiLevelType w:val="hybridMultilevel"/>
    <w:tmpl w:val="04EAFF8A"/>
    <w:lvl w:ilvl="0" w:tplc="E85A85A8">
      <w:start w:val="1"/>
      <w:numFmt w:val="bullet"/>
      <w:lvlText w:val="•"/>
      <w:lvlJc w:val="left"/>
      <w:pPr>
        <w:tabs>
          <w:tab w:val="num" w:pos="720"/>
        </w:tabs>
        <w:ind w:left="720" w:hanging="360"/>
      </w:pPr>
      <w:rPr>
        <w:rFonts w:ascii="宋体" w:hAnsi="宋体" w:hint="default"/>
      </w:rPr>
    </w:lvl>
    <w:lvl w:ilvl="1" w:tplc="12965918">
      <w:start w:val="1"/>
      <w:numFmt w:val="bullet"/>
      <w:lvlText w:val="•"/>
      <w:lvlJc w:val="left"/>
      <w:pPr>
        <w:tabs>
          <w:tab w:val="num" w:pos="1440"/>
        </w:tabs>
        <w:ind w:left="1440" w:hanging="360"/>
      </w:pPr>
      <w:rPr>
        <w:rFonts w:ascii="宋体" w:hAnsi="宋体" w:hint="default"/>
      </w:rPr>
    </w:lvl>
    <w:lvl w:ilvl="2" w:tplc="685AAD76">
      <w:start w:val="1"/>
      <w:numFmt w:val="bullet"/>
      <w:lvlText w:val="•"/>
      <w:lvlJc w:val="left"/>
      <w:pPr>
        <w:tabs>
          <w:tab w:val="num" w:pos="2160"/>
        </w:tabs>
        <w:ind w:left="2160" w:hanging="360"/>
      </w:pPr>
      <w:rPr>
        <w:rFonts w:ascii="宋体" w:hAnsi="宋体" w:hint="default"/>
      </w:rPr>
    </w:lvl>
    <w:lvl w:ilvl="3" w:tplc="0DEC686C" w:tentative="1">
      <w:start w:val="1"/>
      <w:numFmt w:val="bullet"/>
      <w:lvlText w:val="•"/>
      <w:lvlJc w:val="left"/>
      <w:pPr>
        <w:tabs>
          <w:tab w:val="num" w:pos="2880"/>
        </w:tabs>
        <w:ind w:left="2880" w:hanging="360"/>
      </w:pPr>
      <w:rPr>
        <w:rFonts w:ascii="宋体" w:hAnsi="宋体" w:hint="default"/>
      </w:rPr>
    </w:lvl>
    <w:lvl w:ilvl="4" w:tplc="72DA92FE" w:tentative="1">
      <w:start w:val="1"/>
      <w:numFmt w:val="bullet"/>
      <w:lvlText w:val="•"/>
      <w:lvlJc w:val="left"/>
      <w:pPr>
        <w:tabs>
          <w:tab w:val="num" w:pos="3600"/>
        </w:tabs>
        <w:ind w:left="3600" w:hanging="360"/>
      </w:pPr>
      <w:rPr>
        <w:rFonts w:ascii="宋体" w:hAnsi="宋体" w:hint="default"/>
      </w:rPr>
    </w:lvl>
    <w:lvl w:ilvl="5" w:tplc="7DEA1056" w:tentative="1">
      <w:start w:val="1"/>
      <w:numFmt w:val="bullet"/>
      <w:lvlText w:val="•"/>
      <w:lvlJc w:val="left"/>
      <w:pPr>
        <w:tabs>
          <w:tab w:val="num" w:pos="4320"/>
        </w:tabs>
        <w:ind w:left="4320" w:hanging="360"/>
      </w:pPr>
      <w:rPr>
        <w:rFonts w:ascii="宋体" w:hAnsi="宋体" w:hint="default"/>
      </w:rPr>
    </w:lvl>
    <w:lvl w:ilvl="6" w:tplc="2C32F546" w:tentative="1">
      <w:start w:val="1"/>
      <w:numFmt w:val="bullet"/>
      <w:lvlText w:val="•"/>
      <w:lvlJc w:val="left"/>
      <w:pPr>
        <w:tabs>
          <w:tab w:val="num" w:pos="5040"/>
        </w:tabs>
        <w:ind w:left="5040" w:hanging="360"/>
      </w:pPr>
      <w:rPr>
        <w:rFonts w:ascii="宋体" w:hAnsi="宋体" w:hint="default"/>
      </w:rPr>
    </w:lvl>
    <w:lvl w:ilvl="7" w:tplc="385ECEDC" w:tentative="1">
      <w:start w:val="1"/>
      <w:numFmt w:val="bullet"/>
      <w:lvlText w:val="•"/>
      <w:lvlJc w:val="left"/>
      <w:pPr>
        <w:tabs>
          <w:tab w:val="num" w:pos="5760"/>
        </w:tabs>
        <w:ind w:left="5760" w:hanging="360"/>
      </w:pPr>
      <w:rPr>
        <w:rFonts w:ascii="宋体" w:hAnsi="宋体" w:hint="default"/>
      </w:rPr>
    </w:lvl>
    <w:lvl w:ilvl="8" w:tplc="62A855C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8"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0"/>
  </w:num>
  <w:num w:numId="3">
    <w:abstractNumId w:val="17"/>
  </w:num>
  <w:num w:numId="4">
    <w:abstractNumId w:val="16"/>
  </w:num>
  <w:num w:numId="5">
    <w:abstractNumId w:val="7"/>
  </w:num>
  <w:num w:numId="6">
    <w:abstractNumId w:val="14"/>
  </w:num>
  <w:num w:numId="7">
    <w:abstractNumId w:val="19"/>
  </w:num>
  <w:num w:numId="8">
    <w:abstractNumId w:val="6"/>
  </w:num>
  <w:num w:numId="9">
    <w:abstractNumId w:val="5"/>
  </w:num>
  <w:num w:numId="10">
    <w:abstractNumId w:val="15"/>
  </w:num>
  <w:num w:numId="11">
    <w:abstractNumId w:val="8"/>
  </w:num>
  <w:num w:numId="12">
    <w:abstractNumId w:val="3"/>
  </w:num>
  <w:num w:numId="13">
    <w:abstractNumId w:val="18"/>
  </w:num>
  <w:num w:numId="14">
    <w:abstractNumId w:val="0"/>
  </w:num>
  <w:num w:numId="15">
    <w:abstractNumId w:val="13"/>
  </w:num>
  <w:num w:numId="16">
    <w:abstractNumId w:val="11"/>
  </w:num>
  <w:num w:numId="17">
    <w:abstractNumId w:val="1"/>
  </w:num>
  <w:num w:numId="18">
    <w:abstractNumId w:val="12"/>
  </w:num>
  <w:num w:numId="19">
    <w:abstractNumId w:val="2"/>
  </w:num>
  <w:num w:numId="2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F3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80F"/>
    <w:rsid w:val="000D3A33"/>
    <w:rsid w:val="000D3D14"/>
    <w:rsid w:val="000D4391"/>
    <w:rsid w:val="000D4418"/>
    <w:rsid w:val="000D4473"/>
    <w:rsid w:val="000D4A00"/>
    <w:rsid w:val="000D4FCE"/>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416"/>
    <w:rsid w:val="00195E42"/>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95"/>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4AA1"/>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14"/>
    <w:rsid w:val="003B2F85"/>
    <w:rsid w:val="003B2FD4"/>
    <w:rsid w:val="003B3311"/>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BF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3C3E"/>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503"/>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19"/>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8C8"/>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586"/>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0A25"/>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3AE"/>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1D3"/>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0D5D"/>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1B0"/>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6C54"/>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ACA"/>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2C8B"/>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0F60"/>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09B5"/>
    <w:rsid w:val="00F619E6"/>
    <w:rsid w:val="00F61EC6"/>
    <w:rsid w:val="00F62579"/>
    <w:rsid w:val="00F63C33"/>
    <w:rsid w:val="00F652AA"/>
    <w:rsid w:val="00F65B8E"/>
    <w:rsid w:val="00F65CE2"/>
    <w:rsid w:val="00F664DC"/>
    <w:rsid w:val="00F66587"/>
    <w:rsid w:val="00F666BA"/>
    <w:rsid w:val="00F66992"/>
    <w:rsid w:val="00F672BB"/>
    <w:rsid w:val="00F67472"/>
    <w:rsid w:val="00F67716"/>
    <w:rsid w:val="00F67AC3"/>
    <w:rsid w:val="00F70149"/>
    <w:rsid w:val="00F7027D"/>
    <w:rsid w:val="00F70388"/>
    <w:rsid w:val="00F703A4"/>
    <w:rsid w:val="00F70418"/>
    <w:rsid w:val="00F70540"/>
    <w:rsid w:val="00F70C6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98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E0A25"/>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character" w:styleId="afff2">
    <w:name w:val="Unresolved Mention"/>
    <w:basedOn w:val="a2"/>
    <w:uiPriority w:val="99"/>
    <w:semiHidden/>
    <w:unhideWhenUsed/>
    <w:rsid w:val="00A51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014438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16508087">
      <w:bodyDiv w:val="1"/>
      <w:marLeft w:val="0"/>
      <w:marRight w:val="0"/>
      <w:marTop w:val="0"/>
      <w:marBottom w:val="0"/>
      <w:divBdr>
        <w:top w:val="none" w:sz="0" w:space="0" w:color="auto"/>
        <w:left w:val="none" w:sz="0" w:space="0" w:color="auto"/>
        <w:bottom w:val="none" w:sz="0" w:space="0" w:color="auto"/>
        <w:right w:val="none" w:sz="0" w:space="0" w:color="auto"/>
      </w:divBdr>
    </w:div>
    <w:div w:id="7504671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2429797">
      <w:bodyDiv w:val="1"/>
      <w:marLeft w:val="0"/>
      <w:marRight w:val="0"/>
      <w:marTop w:val="0"/>
      <w:marBottom w:val="0"/>
      <w:divBdr>
        <w:top w:val="none" w:sz="0" w:space="0" w:color="auto"/>
        <w:left w:val="none" w:sz="0" w:space="0" w:color="auto"/>
        <w:bottom w:val="none" w:sz="0" w:space="0" w:color="auto"/>
        <w:right w:val="none" w:sz="0" w:space="0" w:color="auto"/>
      </w:divBdr>
      <w:divsChild>
        <w:div w:id="1448699022">
          <w:marLeft w:val="274"/>
          <w:marRight w:val="0"/>
          <w:marTop w:val="150"/>
          <w:marBottom w:val="0"/>
          <w:divBdr>
            <w:top w:val="none" w:sz="0" w:space="0" w:color="auto"/>
            <w:left w:val="none" w:sz="0" w:space="0" w:color="auto"/>
            <w:bottom w:val="none" w:sz="0" w:space="0" w:color="auto"/>
            <w:right w:val="none" w:sz="0" w:space="0" w:color="auto"/>
          </w:divBdr>
        </w:div>
      </w:divsChild>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6387733">
      <w:bodyDiv w:val="1"/>
      <w:marLeft w:val="0"/>
      <w:marRight w:val="0"/>
      <w:marTop w:val="0"/>
      <w:marBottom w:val="0"/>
      <w:divBdr>
        <w:top w:val="none" w:sz="0" w:space="0" w:color="auto"/>
        <w:left w:val="none" w:sz="0" w:space="0" w:color="auto"/>
        <w:bottom w:val="none" w:sz="0" w:space="0" w:color="auto"/>
        <w:right w:val="none" w:sz="0" w:space="0" w:color="auto"/>
      </w:divBdr>
      <w:divsChild>
        <w:div w:id="1281841119">
          <w:marLeft w:val="1166"/>
          <w:marRight w:val="0"/>
          <w:marTop w:val="77"/>
          <w:marBottom w:val="0"/>
          <w:divBdr>
            <w:top w:val="none" w:sz="0" w:space="0" w:color="auto"/>
            <w:left w:val="none" w:sz="0" w:space="0" w:color="auto"/>
            <w:bottom w:val="none" w:sz="0" w:space="0" w:color="auto"/>
            <w:right w:val="none" w:sz="0" w:space="0" w:color="auto"/>
          </w:divBdr>
        </w:div>
        <w:div w:id="1937055577">
          <w:marLeft w:val="1166"/>
          <w:marRight w:val="0"/>
          <w:marTop w:val="77"/>
          <w:marBottom w:val="0"/>
          <w:divBdr>
            <w:top w:val="none" w:sz="0" w:space="0" w:color="auto"/>
            <w:left w:val="none" w:sz="0" w:space="0" w:color="auto"/>
            <w:bottom w:val="none" w:sz="0" w:space="0" w:color="auto"/>
            <w:right w:val="none" w:sz="0" w:space="0" w:color="auto"/>
          </w:divBdr>
        </w:div>
        <w:div w:id="1884828564">
          <w:marLeft w:val="1800"/>
          <w:marRight w:val="0"/>
          <w:marTop w:val="67"/>
          <w:marBottom w:val="0"/>
          <w:divBdr>
            <w:top w:val="none" w:sz="0" w:space="0" w:color="auto"/>
            <w:left w:val="none" w:sz="0" w:space="0" w:color="auto"/>
            <w:bottom w:val="none" w:sz="0" w:space="0" w:color="auto"/>
            <w:right w:val="none" w:sz="0" w:space="0" w:color="auto"/>
          </w:divBdr>
        </w:div>
        <w:div w:id="2072658637">
          <w:marLeft w:val="1800"/>
          <w:marRight w:val="0"/>
          <w:marTop w:val="67"/>
          <w:marBottom w:val="0"/>
          <w:divBdr>
            <w:top w:val="none" w:sz="0" w:space="0" w:color="auto"/>
            <w:left w:val="none" w:sz="0" w:space="0" w:color="auto"/>
            <w:bottom w:val="none" w:sz="0" w:space="0" w:color="auto"/>
            <w:right w:val="none" w:sz="0" w:space="0" w:color="auto"/>
          </w:divBdr>
        </w:div>
        <w:div w:id="1258176564">
          <w:marLeft w:val="1800"/>
          <w:marRight w:val="0"/>
          <w:marTop w:val="67"/>
          <w:marBottom w:val="0"/>
          <w:divBdr>
            <w:top w:val="none" w:sz="0" w:space="0" w:color="auto"/>
            <w:left w:val="none" w:sz="0" w:space="0" w:color="auto"/>
            <w:bottom w:val="none" w:sz="0" w:space="0" w:color="auto"/>
            <w:right w:val="none" w:sz="0" w:space="0" w:color="auto"/>
          </w:divBdr>
        </w:div>
        <w:div w:id="681665958">
          <w:marLeft w:val="1166"/>
          <w:marRight w:val="0"/>
          <w:marTop w:val="77"/>
          <w:marBottom w:val="0"/>
          <w:divBdr>
            <w:top w:val="none" w:sz="0" w:space="0" w:color="auto"/>
            <w:left w:val="none" w:sz="0" w:space="0" w:color="auto"/>
            <w:bottom w:val="none" w:sz="0" w:space="0" w:color="auto"/>
            <w:right w:val="none" w:sz="0" w:space="0" w:color="auto"/>
          </w:divBdr>
        </w:div>
      </w:divsChild>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39933057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56551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215453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4595161">
      <w:bodyDiv w:val="1"/>
      <w:marLeft w:val="0"/>
      <w:marRight w:val="0"/>
      <w:marTop w:val="0"/>
      <w:marBottom w:val="0"/>
      <w:divBdr>
        <w:top w:val="none" w:sz="0" w:space="0" w:color="auto"/>
        <w:left w:val="none" w:sz="0" w:space="0" w:color="auto"/>
        <w:bottom w:val="none" w:sz="0" w:space="0" w:color="auto"/>
        <w:right w:val="none" w:sz="0" w:space="0" w:color="auto"/>
      </w:divBdr>
      <w:divsChild>
        <w:div w:id="344603044">
          <w:marLeft w:val="547"/>
          <w:marRight w:val="0"/>
          <w:marTop w:val="86"/>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495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B9D62-A054-40CD-BB6F-7F5E800EE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53</TotalTime>
  <Pages>3</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cp:revision>
  <cp:lastPrinted>2010-01-07T02:23:00Z</cp:lastPrinted>
  <dcterms:created xsi:type="dcterms:W3CDTF">2024-02-18T09:14:00Z</dcterms:created>
  <dcterms:modified xsi:type="dcterms:W3CDTF">2024-02-19T13:23:00Z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(3)H3RiRmds62A5IoCMeZs/5CmyD+Fv79DLFU+HsmFJEXHRnCk7ar4yOkZ8qwsdJpJxHzhjtNya
B1tNAMVUwXswmCYTTpRQFDl43aHAvjsRVJLhavkSEDxLiEYVKyyC7AKIsug981aQLnQzBMZL
jFKKNWSAAZrycqRbBDr45xtNoJx2yKYcMpmUmcWcm9KYfbGqWWczE0SO71uUGSbv1zNyfwwp
GcvoU2S9ffJIIxOMLf</vt:lpwstr>
  </property>
  <property fmtid="{D5CDD505-2E9C-101B-9397-08002B2CF9AE}" pid="15" name="_2015_ms_pID_725343_00">
    <vt:lpwstr>_2015_ms_pID_725343</vt:lpwstr>
  </property>
  <property fmtid="{D5CDD505-2E9C-101B-9397-08002B2CF9AE}" pid="16" name="_2015_ms_pID_7253431">
    <vt:lpwstr>Lcj8wmKl9dOSQNirijq6DUCtvUAYQ70q1XhV2Tyd/WK4jlRnrWqmlM
jAc/UCj+Ig4+sCEykqDDxuSq197bWRumm6L/Q7RNDb9HC36cAuNOAs63I/vsOyfGji9ajmiY
Pg/Ri3ayPjoqchqLr80XYK/FqEHio7rQVXrt2uS/ZBahYWuIWSg10MAB5W3YH5QNgbUCPESV
omC+QhlZecKkSluteMG/vXqxuEd+I8s8AGdY</vt:lpwstr>
  </property>
  <property fmtid="{D5CDD505-2E9C-101B-9397-08002B2CF9AE}" pid="17" name="_2015_ms_pID_7253431_00">
    <vt:lpwstr>_2015_ms_pID_7253431</vt:lpwstr>
  </property>
  <property fmtid="{D5CDD505-2E9C-101B-9397-08002B2CF9AE}" pid="18" name="_2015_ms_pID_7253432">
    <vt:lpwstr>WwvQ1APQN81zcQ8YQhkOxH0=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1707304481</vt:lpwstr>
  </property>
</Properties>
</file>