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44ADF" w14:textId="03692C4E" w:rsidR="00054954" w:rsidRDefault="00054954"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Title"/>
      <w:bookmarkStart w:id="1" w:name="DocumentFor"/>
      <w:bookmarkStart w:id="2" w:name="_Ref399006623"/>
      <w:bookmarkStart w:id="3" w:name="_Toc92513360"/>
      <w:bookmarkEnd w:id="0"/>
      <w:bookmarkEnd w:id="1"/>
      <w:r w:rsidRPr="00054954">
        <w:rPr>
          <w:rFonts w:ascii="Arial" w:hAnsi="Arial" w:cs="Arial"/>
          <w:b/>
          <w:sz w:val="24"/>
          <w:szCs w:val="24"/>
          <w:lang w:val="en-US"/>
        </w:rPr>
        <w:t>3GPP TSG-RA</w:t>
      </w:r>
      <w:r w:rsidR="00F44C66">
        <w:rPr>
          <w:rFonts w:ascii="Arial" w:hAnsi="Arial" w:cs="Arial"/>
          <w:b/>
          <w:sz w:val="24"/>
          <w:szCs w:val="24"/>
          <w:lang w:val="en-US"/>
        </w:rPr>
        <w:t>N WG4 Meeting # 1</w:t>
      </w:r>
      <w:r w:rsidR="0096290E">
        <w:rPr>
          <w:rFonts w:ascii="Arial" w:hAnsi="Arial" w:cs="Arial"/>
          <w:b/>
          <w:sz w:val="24"/>
          <w:szCs w:val="24"/>
          <w:lang w:val="en-US"/>
        </w:rPr>
        <w:t>10</w:t>
      </w:r>
      <w:r w:rsidR="00D43146">
        <w:rPr>
          <w:rFonts w:ascii="Arial" w:hAnsi="Arial" w:cs="Arial"/>
          <w:b/>
          <w:sz w:val="24"/>
          <w:szCs w:val="24"/>
          <w:lang w:val="en-US"/>
        </w:rPr>
        <w:t xml:space="preserve"> </w:t>
      </w:r>
      <w:r w:rsidR="00D43146">
        <w:rPr>
          <w:rFonts w:ascii="Arial" w:hAnsi="Arial" w:cs="Arial"/>
          <w:b/>
          <w:sz w:val="24"/>
          <w:szCs w:val="24"/>
          <w:lang w:val="en-US"/>
        </w:rPr>
        <w:tab/>
      </w:r>
      <w:r w:rsidR="006B1920" w:rsidRPr="006B1920">
        <w:rPr>
          <w:rFonts w:ascii="Arial" w:hAnsi="Arial" w:cs="Arial"/>
          <w:b/>
          <w:sz w:val="24"/>
          <w:szCs w:val="24"/>
          <w:lang w:val="en-US"/>
        </w:rPr>
        <w:t>R4-2402110</w:t>
      </w:r>
    </w:p>
    <w:p w14:paraId="525953A8" w14:textId="7A90D153" w:rsidR="00054954" w:rsidRPr="00F44C66" w:rsidRDefault="00E06B08"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lang w:val="en-US"/>
        </w:rPr>
        <w:t>Athens</w:t>
      </w:r>
      <w:r w:rsidR="00624FAB">
        <w:rPr>
          <w:rFonts w:ascii="Arial" w:hAnsi="Arial" w:cs="Arial"/>
          <w:b/>
          <w:sz w:val="24"/>
          <w:szCs w:val="24"/>
          <w:lang w:val="en-US"/>
        </w:rPr>
        <w:t xml:space="preserve">, </w:t>
      </w:r>
      <w:r>
        <w:rPr>
          <w:rFonts w:ascii="Arial" w:hAnsi="Arial" w:cs="Arial"/>
          <w:b/>
          <w:sz w:val="24"/>
          <w:szCs w:val="24"/>
          <w:lang w:val="en-US"/>
        </w:rPr>
        <w:t>Greece</w:t>
      </w:r>
      <w:r w:rsidR="00054954" w:rsidRPr="00054954">
        <w:rPr>
          <w:rFonts w:ascii="Arial" w:hAnsi="Arial" w:cs="Arial"/>
          <w:b/>
          <w:sz w:val="24"/>
          <w:szCs w:val="24"/>
          <w:lang w:val="en-US"/>
        </w:rPr>
        <w:t xml:space="preserve">, </w:t>
      </w:r>
      <w:r>
        <w:rPr>
          <w:rFonts w:ascii="Arial" w:hAnsi="Arial" w:cs="Arial"/>
          <w:b/>
          <w:sz w:val="24"/>
          <w:szCs w:val="24"/>
          <w:lang w:val="en-US"/>
        </w:rPr>
        <w:t>February</w:t>
      </w:r>
      <w:r w:rsidR="00624FAB">
        <w:rPr>
          <w:rFonts w:ascii="Arial" w:hAnsi="Arial" w:cs="Arial"/>
          <w:b/>
          <w:sz w:val="24"/>
          <w:szCs w:val="24"/>
        </w:rPr>
        <w:t xml:space="preserve"> </w:t>
      </w:r>
      <w:r>
        <w:rPr>
          <w:rFonts w:ascii="Arial" w:hAnsi="Arial" w:cs="Arial"/>
          <w:b/>
          <w:sz w:val="24"/>
          <w:szCs w:val="24"/>
        </w:rPr>
        <w:t>26</w:t>
      </w:r>
      <w:r w:rsidR="00F44C66" w:rsidRPr="00E13633">
        <w:rPr>
          <w:rFonts w:ascii="Arial" w:hAnsi="Arial" w:cs="Arial"/>
          <w:b/>
          <w:sz w:val="24"/>
          <w:szCs w:val="24"/>
        </w:rPr>
        <w:t xml:space="preserve"> – </w:t>
      </w:r>
      <w:r>
        <w:rPr>
          <w:rFonts w:ascii="Arial" w:hAnsi="Arial" w:cs="Arial"/>
          <w:b/>
          <w:sz w:val="24"/>
          <w:szCs w:val="24"/>
        </w:rPr>
        <w:t>March 01</w:t>
      </w:r>
      <w:r w:rsidR="00F44C66" w:rsidRPr="00E13633">
        <w:rPr>
          <w:rFonts w:ascii="Arial" w:hAnsi="Arial" w:cs="Arial"/>
          <w:b/>
          <w:sz w:val="24"/>
          <w:szCs w:val="24"/>
        </w:rPr>
        <w:t>, 202</w:t>
      </w:r>
      <w:r>
        <w:rPr>
          <w:rFonts w:ascii="Arial" w:hAnsi="Arial" w:cs="Arial"/>
          <w:b/>
          <w:sz w:val="24"/>
          <w:szCs w:val="24"/>
        </w:rPr>
        <w:t>4</w:t>
      </w:r>
    </w:p>
    <w:p w14:paraId="47EB3D9B" w14:textId="77777777" w:rsidR="00675C27" w:rsidRDefault="00675C27" w:rsidP="00675C27">
      <w:pPr>
        <w:tabs>
          <w:tab w:val="left" w:pos="1985"/>
        </w:tabs>
        <w:spacing w:after="100" w:afterAutospacing="1"/>
        <w:jc w:val="both"/>
        <w:rPr>
          <w:rFonts w:ascii="Arial" w:eastAsia="Symbol" w:hAnsi="Arial" w:cs="Arial"/>
          <w:noProof/>
          <w:sz w:val="24"/>
        </w:rPr>
      </w:pPr>
    </w:p>
    <w:p w14:paraId="26A73A87" w14:textId="156CA383"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Pr="00883F32">
        <w:rPr>
          <w:rFonts w:ascii="Arial" w:hAnsi="Arial" w:cs="Arial"/>
          <w:sz w:val="22"/>
        </w:rPr>
        <w:t>Huawei</w:t>
      </w:r>
    </w:p>
    <w:p w14:paraId="787D1100" w14:textId="43C9A2E4"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7361F5" w:rsidRPr="007361F5">
        <w:rPr>
          <w:rFonts w:ascii="Arial" w:hAnsi="Arial" w:cs="Arial"/>
          <w:sz w:val="22"/>
        </w:rPr>
        <w:t>(NR_IAB) Discussion on IAB-MT scaling</w:t>
      </w:r>
    </w:p>
    <w:p w14:paraId="71022389" w14:textId="47E7266D"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7361F5">
        <w:rPr>
          <w:rFonts w:ascii="Arial" w:eastAsia="Symbol" w:hAnsi="Arial" w:cs="Arial"/>
          <w:sz w:val="22"/>
        </w:rPr>
        <w:t>4.2</w:t>
      </w:r>
    </w:p>
    <w:p w14:paraId="7A1A2664" w14:textId="6EB588FA"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96290E">
        <w:rPr>
          <w:rFonts w:ascii="Arial" w:eastAsia="Symbol" w:hAnsi="Arial" w:cs="Arial"/>
          <w:sz w:val="22"/>
        </w:rPr>
        <w:t>Discussion</w:t>
      </w:r>
    </w:p>
    <w:bookmarkEnd w:id="2"/>
    <w:bookmarkEnd w:id="3"/>
    <w:p w14:paraId="583FD29F" w14:textId="77777777" w:rsidR="00FC0076" w:rsidRPr="00883F32" w:rsidRDefault="00D43146" w:rsidP="00FD61B3">
      <w:pPr>
        <w:pStyle w:val="10"/>
        <w:rPr>
          <w:rFonts w:cs="Arial"/>
        </w:rPr>
      </w:pPr>
      <w:r>
        <w:rPr>
          <w:rFonts w:cs="Arial"/>
        </w:rPr>
        <w:t xml:space="preserve">1 </w:t>
      </w:r>
      <w:r w:rsidR="00FD61B3" w:rsidRPr="00883F32">
        <w:rPr>
          <w:rFonts w:cs="Arial"/>
        </w:rPr>
        <w:t>Introduction</w:t>
      </w:r>
    </w:p>
    <w:p w14:paraId="1F36A2EF" w14:textId="38A2C249" w:rsidR="006738DC" w:rsidRPr="0096290E" w:rsidRDefault="0096290E" w:rsidP="0096290E">
      <w:pPr>
        <w:overflowPunct/>
        <w:autoSpaceDE/>
        <w:autoSpaceDN/>
        <w:adjustRightInd/>
        <w:spacing w:after="120" w:line="276" w:lineRule="auto"/>
        <w:textAlignment w:val="auto"/>
        <w:rPr>
          <w:rFonts w:eastAsiaTheme="minorEastAsia"/>
        </w:rPr>
      </w:pPr>
      <w:r w:rsidRPr="0096290E">
        <w:rPr>
          <w:rFonts w:eastAsiaTheme="minorEastAsia"/>
        </w:rPr>
        <w:t>In the last few meetings the issue with IAB-</w:t>
      </w:r>
      <w:r>
        <w:rPr>
          <w:rFonts w:eastAsiaTheme="minorEastAsia"/>
        </w:rPr>
        <w:t>MT type 1-O</w:t>
      </w:r>
      <w:r w:rsidRPr="0096290E">
        <w:rPr>
          <w:rFonts w:eastAsiaTheme="minorEastAsia"/>
        </w:rPr>
        <w:t xml:space="preserve"> scaling has been raised and potential solutions discussed. </w:t>
      </w:r>
      <w:r>
        <w:rPr>
          <w:rFonts w:eastAsiaTheme="minorEastAsia"/>
        </w:rPr>
        <w:t>The existing proposed solution has been partially implemented however the change and its implications require further clarification and also require implementing in the conformance specification.</w:t>
      </w:r>
    </w:p>
    <w:p w14:paraId="17AB3C57" w14:textId="24C83306" w:rsidR="006738DC" w:rsidRPr="001A1825" w:rsidRDefault="0096290E" w:rsidP="00984DCE">
      <w:pPr>
        <w:rPr>
          <w:lang w:val="en-US"/>
        </w:rPr>
      </w:pPr>
      <w:r>
        <w:rPr>
          <w:lang w:val="en-US"/>
        </w:rPr>
        <w:t>In this paper we list the issues with the current text implementation and suggest methods of applying the updates to the other specifications.</w:t>
      </w:r>
    </w:p>
    <w:p w14:paraId="0636B00D" w14:textId="3C2D8E19" w:rsidR="002D0FAC" w:rsidRDefault="00D43146" w:rsidP="002D0FAC">
      <w:pPr>
        <w:pStyle w:val="10"/>
        <w:rPr>
          <w:rFonts w:cs="Arial"/>
        </w:rPr>
      </w:pPr>
      <w:r>
        <w:rPr>
          <w:rFonts w:cs="Arial"/>
        </w:rPr>
        <w:t xml:space="preserve">2 </w:t>
      </w:r>
      <w:r w:rsidR="009A65B2">
        <w:rPr>
          <w:rFonts w:cs="Arial"/>
        </w:rPr>
        <w:t>Discussion</w:t>
      </w:r>
    </w:p>
    <w:p w14:paraId="3F6A777F" w14:textId="190694AA" w:rsidR="0003263F" w:rsidRDefault="009A65B2" w:rsidP="0003263F">
      <w:pPr>
        <w:pStyle w:val="2"/>
      </w:pPr>
      <w:r>
        <w:t>2</w:t>
      </w:r>
      <w:r w:rsidR="0003263F">
        <w:t>.</w:t>
      </w:r>
      <w:r>
        <w:t>1</w:t>
      </w:r>
      <w:r w:rsidR="0003263F" w:rsidRPr="004D3578">
        <w:tab/>
      </w:r>
      <w:r>
        <w:t>Core specification 38.174</w:t>
      </w:r>
    </w:p>
    <w:p w14:paraId="51DA3C82" w14:textId="03D98135" w:rsidR="0096290E" w:rsidRDefault="0096290E" w:rsidP="0096290E">
      <w:r>
        <w:t>There have been 2 potential solutions to the scaling issue with IAB-MT type 1-O proposed:</w:t>
      </w:r>
    </w:p>
    <w:p w14:paraId="08286E73" w14:textId="2A7FC245" w:rsidR="0096290E" w:rsidRDefault="0096290E" w:rsidP="0096290E">
      <w:pPr>
        <w:pStyle w:val="afff0"/>
        <w:numPr>
          <w:ilvl w:val="0"/>
          <w:numId w:val="11"/>
        </w:numPr>
        <w:ind w:firstLineChars="0"/>
      </w:pPr>
      <w:r>
        <w:t>Declaring the number of active transceivers</w:t>
      </w:r>
    </w:p>
    <w:p w14:paraId="1AAC8798" w14:textId="024C9781" w:rsidR="0096290E" w:rsidRDefault="0096290E" w:rsidP="0096290E">
      <w:pPr>
        <w:pStyle w:val="afff0"/>
        <w:numPr>
          <w:ilvl w:val="0"/>
          <w:numId w:val="11"/>
        </w:numPr>
        <w:ind w:firstLineChars="0"/>
      </w:pPr>
      <w:r>
        <w:t>Restricting the min number of TRX for type 1-O to 8 and use as fixed scaling factor (like the IAB-DU and BS)</w:t>
      </w:r>
    </w:p>
    <w:p w14:paraId="4F5CD973" w14:textId="11BC605F" w:rsidR="0096290E" w:rsidRDefault="0096290E" w:rsidP="0096290E">
      <w:pPr>
        <w:ind w:left="280"/>
      </w:pPr>
      <w:r>
        <w:t>The 1</w:t>
      </w:r>
      <w:r w:rsidRPr="0096290E">
        <w:rPr>
          <w:vertAlign w:val="superscript"/>
        </w:rPr>
        <w:t>st</w:t>
      </w:r>
      <w:r>
        <w:t xml:space="preserve"> method has been particle implemented in the core sec last September (</w:t>
      </w:r>
      <w:r w:rsidR="00AA76FD">
        <w:t>R</w:t>
      </w:r>
      <w:r>
        <w:t>P-232491) and whilst we have some reservations introducing the concept of declared transceivers we support this approach as the min 8 TRX limit for the IAB-MT may be restrictive.</w:t>
      </w:r>
    </w:p>
    <w:p w14:paraId="177062BE" w14:textId="57D0A1F6" w:rsidR="0096290E" w:rsidRDefault="0096290E" w:rsidP="0096290E">
      <w:pPr>
        <w:ind w:left="280"/>
      </w:pPr>
      <w:r>
        <w:t>However in the current implementation defined terms and symbols have been used which have been defined specifically for conducted requirements as such the current implementation is not correct.</w:t>
      </w:r>
    </w:p>
    <w:p w14:paraId="21EB6233" w14:textId="084C6DA5" w:rsidR="0096290E" w:rsidRDefault="0096290E" w:rsidP="0096290E">
      <w:pPr>
        <w:ind w:left="280"/>
      </w:pPr>
      <w:r>
        <w:t>Existing scaling definitions for the type 1-H system use a number of terms based around active transceivers, these are defined at the TAB connectors, the number of TAB connectors is a tangible feature of the hardware (they can be counted) as such there is no declaration of the number of TAB connectors. This approach has been used for a number of years, however this update for the IAB-MT type 1-O has somewhat confused the definitions and raised questions such as “where do we declare the number of TAB connectors”, in order to avoid confusing the type 1-H methodology (which we don’t believe needs changing) it is suggested the type 1-O terms are distinct and cannot be confused with existing 1-H terms.</w:t>
      </w:r>
    </w:p>
    <w:p w14:paraId="77171ACB" w14:textId="3282BF4F" w:rsidR="0096290E" w:rsidRDefault="0096290E" w:rsidP="0096290E">
      <w:pPr>
        <w:ind w:left="280"/>
      </w:pPr>
      <w:r>
        <w:t>For example:</w:t>
      </w:r>
    </w:p>
    <w:p w14:paraId="5CF1F5B7" w14:textId="535E1405" w:rsidR="0096290E" w:rsidRDefault="0096290E" w:rsidP="0096290E">
      <w:pPr>
        <w:ind w:left="280"/>
      </w:pPr>
      <w:r>
        <w:t>The current change to 38.174 is as follows:</w:t>
      </w:r>
    </w:p>
    <w:p w14:paraId="1669DACF" w14:textId="77777777" w:rsidR="0096290E" w:rsidRPr="00213774" w:rsidRDefault="0096290E" w:rsidP="0096290E">
      <w:pPr>
        <w:ind w:left="568"/>
        <w:rPr>
          <w:rFonts w:eastAsia="MS Mincho"/>
          <w:iCs/>
          <w:color w:val="5B9BD5" w:themeColor="accent1"/>
          <w:lang w:eastAsia="ja-JP"/>
        </w:rPr>
      </w:pPr>
      <w:r w:rsidRPr="00213774">
        <w:rPr>
          <w:rFonts w:eastAsia="MS Mincho"/>
          <w:iCs/>
          <w:color w:val="5B9BD5" w:themeColor="accent1"/>
          <w:lang w:eastAsia="ja-JP"/>
        </w:rPr>
        <w:t xml:space="preserve">For </w:t>
      </w:r>
      <w:r w:rsidRPr="00213774">
        <w:rPr>
          <w:i/>
          <w:color w:val="5B9BD5" w:themeColor="accent1"/>
        </w:rPr>
        <w:t>IAB-MT</w:t>
      </w:r>
      <w:r w:rsidRPr="00213774" w:rsidDel="005A5F48">
        <w:rPr>
          <w:rStyle w:val="aff0"/>
          <w:color w:val="5B9BD5" w:themeColor="accent1"/>
        </w:rPr>
        <w:t xml:space="preserve"> </w:t>
      </w:r>
      <w:r w:rsidRPr="00213774">
        <w:rPr>
          <w:rFonts w:eastAsia="MS Mincho"/>
          <w:i/>
          <w:iCs/>
          <w:color w:val="5B9BD5" w:themeColor="accent1"/>
          <w:lang w:eastAsia="ja-JP"/>
        </w:rPr>
        <w:t>type 1-</w:t>
      </w:r>
      <w:r w:rsidRPr="00213774">
        <w:rPr>
          <w:rFonts w:eastAsiaTheme="minorEastAsia" w:hint="eastAsia"/>
          <w:i/>
          <w:iCs/>
          <w:color w:val="5B9BD5" w:themeColor="accent1"/>
        </w:rPr>
        <w:t xml:space="preserve">O </w:t>
      </w:r>
      <w:r w:rsidRPr="00213774">
        <w:rPr>
          <w:rFonts w:eastAsia="MS Mincho"/>
          <w:iCs/>
          <w:color w:val="5B9BD5" w:themeColor="accent1"/>
          <w:lang w:eastAsia="ja-JP"/>
        </w:rPr>
        <w:t xml:space="preserve">manufacturer shall also declare </w:t>
      </w:r>
      <w:proofErr w:type="spellStart"/>
      <w:r w:rsidRPr="00213774">
        <w:rPr>
          <w:i/>
          <w:color w:val="5B9BD5" w:themeColor="accent1"/>
          <w:lang w:eastAsia="ja-JP"/>
        </w:rPr>
        <w:t>N</w:t>
      </w:r>
      <w:r w:rsidRPr="00213774">
        <w:rPr>
          <w:i/>
          <w:color w:val="5B9BD5" w:themeColor="accent1"/>
          <w:vertAlign w:val="subscript"/>
          <w:lang w:eastAsia="ja-JP"/>
        </w:rPr>
        <w:t>TXU,active</w:t>
      </w:r>
      <w:proofErr w:type="spellEnd"/>
      <w:r w:rsidRPr="00213774">
        <w:rPr>
          <w:rFonts w:eastAsia="MS Mincho"/>
          <w:iCs/>
          <w:color w:val="5B9BD5" w:themeColor="accent1"/>
          <w:lang w:eastAsia="ja-JP"/>
        </w:rPr>
        <w:t xml:space="preserve">. </w:t>
      </w:r>
      <w:proofErr w:type="spellStart"/>
      <w:r w:rsidRPr="00213774">
        <w:rPr>
          <w:i/>
          <w:color w:val="5B9BD5" w:themeColor="accent1"/>
          <w:lang w:eastAsia="ja-JP"/>
        </w:rPr>
        <w:t>N</w:t>
      </w:r>
      <w:r w:rsidRPr="00213774">
        <w:rPr>
          <w:i/>
          <w:color w:val="5B9BD5" w:themeColor="accent1"/>
          <w:vertAlign w:val="subscript"/>
          <w:lang w:eastAsia="ja-JP"/>
        </w:rPr>
        <w:t>TXU,active</w:t>
      </w:r>
      <w:proofErr w:type="spellEnd"/>
      <w:r w:rsidRPr="00213774">
        <w:rPr>
          <w:rFonts w:eastAsiaTheme="minorEastAsia" w:hint="eastAsia"/>
          <w:color w:val="5B9BD5" w:themeColor="accent1"/>
        </w:rPr>
        <w:t xml:space="preserve"> active t</w:t>
      </w:r>
      <w:r w:rsidRPr="00213774">
        <w:rPr>
          <w:rFonts w:eastAsiaTheme="minorEastAsia"/>
          <w:color w:val="5B9BD5" w:themeColor="accent1"/>
        </w:rPr>
        <w:t>ransmitter units</w:t>
      </w:r>
      <w:r w:rsidRPr="00213774">
        <w:rPr>
          <w:rFonts w:asciiTheme="minorEastAsia" w:eastAsiaTheme="minorEastAsia" w:hAnsiTheme="minorEastAsia" w:hint="eastAsia"/>
          <w:color w:val="5B9BD5" w:themeColor="accent1"/>
        </w:rPr>
        <w:t xml:space="preserve"> </w:t>
      </w:r>
      <w:r w:rsidRPr="00213774">
        <w:rPr>
          <w:color w:val="5B9BD5" w:themeColor="accent1"/>
        </w:rPr>
        <w:t xml:space="preserve">supporting the same </w:t>
      </w:r>
      <w:r w:rsidRPr="00213774">
        <w:rPr>
          <w:i/>
          <w:color w:val="5B9BD5" w:themeColor="accent1"/>
        </w:rPr>
        <w:t>operating band</w:t>
      </w:r>
      <w:r w:rsidRPr="00213774">
        <w:rPr>
          <w:rFonts w:eastAsiaTheme="minorEastAsia" w:hint="eastAsia"/>
          <w:i/>
          <w:color w:val="5B9BD5" w:themeColor="accent1"/>
        </w:rPr>
        <w:t xml:space="preserve"> </w:t>
      </w:r>
      <w:r w:rsidRPr="00213774">
        <w:rPr>
          <w:color w:val="5B9BD5" w:themeColor="accent1"/>
        </w:rPr>
        <w:t xml:space="preserve"> </w:t>
      </w:r>
      <w:r w:rsidRPr="00213774">
        <w:rPr>
          <w:rFonts w:eastAsia="MS Mincho"/>
          <w:iCs/>
          <w:color w:val="5B9BD5" w:themeColor="accent1"/>
          <w:lang w:eastAsia="ja-JP"/>
        </w:rPr>
        <w:t>is implementation dependent</w:t>
      </w:r>
      <w:r w:rsidRPr="00213774">
        <w:rPr>
          <w:rFonts w:eastAsiaTheme="minorEastAsia" w:hint="eastAsia"/>
          <w:iCs/>
          <w:color w:val="5B9BD5" w:themeColor="accent1"/>
        </w:rPr>
        <w:t>.</w:t>
      </w:r>
    </w:p>
    <w:p w14:paraId="75FBFC21" w14:textId="77777777" w:rsidR="0096290E" w:rsidRPr="00213774" w:rsidRDefault="0096290E" w:rsidP="0096290E">
      <w:pPr>
        <w:ind w:left="568"/>
        <w:rPr>
          <w:rFonts w:eastAsia="MS Mincho"/>
          <w:iCs/>
          <w:color w:val="5B9BD5" w:themeColor="accent1"/>
          <w:lang w:eastAsia="ja-JP"/>
        </w:rPr>
      </w:pPr>
      <w:r w:rsidRPr="00213774">
        <w:rPr>
          <w:rFonts w:eastAsia="MS Mincho"/>
          <w:iCs/>
          <w:color w:val="5B9BD5" w:themeColor="accent1"/>
          <w:lang w:eastAsia="ja-JP"/>
        </w:rPr>
        <w:t xml:space="preserve">The number of </w:t>
      </w:r>
      <w:r w:rsidRPr="00213774">
        <w:rPr>
          <w:rFonts w:eastAsia="MS Mincho"/>
          <w:i/>
          <w:iCs/>
          <w:color w:val="5B9BD5" w:themeColor="accent1"/>
          <w:lang w:eastAsia="ja-JP"/>
        </w:rPr>
        <w:t>active transmitter units</w:t>
      </w:r>
      <w:r w:rsidRPr="00213774">
        <w:rPr>
          <w:rFonts w:eastAsia="MS Mincho"/>
          <w:iCs/>
          <w:color w:val="5B9BD5" w:themeColor="accent1"/>
          <w:lang w:eastAsia="ja-JP"/>
        </w:rPr>
        <w:t xml:space="preserve"> that are considered when calculating the</w:t>
      </w:r>
      <w:r w:rsidRPr="00213774">
        <w:rPr>
          <w:rFonts w:eastAsiaTheme="minorEastAsia" w:hint="eastAsia"/>
          <w:iCs/>
          <w:color w:val="5B9BD5" w:themeColor="accent1"/>
        </w:rPr>
        <w:t xml:space="preserve"> radiated</w:t>
      </w:r>
      <w:r w:rsidRPr="00213774">
        <w:rPr>
          <w:rFonts w:eastAsia="MS Mincho"/>
          <w:iCs/>
          <w:color w:val="5B9BD5" w:themeColor="accent1"/>
          <w:lang w:eastAsia="ja-JP"/>
        </w:rPr>
        <w:t xml:space="preserve"> TX emissions limits (</w:t>
      </w:r>
      <w:proofErr w:type="spellStart"/>
      <w:r w:rsidRPr="00213774">
        <w:rPr>
          <w:rFonts w:eastAsia="MS Mincho"/>
          <w:iCs/>
          <w:color w:val="5B9BD5" w:themeColor="accent1"/>
          <w:lang w:eastAsia="ja-JP"/>
        </w:rPr>
        <w:t>N</w:t>
      </w:r>
      <w:r w:rsidRPr="00213774">
        <w:rPr>
          <w:rFonts w:eastAsia="MS Mincho"/>
          <w:iCs/>
          <w:color w:val="5B9BD5" w:themeColor="accent1"/>
          <w:vertAlign w:val="subscript"/>
          <w:lang w:eastAsia="ja-JP"/>
        </w:rPr>
        <w:t>TXU,counted</w:t>
      </w:r>
      <w:proofErr w:type="spellEnd"/>
      <w:r w:rsidRPr="00213774">
        <w:rPr>
          <w:rFonts w:eastAsia="MS Mincho"/>
          <w:iCs/>
          <w:color w:val="5B9BD5" w:themeColor="accent1"/>
          <w:lang w:eastAsia="ja-JP"/>
        </w:rPr>
        <w:t xml:space="preserve">) for </w:t>
      </w:r>
      <w:r w:rsidRPr="00213774">
        <w:rPr>
          <w:i/>
          <w:color w:val="5B9BD5" w:themeColor="accent1"/>
        </w:rPr>
        <w:t>IAB-MT type 1-</w:t>
      </w:r>
      <w:r w:rsidRPr="00213774">
        <w:rPr>
          <w:rFonts w:eastAsiaTheme="minorEastAsia" w:hint="eastAsia"/>
          <w:i/>
          <w:color w:val="5B9BD5" w:themeColor="accent1"/>
        </w:rPr>
        <w:t>O</w:t>
      </w:r>
      <w:r w:rsidRPr="00213774">
        <w:rPr>
          <w:rFonts w:eastAsia="MS Mincho"/>
          <w:iCs/>
          <w:color w:val="5B9BD5" w:themeColor="accent1"/>
          <w:lang w:eastAsia="ja-JP"/>
        </w:rPr>
        <w:t xml:space="preserve"> is calculated as follows:</w:t>
      </w:r>
    </w:p>
    <w:p w14:paraId="5F048263" w14:textId="77777777" w:rsidR="0096290E" w:rsidRPr="00213774" w:rsidRDefault="0096290E" w:rsidP="0096290E">
      <w:pPr>
        <w:pStyle w:val="B10"/>
        <w:ind w:left="1136"/>
        <w:rPr>
          <w:color w:val="5B9BD5" w:themeColor="accent1"/>
          <w:lang w:eastAsia="ja-JP"/>
        </w:rPr>
      </w:pPr>
      <w:r w:rsidRPr="00213774">
        <w:rPr>
          <w:rFonts w:eastAsia="MS Mincho"/>
          <w:color w:val="5B9BD5" w:themeColor="accent1"/>
          <w:lang w:eastAsia="ja-JP"/>
        </w:rPr>
        <w:tab/>
      </w:r>
      <w:proofErr w:type="spellStart"/>
      <w:r w:rsidRPr="00213774">
        <w:rPr>
          <w:rFonts w:eastAsia="MS Mincho"/>
          <w:color w:val="5B9BD5" w:themeColor="accent1"/>
          <w:lang w:eastAsia="ja-JP"/>
        </w:rPr>
        <w:t>N</w:t>
      </w:r>
      <w:r w:rsidRPr="00213774">
        <w:rPr>
          <w:rFonts w:eastAsia="MS Mincho"/>
          <w:color w:val="5B9BD5" w:themeColor="accent1"/>
          <w:vertAlign w:val="subscript"/>
          <w:lang w:eastAsia="ja-JP"/>
        </w:rPr>
        <w:t>TXU,counted</w:t>
      </w:r>
      <w:proofErr w:type="spellEnd"/>
      <w:r w:rsidRPr="00213774">
        <w:rPr>
          <w:color w:val="5B9BD5" w:themeColor="accent1"/>
          <w:lang w:eastAsia="ja-JP"/>
        </w:rPr>
        <w:t xml:space="preserve"> = </w:t>
      </w:r>
      <w:r w:rsidRPr="00213774">
        <w:rPr>
          <w:i/>
          <w:color w:val="5B9BD5" w:themeColor="accent1"/>
          <w:lang w:eastAsia="ja-JP"/>
        </w:rPr>
        <w:t>min(</w:t>
      </w:r>
      <w:proofErr w:type="spellStart"/>
      <w:r w:rsidRPr="00213774">
        <w:rPr>
          <w:i/>
          <w:color w:val="5B9BD5" w:themeColor="accent1"/>
          <w:lang w:eastAsia="ja-JP"/>
        </w:rPr>
        <w:t>N</w:t>
      </w:r>
      <w:r w:rsidRPr="00213774">
        <w:rPr>
          <w:i/>
          <w:color w:val="5B9BD5" w:themeColor="accent1"/>
          <w:vertAlign w:val="subscript"/>
          <w:lang w:eastAsia="ja-JP"/>
        </w:rPr>
        <w:t>TXU,active</w:t>
      </w:r>
      <w:proofErr w:type="spellEnd"/>
      <w:r w:rsidRPr="00213774">
        <w:rPr>
          <w:i/>
          <w:color w:val="5B9BD5" w:themeColor="accent1"/>
          <w:lang w:eastAsia="ja-JP"/>
        </w:rPr>
        <w:t xml:space="preserve"> , 8)</w:t>
      </w:r>
    </w:p>
    <w:p w14:paraId="4B0AE84E" w14:textId="77777777" w:rsidR="0096290E" w:rsidRPr="00213774" w:rsidRDefault="0096290E" w:rsidP="0096290E">
      <w:pPr>
        <w:ind w:left="568"/>
        <w:rPr>
          <w:rFonts w:eastAsia="MS Mincho"/>
          <w:color w:val="5B9BD5" w:themeColor="accent1"/>
          <w:lang w:eastAsia="ja-JP"/>
        </w:rPr>
      </w:pPr>
      <w:proofErr w:type="spellStart"/>
      <w:r w:rsidRPr="00213774">
        <w:rPr>
          <w:color w:val="5B9BD5" w:themeColor="accent1"/>
        </w:rPr>
        <w:lastRenderedPageBreak/>
        <w:t>N</w:t>
      </w:r>
      <w:r w:rsidRPr="00213774">
        <w:rPr>
          <w:color w:val="5B9BD5" w:themeColor="accent1"/>
          <w:vertAlign w:val="subscript"/>
        </w:rPr>
        <w:t>TXU,countedpercell</w:t>
      </w:r>
      <w:proofErr w:type="spellEnd"/>
      <w:r w:rsidRPr="00213774">
        <w:rPr>
          <w:rFonts w:eastAsia="MS Mincho"/>
          <w:color w:val="5B9BD5" w:themeColor="accent1"/>
          <w:lang w:eastAsia="ja-JP"/>
        </w:rPr>
        <w:t xml:space="preserve"> is used for scaling of </w:t>
      </w:r>
      <w:r w:rsidRPr="00213774">
        <w:rPr>
          <w:rFonts w:eastAsia="MS Mincho"/>
          <w:i/>
          <w:color w:val="5B9BD5" w:themeColor="accent1"/>
          <w:lang w:eastAsia="ja-JP"/>
        </w:rPr>
        <w:t>basic limits</w:t>
      </w:r>
      <w:r w:rsidRPr="00213774">
        <w:rPr>
          <w:rFonts w:eastAsia="MS Mincho"/>
          <w:color w:val="5B9BD5" w:themeColor="accent1"/>
          <w:lang w:eastAsia="ja-JP"/>
        </w:rPr>
        <w:t xml:space="preserve"> and is derived as </w:t>
      </w:r>
      <w:proofErr w:type="spellStart"/>
      <w:r w:rsidRPr="00213774">
        <w:rPr>
          <w:color w:val="5B9BD5" w:themeColor="accent1"/>
        </w:rPr>
        <w:t>N</w:t>
      </w:r>
      <w:r w:rsidRPr="00213774">
        <w:rPr>
          <w:color w:val="5B9BD5" w:themeColor="accent1"/>
          <w:vertAlign w:val="subscript"/>
        </w:rPr>
        <w:t>TXU,countedpercell</w:t>
      </w:r>
      <w:proofErr w:type="spellEnd"/>
      <w:r w:rsidRPr="00213774">
        <w:rPr>
          <w:color w:val="5B9BD5" w:themeColor="accent1"/>
          <w:vertAlign w:val="subscript"/>
        </w:rPr>
        <w:t xml:space="preserve"> </w:t>
      </w:r>
      <w:r w:rsidRPr="00213774">
        <w:rPr>
          <w:color w:val="5B9BD5" w:themeColor="accent1"/>
        </w:rPr>
        <w:t xml:space="preserve">= </w:t>
      </w:r>
      <w:proofErr w:type="spellStart"/>
      <w:r w:rsidRPr="00213774">
        <w:rPr>
          <w:iCs/>
          <w:color w:val="5B9BD5" w:themeColor="accent1"/>
          <w:lang w:eastAsia="ja-JP"/>
        </w:rPr>
        <w:t>N</w:t>
      </w:r>
      <w:r w:rsidRPr="00213774">
        <w:rPr>
          <w:iCs/>
          <w:color w:val="5B9BD5" w:themeColor="accent1"/>
          <w:vertAlign w:val="subscript"/>
          <w:lang w:eastAsia="ja-JP"/>
        </w:rPr>
        <w:t>TXU,counted</w:t>
      </w:r>
      <w:proofErr w:type="spellEnd"/>
    </w:p>
    <w:p w14:paraId="7C7ED817" w14:textId="77777777" w:rsidR="0096290E" w:rsidRPr="00213774" w:rsidRDefault="0096290E" w:rsidP="0096290E">
      <w:pPr>
        <w:pStyle w:val="NO"/>
        <w:ind w:left="1703"/>
        <w:rPr>
          <w:rFonts w:eastAsia="MS Mincho"/>
          <w:color w:val="5B9BD5" w:themeColor="accent1"/>
        </w:rPr>
      </w:pPr>
      <w:r w:rsidRPr="00213774">
        <w:rPr>
          <w:color w:val="5B9BD5" w:themeColor="accent1"/>
        </w:rPr>
        <w:t>NOTE:</w:t>
      </w:r>
      <w:r w:rsidRPr="00213774">
        <w:rPr>
          <w:color w:val="5B9BD5" w:themeColor="accent1"/>
        </w:rPr>
        <w:tab/>
      </w:r>
      <w:proofErr w:type="spellStart"/>
      <w:r w:rsidRPr="00213774">
        <w:rPr>
          <w:color w:val="5B9BD5" w:themeColor="accent1"/>
        </w:rPr>
        <w:t>N</w:t>
      </w:r>
      <w:r w:rsidRPr="00213774">
        <w:rPr>
          <w:color w:val="5B9BD5" w:themeColor="accent1"/>
          <w:vertAlign w:val="subscript"/>
        </w:rPr>
        <w:t>TXU,active</w:t>
      </w:r>
      <w:proofErr w:type="spellEnd"/>
      <w:r w:rsidRPr="00213774">
        <w:rPr>
          <w:color w:val="5B9BD5" w:themeColor="accent1"/>
        </w:rPr>
        <w:t xml:space="preserve"> </w:t>
      </w:r>
      <w:r w:rsidRPr="00213774">
        <w:rPr>
          <w:rFonts w:eastAsia="MS Mincho"/>
          <w:color w:val="5B9BD5" w:themeColor="accent1"/>
        </w:rPr>
        <w:t xml:space="preserve">depends on the actual number of </w:t>
      </w:r>
      <w:r w:rsidRPr="00213774">
        <w:rPr>
          <w:rFonts w:eastAsia="MS Mincho"/>
          <w:i/>
          <w:color w:val="5B9BD5" w:themeColor="accent1"/>
        </w:rPr>
        <w:t>active transmitter unit</w:t>
      </w:r>
      <w:r w:rsidRPr="00213774">
        <w:rPr>
          <w:rFonts w:eastAsia="MS Mincho"/>
          <w:color w:val="5B9BD5" w:themeColor="accent1"/>
        </w:rPr>
        <w:t>s.</w:t>
      </w:r>
    </w:p>
    <w:p w14:paraId="5B32D94F" w14:textId="40152ACC" w:rsidR="0096290E" w:rsidRDefault="0096290E" w:rsidP="0096290E">
      <w:pPr>
        <w:ind w:left="280"/>
      </w:pPr>
      <w:r>
        <w:t>The following issues with this are noted:</w:t>
      </w:r>
    </w:p>
    <w:p w14:paraId="344CA1AA" w14:textId="77777777" w:rsidR="0096290E" w:rsidRPr="00E31CF9" w:rsidRDefault="0096290E" w:rsidP="0096290E">
      <w:pPr>
        <w:pStyle w:val="afff0"/>
        <w:numPr>
          <w:ilvl w:val="0"/>
          <w:numId w:val="12"/>
        </w:numPr>
        <w:overflowPunct/>
        <w:autoSpaceDE/>
        <w:autoSpaceDN/>
        <w:adjustRightInd/>
        <w:spacing w:after="160" w:line="259" w:lineRule="auto"/>
        <w:ind w:firstLineChars="0"/>
        <w:contextualSpacing/>
        <w:textAlignment w:val="auto"/>
      </w:pPr>
      <w:proofErr w:type="spellStart"/>
      <w:r w:rsidRPr="00E31CF9">
        <w:rPr>
          <w:i/>
          <w:lang w:eastAsia="ja-JP"/>
        </w:rPr>
        <w:t>N</w:t>
      </w:r>
      <w:r w:rsidRPr="00E31CF9">
        <w:rPr>
          <w:i/>
          <w:vertAlign w:val="subscript"/>
          <w:lang w:eastAsia="ja-JP"/>
        </w:rPr>
        <w:t>TXU,active</w:t>
      </w:r>
      <w:proofErr w:type="spellEnd"/>
      <w:r w:rsidRPr="00E31CF9">
        <w:rPr>
          <w:rFonts w:eastAsia="MS Mincho"/>
          <w:iCs/>
          <w:lang w:eastAsia="ja-JP"/>
        </w:rPr>
        <w:t xml:space="preserve"> is not in defined symbols list, it is a term used in existing specs in the derivation of </w:t>
      </w:r>
      <w:proofErr w:type="spellStart"/>
      <w:r w:rsidRPr="00E31CF9">
        <w:rPr>
          <w:rFonts w:eastAsia="MS Mincho"/>
          <w:iCs/>
          <w:lang w:eastAsia="ja-JP"/>
        </w:rPr>
        <w:t>N</w:t>
      </w:r>
      <w:r w:rsidRPr="00E31CF9">
        <w:rPr>
          <w:rFonts w:eastAsia="MS Mincho"/>
          <w:iCs/>
          <w:vertAlign w:val="subscript"/>
          <w:lang w:eastAsia="ja-JP"/>
        </w:rPr>
        <w:t>TXU,counted</w:t>
      </w:r>
      <w:proofErr w:type="spellEnd"/>
      <w:r w:rsidRPr="00E31CF9">
        <w:rPr>
          <w:rFonts w:eastAsia="MS Mincho"/>
          <w:iCs/>
          <w:lang w:eastAsia="ja-JP"/>
        </w:rPr>
        <w:t xml:space="preserve"> and is defined effectively in the note to be a shorthand of </w:t>
      </w:r>
      <w:r w:rsidRPr="00E31CF9">
        <w:rPr>
          <w:rFonts w:eastAsia="MS Mincho"/>
          <w:i/>
          <w:iCs/>
          <w:lang w:eastAsia="ja-JP"/>
        </w:rPr>
        <w:t>active transmitter units</w:t>
      </w:r>
      <w:r w:rsidRPr="00E31CF9">
        <w:rPr>
          <w:rFonts w:eastAsia="MS Mincho"/>
          <w:iCs/>
          <w:lang w:eastAsia="ja-JP"/>
        </w:rPr>
        <w:t xml:space="preserve"> (which is defined)</w:t>
      </w:r>
    </w:p>
    <w:p w14:paraId="7AE2C7D4" w14:textId="77777777" w:rsidR="0096290E" w:rsidRPr="00E31CF9" w:rsidRDefault="0096290E" w:rsidP="0096290E">
      <w:pPr>
        <w:ind w:left="1440"/>
        <w:rPr>
          <w:rFonts w:eastAsia="MS Mincho"/>
          <w:color w:val="5B9BD5" w:themeColor="accent1"/>
          <w:lang w:eastAsia="ja-JP"/>
        </w:rPr>
      </w:pPr>
      <w:proofErr w:type="spellStart"/>
      <w:r w:rsidRPr="00E31CF9">
        <w:rPr>
          <w:color w:val="5B9BD5" w:themeColor="accent1"/>
          <w:lang w:eastAsia="ja-JP"/>
        </w:rPr>
        <w:t>N</w:t>
      </w:r>
      <w:r w:rsidRPr="00E31CF9">
        <w:rPr>
          <w:color w:val="5B9BD5" w:themeColor="accent1"/>
          <w:vertAlign w:val="subscript"/>
          <w:lang w:eastAsia="ja-JP"/>
        </w:rPr>
        <w:t>TXU,active</w:t>
      </w:r>
      <w:proofErr w:type="spellEnd"/>
      <w:r w:rsidRPr="00E31CF9">
        <w:rPr>
          <w:color w:val="5B9BD5" w:themeColor="accent1"/>
          <w:lang w:eastAsia="ja-JP"/>
        </w:rPr>
        <w:t xml:space="preserve"> </w:t>
      </w:r>
      <w:r w:rsidRPr="00E31CF9">
        <w:rPr>
          <w:rFonts w:eastAsia="MS Mincho"/>
          <w:color w:val="5B9BD5" w:themeColor="accent1"/>
          <w:lang w:eastAsia="ja-JP"/>
        </w:rPr>
        <w:t xml:space="preserve">depends on the actual number of </w:t>
      </w:r>
      <w:r w:rsidRPr="00E31CF9">
        <w:rPr>
          <w:rFonts w:eastAsia="MS Mincho"/>
          <w:i/>
          <w:color w:val="5B9BD5" w:themeColor="accent1"/>
          <w:lang w:eastAsia="ja-JP"/>
        </w:rPr>
        <w:t>active transmitter unit</w:t>
      </w:r>
      <w:r w:rsidRPr="00E31CF9">
        <w:rPr>
          <w:rFonts w:eastAsia="MS Mincho"/>
          <w:color w:val="5B9BD5" w:themeColor="accent1"/>
          <w:lang w:eastAsia="ja-JP"/>
        </w:rPr>
        <w:t>s</w:t>
      </w:r>
      <w:r w:rsidRPr="00E31CF9">
        <w:rPr>
          <w:color w:val="5B9BD5" w:themeColor="accent1"/>
        </w:rPr>
        <w:t xml:space="preserve"> and is independent to the declaration of </w:t>
      </w:r>
      <w:proofErr w:type="spellStart"/>
      <w:r w:rsidRPr="00E31CF9">
        <w:rPr>
          <w:color w:val="5B9BD5" w:themeColor="accent1"/>
        </w:rPr>
        <w:t>N</w:t>
      </w:r>
      <w:r w:rsidRPr="00E31CF9">
        <w:rPr>
          <w:color w:val="5B9BD5" w:themeColor="accent1"/>
          <w:vertAlign w:val="subscript"/>
        </w:rPr>
        <w:t>cells</w:t>
      </w:r>
      <w:proofErr w:type="spellEnd"/>
      <w:r w:rsidRPr="00E31CF9">
        <w:rPr>
          <w:rFonts w:eastAsia="MS Mincho"/>
          <w:color w:val="5B9BD5" w:themeColor="accent1"/>
          <w:lang w:eastAsia="ja-JP"/>
        </w:rPr>
        <w:t>.</w:t>
      </w:r>
    </w:p>
    <w:p w14:paraId="6918FE62" w14:textId="77777777" w:rsidR="0096290E" w:rsidRPr="00E31CF9" w:rsidRDefault="0096290E" w:rsidP="0096290E">
      <w:pPr>
        <w:ind w:left="1440"/>
        <w:rPr>
          <w:color w:val="5B9BD5" w:themeColor="accent1"/>
        </w:rPr>
      </w:pPr>
      <w:r w:rsidRPr="00E31CF9">
        <w:rPr>
          <w:b/>
          <w:color w:val="5B9BD5" w:themeColor="accent1"/>
        </w:rPr>
        <w:t xml:space="preserve">active transmitter unit: </w:t>
      </w:r>
      <w:r w:rsidRPr="00E31CF9">
        <w:rPr>
          <w:color w:val="5B9BD5" w:themeColor="accent1"/>
        </w:rPr>
        <w:t xml:space="preserve">transmitter unit which is ON, and has the ability to send modulated data streams that are parallel and distinct to those sent from other transmitter units to one or more </w:t>
      </w:r>
      <w:r w:rsidRPr="00E31CF9">
        <w:rPr>
          <w:i/>
          <w:color w:val="5B9BD5" w:themeColor="accent1"/>
        </w:rPr>
        <w:t>IAB type 1-H</w:t>
      </w:r>
      <w:r w:rsidRPr="00E31CF9">
        <w:rPr>
          <w:color w:val="5B9BD5" w:themeColor="accent1"/>
        </w:rPr>
        <w:t xml:space="preserve"> </w:t>
      </w:r>
      <w:r w:rsidRPr="00E31CF9">
        <w:rPr>
          <w:i/>
          <w:color w:val="5B9BD5" w:themeColor="accent1"/>
        </w:rPr>
        <w:t>TAB connectors</w:t>
      </w:r>
      <w:r w:rsidRPr="00E31CF9">
        <w:rPr>
          <w:color w:val="5B9BD5" w:themeColor="accent1"/>
        </w:rPr>
        <w:t xml:space="preserve"> at the </w:t>
      </w:r>
      <w:r w:rsidRPr="00E31CF9">
        <w:rPr>
          <w:i/>
          <w:color w:val="5B9BD5" w:themeColor="accent1"/>
        </w:rPr>
        <w:t>transceiver array boundary</w:t>
      </w:r>
    </w:p>
    <w:p w14:paraId="7EE3E4DE" w14:textId="77777777" w:rsidR="0096290E" w:rsidRPr="00E31CF9" w:rsidRDefault="0096290E" w:rsidP="0096290E">
      <w:pPr>
        <w:ind w:left="720"/>
      </w:pPr>
      <w:r w:rsidRPr="00E31CF9">
        <w:rPr>
          <w:i/>
        </w:rPr>
        <w:t>Active transmitter units</w:t>
      </w:r>
      <w:r w:rsidRPr="00E31CF9">
        <w:t xml:space="preserve"> definition is based on TAB connectors so clearly there is an issue here.</w:t>
      </w:r>
    </w:p>
    <w:p w14:paraId="07D00EBD" w14:textId="77777777" w:rsidR="0096290E" w:rsidRPr="00E31CF9" w:rsidRDefault="0096290E" w:rsidP="0096290E">
      <w:pPr>
        <w:pStyle w:val="afff0"/>
        <w:numPr>
          <w:ilvl w:val="0"/>
          <w:numId w:val="12"/>
        </w:numPr>
        <w:overflowPunct/>
        <w:autoSpaceDE/>
        <w:autoSpaceDN/>
        <w:adjustRightInd/>
        <w:spacing w:after="160" w:line="259" w:lineRule="auto"/>
        <w:ind w:firstLineChars="0"/>
        <w:contextualSpacing/>
        <w:textAlignment w:val="auto"/>
      </w:pPr>
      <w:proofErr w:type="spellStart"/>
      <w:r w:rsidRPr="00E31CF9">
        <w:rPr>
          <w:rFonts w:eastAsia="MS Mincho"/>
          <w:iCs/>
          <w:lang w:eastAsia="ja-JP"/>
        </w:rPr>
        <w:t>N</w:t>
      </w:r>
      <w:r w:rsidRPr="00E31CF9">
        <w:rPr>
          <w:rFonts w:eastAsia="MS Mincho"/>
          <w:iCs/>
          <w:vertAlign w:val="subscript"/>
          <w:lang w:eastAsia="ja-JP"/>
        </w:rPr>
        <w:t>TXU,counted</w:t>
      </w:r>
      <w:proofErr w:type="spellEnd"/>
      <w:r w:rsidRPr="00E31CF9">
        <w:rPr>
          <w:rFonts w:eastAsia="MS Mincho"/>
          <w:iCs/>
          <w:lang w:eastAsia="ja-JP"/>
        </w:rPr>
        <w:t xml:space="preserve"> is defined in symbols but for clause 6.1 only (and hence only really applies to 1-H)</w:t>
      </w:r>
    </w:p>
    <w:p w14:paraId="53D22653" w14:textId="77777777" w:rsidR="0096290E" w:rsidRPr="00E31CF9" w:rsidRDefault="0096290E" w:rsidP="0096290E">
      <w:pPr>
        <w:pStyle w:val="afff0"/>
        <w:numPr>
          <w:ilvl w:val="0"/>
          <w:numId w:val="12"/>
        </w:numPr>
        <w:overflowPunct/>
        <w:autoSpaceDE/>
        <w:autoSpaceDN/>
        <w:adjustRightInd/>
        <w:spacing w:after="160" w:line="259" w:lineRule="auto"/>
        <w:ind w:firstLineChars="0"/>
        <w:contextualSpacing/>
        <w:textAlignment w:val="auto"/>
      </w:pPr>
      <w:proofErr w:type="spellStart"/>
      <w:r w:rsidRPr="00E31CF9">
        <w:t>N</w:t>
      </w:r>
      <w:r w:rsidRPr="00E31CF9">
        <w:rPr>
          <w:vertAlign w:val="subscript"/>
        </w:rPr>
        <w:t>TXU,countedpercell</w:t>
      </w:r>
      <w:proofErr w:type="spellEnd"/>
      <w:r w:rsidRPr="00E31CF9">
        <w:rPr>
          <w:rFonts w:eastAsia="MS Mincho"/>
          <w:lang w:eastAsia="ja-JP"/>
        </w:rPr>
        <w:t xml:space="preserve"> is also only defined for clause 6.1</w:t>
      </w:r>
    </w:p>
    <w:p w14:paraId="7CE9B349" w14:textId="2884FCD6" w:rsidR="0096290E" w:rsidRDefault="0096290E" w:rsidP="0096290E">
      <w:r>
        <w:t xml:space="preserve">The update uses terms defined exclusively for </w:t>
      </w:r>
      <w:r w:rsidR="0003263F">
        <w:t>type 1-H.</w:t>
      </w:r>
    </w:p>
    <w:p w14:paraId="727729C9" w14:textId="0A283DA5" w:rsidR="0003263F" w:rsidRDefault="004D015C" w:rsidP="0003263F">
      <w:pPr>
        <w:pStyle w:val="2"/>
      </w:pPr>
      <w:r>
        <w:t>2.1.1</w:t>
      </w:r>
      <w:r w:rsidR="0003263F" w:rsidRPr="004D3578">
        <w:tab/>
      </w:r>
      <w:r>
        <w:t>Active transmitter unit definition</w:t>
      </w:r>
    </w:p>
    <w:p w14:paraId="10E463A7" w14:textId="2BFBF5E2" w:rsidR="0003263F" w:rsidRDefault="0003263F" w:rsidP="0096290E">
      <w:pPr>
        <w:rPr>
          <w:lang w:eastAsia="ja-JP"/>
        </w:rPr>
      </w:pPr>
      <w:r>
        <w:t xml:space="preserve">It is important to note that for 1-H the uber of active TRX units (or </w:t>
      </w:r>
      <w:proofErr w:type="spellStart"/>
      <w:r w:rsidRPr="00E31CF9">
        <w:rPr>
          <w:i/>
          <w:lang w:eastAsia="ja-JP"/>
        </w:rPr>
        <w:t>N</w:t>
      </w:r>
      <w:r w:rsidRPr="00E31CF9">
        <w:rPr>
          <w:i/>
          <w:vertAlign w:val="subscript"/>
          <w:lang w:eastAsia="ja-JP"/>
        </w:rPr>
        <w:t>TXU,active</w:t>
      </w:r>
      <w:proofErr w:type="spellEnd"/>
      <w:r>
        <w:rPr>
          <w:lang w:eastAsia="ja-JP"/>
        </w:rPr>
        <w:t>) is NOT declared bit for 1-O it (or its equivalent) a declaration is needed. As such it is not appropriate to use the same terms/symbols for both, generally if a term is declared that information is included in its definition.</w:t>
      </w:r>
    </w:p>
    <w:p w14:paraId="63708533" w14:textId="1FC0369D" w:rsidR="0003263F" w:rsidRDefault="0003263F" w:rsidP="0096290E">
      <w:r>
        <w:t>The defined term active transmitter unit potentially could be split into a conducted and a radiated version, although this potentially has implications in many other specifications where the IAB-MT scaling is not a consideration. It is beneficial therefore to perhaps keep this as a stable definition throughout the OTA specifications and add a modification to the IAB specification to allow for the IAB-MT issue, such as:</w:t>
      </w:r>
    </w:p>
    <w:p w14:paraId="58FB292C" w14:textId="500AFA2E" w:rsidR="0003263F" w:rsidRDefault="0003263F" w:rsidP="0003263F">
      <w:pPr>
        <w:ind w:left="720"/>
        <w:rPr>
          <w:i/>
          <w:color w:val="C00000"/>
        </w:rPr>
      </w:pPr>
      <w:r w:rsidRPr="00B719B6">
        <w:rPr>
          <w:b/>
        </w:rPr>
        <w:t xml:space="preserve">active transmitter unit: </w:t>
      </w:r>
      <w:r w:rsidRPr="00B719B6">
        <w:t xml:space="preserve">transmitter unit which is ON, and has the ability to send modulated data streams that are parallel and distinct to those sent from other transmitter units to one or more </w:t>
      </w:r>
      <w:r w:rsidRPr="00B719B6">
        <w:rPr>
          <w:i/>
        </w:rPr>
        <w:t>IAB type 1-H</w:t>
      </w:r>
      <w:r w:rsidRPr="00B719B6">
        <w:t xml:space="preserve"> </w:t>
      </w:r>
      <w:r w:rsidRPr="00B719B6">
        <w:rPr>
          <w:i/>
        </w:rPr>
        <w:t>TAB connectors</w:t>
      </w:r>
      <w:r w:rsidRPr="00B719B6">
        <w:t xml:space="preserve"> at the </w:t>
      </w:r>
      <w:r w:rsidRPr="00B719B6">
        <w:rPr>
          <w:i/>
        </w:rPr>
        <w:t xml:space="preserve">transceiver array boundary </w:t>
      </w:r>
      <w:r w:rsidRPr="00B719B6">
        <w:rPr>
          <w:i/>
          <w:color w:val="C00000"/>
        </w:rPr>
        <w:t>or to the radiated interface boundary for IAB</w:t>
      </w:r>
      <w:r>
        <w:rPr>
          <w:i/>
          <w:color w:val="C00000"/>
        </w:rPr>
        <w:t>-MT</w:t>
      </w:r>
      <w:r w:rsidRPr="00B719B6">
        <w:rPr>
          <w:i/>
          <w:color w:val="C00000"/>
        </w:rPr>
        <w:t xml:space="preserve"> type 1-O.</w:t>
      </w:r>
    </w:p>
    <w:p w14:paraId="502C847C" w14:textId="46F6A1D1" w:rsidR="0021064E" w:rsidRDefault="0021064E" w:rsidP="0021064E">
      <w:r w:rsidRPr="0021064E">
        <w:t>It is clearly necessary to make this correction to the definition in the core (38.174) and the radiated conformance specification (38.176-2) however the definition is also used in the conducted conformance specification (38.176-1). In the conducted specification the IAB-MT type -1O clarification is clearly not needed but should we use the same definition in all 3 specifications? Definitions listed in each document are “local” and as such do not have to be the same but generally in core and conformance requirements we maintain definitions throughout.</w:t>
      </w:r>
      <w:r>
        <w:t xml:space="preserve"> </w:t>
      </w:r>
      <w:proofErr w:type="spellStart"/>
      <w:r>
        <w:t>Its</w:t>
      </w:r>
      <w:proofErr w:type="spellEnd"/>
      <w:r>
        <w:t xml:space="preserve"> also the case that for the radiated conformance specification it is not necessary to mention type 1-H in the definition so if the definitions are to be different then we could have an interface specific definition ?</w:t>
      </w:r>
      <w:r w:rsidR="00104418">
        <w:t xml:space="preserve"> The options are:</w:t>
      </w:r>
    </w:p>
    <w:p w14:paraId="24DBFDE9" w14:textId="78E7B236" w:rsidR="0021064E" w:rsidRDefault="0021064E" w:rsidP="0021064E">
      <w:pPr>
        <w:pStyle w:val="afff0"/>
        <w:numPr>
          <w:ilvl w:val="0"/>
          <w:numId w:val="16"/>
        </w:numPr>
        <w:ind w:firstLineChars="0"/>
      </w:pPr>
      <w:r>
        <w:t>Change the definition in 38.176-1 to be the same as 38.174</w:t>
      </w:r>
    </w:p>
    <w:p w14:paraId="6BACAF76" w14:textId="45D7D1A1" w:rsidR="0021064E" w:rsidRDefault="0021064E" w:rsidP="0021064E">
      <w:pPr>
        <w:pStyle w:val="afff0"/>
        <w:numPr>
          <w:ilvl w:val="0"/>
          <w:numId w:val="16"/>
        </w:numPr>
        <w:ind w:firstLineChars="0"/>
      </w:pPr>
      <w:r>
        <w:t>Leave definition in 38.176-1 as is</w:t>
      </w:r>
    </w:p>
    <w:p w14:paraId="6F748C2E" w14:textId="6BB35386" w:rsidR="0021064E" w:rsidRDefault="0021064E" w:rsidP="0021064E">
      <w:pPr>
        <w:pStyle w:val="afff0"/>
        <w:numPr>
          <w:ilvl w:val="0"/>
          <w:numId w:val="16"/>
        </w:numPr>
        <w:ind w:firstLineChars="0"/>
      </w:pPr>
      <w:r>
        <w:t>Leave definition in 38.176-1 as is and have OTA specific definition in 38.176-2</w:t>
      </w:r>
    </w:p>
    <w:p w14:paraId="59983A62" w14:textId="134B84E0" w:rsidR="00104418" w:rsidRPr="00B719B6" w:rsidRDefault="00104418" w:rsidP="00104418">
      <w:r>
        <w:t>For the moment option 1 is perhaps the most obvious but its is perhaps worth consideration if option 3 adds clarity?</w:t>
      </w:r>
    </w:p>
    <w:p w14:paraId="38814D2A" w14:textId="53399956" w:rsidR="004D015C" w:rsidRDefault="004D015C" w:rsidP="004D015C">
      <w:pPr>
        <w:pStyle w:val="2"/>
      </w:pPr>
      <w:r>
        <w:t>2.1.</w:t>
      </w:r>
      <w:r w:rsidR="009A65B2">
        <w:t>2</w:t>
      </w:r>
      <w:r w:rsidRPr="004D3578">
        <w:tab/>
      </w:r>
      <w:r>
        <w:t>Cell concept and implementation</w:t>
      </w:r>
    </w:p>
    <w:p w14:paraId="3F54AAEB" w14:textId="77777777" w:rsidR="004D015C" w:rsidRDefault="004D015C" w:rsidP="004D015C">
      <w:r>
        <w:t xml:space="preserve">The cell concept is applied slightly differently in conducted and OTA specifications. </w:t>
      </w:r>
    </w:p>
    <w:p w14:paraId="1AF7215C" w14:textId="2238875E" w:rsidR="009410E3" w:rsidRDefault="004D015C" w:rsidP="004D015C">
      <w:r>
        <w:t>For Conducted as there is the possibility that a BS may serve several cells (as a minimum) and that potentially TRX may be shared between cells the entire set of TAB connectors are considered and the requirements are scaled by the minimum number of cells.</w:t>
      </w:r>
    </w:p>
    <w:p w14:paraId="6DADDBD1" w14:textId="6121048D" w:rsidR="004D015C" w:rsidRDefault="004D015C" w:rsidP="004D015C">
      <w:pPr>
        <w:ind w:left="568"/>
      </w:pPr>
      <w:r>
        <w:lastRenderedPageBreak/>
        <w:t xml:space="preserve">The definition of </w:t>
      </w:r>
      <w:proofErr w:type="spellStart"/>
      <w:r w:rsidRPr="00F95B02">
        <w:rPr>
          <w:rFonts w:eastAsia="MS Mincho"/>
          <w:lang w:eastAsia="ja-JP"/>
        </w:rPr>
        <w:t>N</w:t>
      </w:r>
      <w:r w:rsidRPr="00F95B02">
        <w:rPr>
          <w:rFonts w:eastAsia="MS Mincho"/>
          <w:vertAlign w:val="subscript"/>
          <w:lang w:eastAsia="ja-JP"/>
        </w:rPr>
        <w:t>TXU,counted</w:t>
      </w:r>
      <w:proofErr w:type="spellEnd"/>
      <w:r>
        <w:rPr>
          <w:rFonts w:eastAsia="MS Mincho"/>
          <w:lang w:eastAsia="ja-JP"/>
        </w:rPr>
        <w:t xml:space="preserve"> and </w:t>
      </w:r>
      <w:proofErr w:type="spellStart"/>
      <w:r w:rsidRPr="00F95B02">
        <w:t>N</w:t>
      </w:r>
      <w:r w:rsidRPr="00F95B02">
        <w:rPr>
          <w:vertAlign w:val="subscript"/>
        </w:rPr>
        <w:t>TXU,countedpercell</w:t>
      </w:r>
      <w:proofErr w:type="spellEnd"/>
      <w:r w:rsidRPr="00F95B02">
        <w:rPr>
          <w:rFonts w:eastAsia="MS Mincho"/>
          <w:lang w:eastAsia="ja-JP"/>
        </w:rPr>
        <w:t xml:space="preserve"> </w:t>
      </w:r>
      <w:r>
        <w:rPr>
          <w:rFonts w:eastAsia="MS Mincho"/>
          <w:lang w:eastAsia="ja-JP"/>
        </w:rPr>
        <w:t xml:space="preserve">the declared parameter </w:t>
      </w:r>
      <w:proofErr w:type="spellStart"/>
      <w:r w:rsidRPr="00F95B02">
        <w:rPr>
          <w:i/>
          <w:lang w:eastAsia="ja-JP"/>
        </w:rPr>
        <w:t>N</w:t>
      </w:r>
      <w:r w:rsidRPr="00F95B02">
        <w:rPr>
          <w:i/>
          <w:vertAlign w:val="subscript"/>
          <w:lang w:eastAsia="ja-JP"/>
        </w:rPr>
        <w:t>cells</w:t>
      </w:r>
      <w:proofErr w:type="spellEnd"/>
      <w:r>
        <w:rPr>
          <w:i/>
          <w:lang w:eastAsia="ja-JP"/>
        </w:rPr>
        <w:t xml:space="preserve"> </w:t>
      </w:r>
      <w:r>
        <w:rPr>
          <w:lang w:eastAsia="ja-JP"/>
        </w:rPr>
        <w:t>is used so that multiple cell BS can be specified.</w:t>
      </w:r>
    </w:p>
    <w:p w14:paraId="30FAFA0C" w14:textId="018194C1" w:rsidR="004D015C" w:rsidRDefault="004D015C" w:rsidP="004D015C">
      <w:r>
        <w:t>For OTA as the requirements are made at the radiated interface the source of the signal (or the TAB connector) is not known as such these complexities can be removed ad requirements are made “per cell” at the RIB.</w:t>
      </w:r>
    </w:p>
    <w:p w14:paraId="6C928161" w14:textId="77777777" w:rsidR="004D015C" w:rsidRDefault="004D015C" w:rsidP="004D015C">
      <w:pPr>
        <w:ind w:left="720"/>
        <w:rPr>
          <w:lang w:eastAsia="ja-JP"/>
        </w:rPr>
      </w:pPr>
      <w:r>
        <w:rPr>
          <w:lang w:eastAsia="ja-JP"/>
        </w:rPr>
        <w:t>In 37.105 this is in the general clause 9.1 and applies to all requirements</w:t>
      </w:r>
    </w:p>
    <w:p w14:paraId="4B7A5402" w14:textId="1AED9A73" w:rsidR="004D015C" w:rsidRDefault="004D015C" w:rsidP="004D015C">
      <w:pPr>
        <w:ind w:left="720"/>
        <w:rPr>
          <w:lang w:eastAsia="ja-JP"/>
        </w:rPr>
      </w:pPr>
      <w:r>
        <w:rPr>
          <w:lang w:eastAsia="ja-JP"/>
        </w:rPr>
        <w:t>In 38.104 its only in the specific sub-clause 9.7</w:t>
      </w:r>
      <w:r w:rsidR="00630278">
        <w:rPr>
          <w:lang w:eastAsia="ja-JP"/>
        </w:rPr>
        <w:t>.</w:t>
      </w:r>
      <w:r>
        <w:rPr>
          <w:lang w:eastAsia="ja-JP"/>
        </w:rPr>
        <w:t>1 – unwanted emissions this effectively means the outpower limits are not scaled per cell but are defined per carrier which is equivalent as each cell would have a different carrier. I’m not sure why the general clarification was removed but it’s probably ok.</w:t>
      </w:r>
    </w:p>
    <w:p w14:paraId="01EB172E" w14:textId="7D976ABF" w:rsidR="004D015C" w:rsidRDefault="004D015C" w:rsidP="004D015C">
      <w:r>
        <w:t xml:space="preserve">As for OTA </w:t>
      </w:r>
      <w:proofErr w:type="spellStart"/>
      <w:r>
        <w:t>N</w:t>
      </w:r>
      <w:r w:rsidRPr="00194183">
        <w:rPr>
          <w:vertAlign w:val="subscript"/>
        </w:rPr>
        <w:t>cells</w:t>
      </w:r>
      <w:proofErr w:type="spellEnd"/>
      <w:r>
        <w:t xml:space="preserve"> is not used then </w:t>
      </w:r>
      <w:proofErr w:type="spellStart"/>
      <w:r w:rsidRPr="00F95B02">
        <w:rPr>
          <w:rFonts w:eastAsia="MS Mincho"/>
          <w:lang w:eastAsia="ja-JP"/>
        </w:rPr>
        <w:t>N</w:t>
      </w:r>
      <w:r w:rsidRPr="00F95B02">
        <w:rPr>
          <w:rFonts w:eastAsia="MS Mincho"/>
          <w:vertAlign w:val="subscript"/>
          <w:lang w:eastAsia="ja-JP"/>
        </w:rPr>
        <w:t>TXU,counted</w:t>
      </w:r>
      <w:proofErr w:type="spellEnd"/>
      <w:r>
        <w:rPr>
          <w:rFonts w:eastAsia="MS Mincho"/>
          <w:lang w:eastAsia="ja-JP"/>
        </w:rPr>
        <w:t xml:space="preserve"> and </w:t>
      </w:r>
      <w:proofErr w:type="spellStart"/>
      <w:r w:rsidRPr="00F95B02">
        <w:t>N</w:t>
      </w:r>
      <w:r w:rsidRPr="00F95B02">
        <w:rPr>
          <w:vertAlign w:val="subscript"/>
        </w:rPr>
        <w:t>TXU,countedpercell</w:t>
      </w:r>
      <w:proofErr w:type="spellEnd"/>
      <w:r>
        <w:t xml:space="preserve"> are the same so really only 1 parameter is needed (having 2 which are the same is confusing). As the OTA requirements are per cell anyway then this version would seem to be the obvious one to keep. </w:t>
      </w:r>
    </w:p>
    <w:p w14:paraId="34E71F6B" w14:textId="7FC808FA" w:rsidR="004D015C" w:rsidRDefault="004D015C" w:rsidP="004D015C">
      <w:r>
        <w:t>This is where it would be better to define a new parameter rather than try to use the existing conducted one:</w:t>
      </w:r>
    </w:p>
    <w:p w14:paraId="72318FE0" w14:textId="2AA2E7DE" w:rsidR="004D015C" w:rsidRPr="00234687" w:rsidRDefault="004D015C" w:rsidP="004D015C">
      <w:pPr>
        <w:pStyle w:val="EW"/>
        <w:rPr>
          <w:color w:val="C00000"/>
        </w:rPr>
      </w:pPr>
      <w:proofErr w:type="spellStart"/>
      <w:r w:rsidRPr="00234687">
        <w:rPr>
          <w:color w:val="C00000"/>
        </w:rPr>
        <w:t>N</w:t>
      </w:r>
      <w:r w:rsidRPr="00234687">
        <w:rPr>
          <w:color w:val="C00000"/>
          <w:vertAlign w:val="subscript"/>
        </w:rPr>
        <w:t>TXU,OTApercell</w:t>
      </w:r>
      <w:proofErr w:type="spellEnd"/>
      <w:r w:rsidRPr="00234687">
        <w:rPr>
          <w:color w:val="C00000"/>
        </w:rPr>
        <w:tab/>
      </w:r>
      <w:r w:rsidRPr="00234687">
        <w:rPr>
          <w:rFonts w:eastAsia="MS Mincho"/>
          <w:color w:val="C00000"/>
        </w:rPr>
        <w:t xml:space="preserve">The number of </w:t>
      </w:r>
      <w:r w:rsidRPr="00234687">
        <w:rPr>
          <w:rFonts w:eastAsia="MS Mincho"/>
          <w:i/>
          <w:color w:val="C00000"/>
        </w:rPr>
        <w:t>active transmitter units</w:t>
      </w:r>
      <w:r w:rsidRPr="00234687">
        <w:rPr>
          <w:rFonts w:eastAsia="MS Mincho"/>
          <w:color w:val="C00000"/>
        </w:rPr>
        <w:t xml:space="preserve"> that are taken into account for radiated TX emissions scaling per cell,</w:t>
      </w:r>
      <w:r w:rsidRPr="00234687">
        <w:rPr>
          <w:color w:val="C00000"/>
        </w:rPr>
        <w:t xml:space="preserve"> as calculated in clause 9.1</w:t>
      </w:r>
    </w:p>
    <w:p w14:paraId="380D52E3" w14:textId="529A6FC2" w:rsidR="004D015C" w:rsidRDefault="004D015C" w:rsidP="004D015C"/>
    <w:p w14:paraId="6586B5F4" w14:textId="77777777" w:rsidR="004D015C" w:rsidRDefault="004D015C" w:rsidP="004D015C">
      <w:r>
        <w:t>The scaling text in a number of sub clauses in 9.7 would also need correcting with the new acronym (9.7.3.2, 9.7.4.3, 9.7.5.2.2, 9.7.5.2.3, 9.7.5.2.4).</w:t>
      </w:r>
    </w:p>
    <w:p w14:paraId="209DB03E" w14:textId="5CF9D01A" w:rsidR="004D015C" w:rsidRDefault="004D015C" w:rsidP="004D015C">
      <w:pPr>
        <w:rPr>
          <w:rFonts w:eastAsia="MS Mincho"/>
          <w:iCs/>
          <w:lang w:eastAsia="ja-JP"/>
        </w:rPr>
      </w:pPr>
      <w:r>
        <w:t xml:space="preserve">Finally an OTA equivalent definition of </w:t>
      </w:r>
      <w:proofErr w:type="spellStart"/>
      <w:r>
        <w:rPr>
          <w:i/>
          <w:lang w:eastAsia="ja-JP"/>
        </w:rPr>
        <w:t>N</w:t>
      </w:r>
      <w:r>
        <w:rPr>
          <w:i/>
          <w:vertAlign w:val="subscript"/>
          <w:lang w:eastAsia="ja-JP"/>
        </w:rPr>
        <w:t>TXU,active</w:t>
      </w:r>
      <w:proofErr w:type="spellEnd"/>
      <w:r>
        <w:rPr>
          <w:rFonts w:eastAsia="MS Mincho"/>
          <w:iCs/>
          <w:lang w:eastAsia="ja-JP"/>
        </w:rPr>
        <w:t xml:space="preserve"> is needed, once again as the same term is used for conducted and OTA a different name would be preferable (currently the conducted version is not defined in the symbols list but as its not declared this is not such a big issue).</w:t>
      </w:r>
    </w:p>
    <w:p w14:paraId="5C7F0E4B" w14:textId="3B0247B0" w:rsidR="004D015C" w:rsidRPr="0065680D" w:rsidRDefault="004D015C" w:rsidP="004D015C">
      <w:pPr>
        <w:ind w:left="720"/>
        <w:rPr>
          <w:color w:val="C00000"/>
        </w:rPr>
      </w:pPr>
      <w:proofErr w:type="spellStart"/>
      <w:r w:rsidRPr="0065680D">
        <w:rPr>
          <w:i/>
          <w:color w:val="C00000"/>
          <w:lang w:eastAsia="ja-JP"/>
        </w:rPr>
        <w:t>N</w:t>
      </w:r>
      <w:r w:rsidRPr="0065680D">
        <w:rPr>
          <w:i/>
          <w:color w:val="C00000"/>
          <w:vertAlign w:val="subscript"/>
          <w:lang w:eastAsia="ja-JP"/>
        </w:rPr>
        <w:t>TXU,OTAactive</w:t>
      </w:r>
      <w:proofErr w:type="spellEnd"/>
      <w:r w:rsidRPr="0065680D">
        <w:rPr>
          <w:color w:val="C00000"/>
          <w:lang w:eastAsia="ja-JP"/>
        </w:rPr>
        <w:t xml:space="preserve">: The number of </w:t>
      </w:r>
      <w:r w:rsidRPr="0065680D">
        <w:rPr>
          <w:i/>
          <w:color w:val="C00000"/>
          <w:lang w:eastAsia="ja-JP"/>
        </w:rPr>
        <w:t>active transmitter units</w:t>
      </w:r>
      <w:r w:rsidRPr="0065680D">
        <w:rPr>
          <w:color w:val="C00000"/>
          <w:lang w:eastAsia="ja-JP"/>
        </w:rPr>
        <w:t xml:space="preserve"> for a IAB-MT type 1-O declared by the manufacturer</w:t>
      </w:r>
    </w:p>
    <w:p w14:paraId="09BE531A" w14:textId="77777777" w:rsidR="004D015C" w:rsidRDefault="004D015C" w:rsidP="004D015C"/>
    <w:p w14:paraId="78A71EAA" w14:textId="1439B07F" w:rsidR="009A65B2" w:rsidRDefault="009A65B2" w:rsidP="009A65B2">
      <w:pPr>
        <w:pStyle w:val="2"/>
      </w:pPr>
      <w:r>
        <w:t>2.2</w:t>
      </w:r>
      <w:r w:rsidRPr="004D3578">
        <w:tab/>
      </w:r>
      <w:r>
        <w:t>Conformance specification 38.176-2</w:t>
      </w:r>
    </w:p>
    <w:p w14:paraId="01979C0E" w14:textId="77777777" w:rsidR="009A65B2" w:rsidRDefault="009A65B2" w:rsidP="009A65B2">
      <w:bookmarkStart w:id="4" w:name="_Hlk153288320"/>
      <w:r>
        <w:t>The conformance requirement has not yet been updated to match the core requirement changes as such these need to be implemented using the same methods and definitions as 38.174.</w:t>
      </w:r>
    </w:p>
    <w:bookmarkEnd w:id="4"/>
    <w:p w14:paraId="65ADF61C" w14:textId="2779CF7C" w:rsidR="009A65B2" w:rsidRDefault="009A65B2" w:rsidP="009A65B2">
      <w:r>
        <w:t>The 8 TRX limit for an OTA AAS BS or a type 1-O BS has got lost (it is present in the corresponding core requirements) This is true for 37.145-2, 38.141-2 and 38.176-2. I’m not sure if this is problematic or not? Preferably I think it should be clear in the conformance specifications. However for the IAB conformance as we have a clear difference between the IAB-DU type 1-O and the IAB-MT type 1-O. As the IAB-MT type 1-O requires a declaration which needs to be clear in the declarations list it is perhaps more important that the limit for IAB-DU type 1-O is repeated.</w:t>
      </w:r>
    </w:p>
    <w:p w14:paraId="495204A3" w14:textId="40403817" w:rsidR="009A65B2" w:rsidRPr="00EC58E1" w:rsidRDefault="009A65B2" w:rsidP="009A65B2">
      <w:pPr>
        <w:pStyle w:val="2"/>
      </w:pPr>
      <w:r>
        <w:t xml:space="preserve">2.2.1 </w:t>
      </w:r>
      <w:r w:rsidRPr="00EC58E1">
        <w:t>Declarations</w:t>
      </w:r>
    </w:p>
    <w:p w14:paraId="1B0F732A" w14:textId="75C9DDCF" w:rsidR="009A65B2" w:rsidRDefault="009A65B2" w:rsidP="009A65B2">
      <w:pPr>
        <w:rPr>
          <w:lang w:eastAsia="ja-JP"/>
        </w:rPr>
      </w:pPr>
      <w:proofErr w:type="spellStart"/>
      <w:r>
        <w:rPr>
          <w:i/>
          <w:lang w:eastAsia="ja-JP"/>
        </w:rPr>
        <w:t>N</w:t>
      </w:r>
      <w:r>
        <w:rPr>
          <w:i/>
          <w:vertAlign w:val="subscript"/>
          <w:lang w:eastAsia="ja-JP"/>
        </w:rPr>
        <w:t>TXU,OTA,active</w:t>
      </w:r>
      <w:proofErr w:type="spellEnd"/>
      <w:r>
        <w:rPr>
          <w:lang w:eastAsia="ja-JP"/>
        </w:rPr>
        <w:t xml:space="preserve"> is a declared variable so we need to add it to the list in clause 4.6. Currently all the RF declarations are in order (with no gaps) up to D.63 so it will have to go at the end of the list (rather than with the other TX parameters where it might more sensibly sit).</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300"/>
        <w:gridCol w:w="1842"/>
        <w:gridCol w:w="4111"/>
        <w:gridCol w:w="992"/>
        <w:gridCol w:w="910"/>
        <w:gridCol w:w="933"/>
      </w:tblGrid>
      <w:tr w:rsidR="009A65B2" w:rsidRPr="00120294" w14:paraId="02004AA3" w14:textId="77777777" w:rsidTr="00C62ACD">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3AC1D94A" w14:textId="77777777" w:rsidR="009A65B2" w:rsidRPr="00120294" w:rsidRDefault="009A65B2" w:rsidP="00C62ACD">
            <w:pPr>
              <w:keepLines/>
              <w:spacing w:after="0"/>
              <w:jc w:val="center"/>
              <w:rPr>
                <w:rFonts w:ascii="Arial" w:hAnsi="Arial" w:cs="Arial"/>
                <w:b/>
                <w:sz w:val="18"/>
                <w:szCs w:val="18"/>
              </w:rPr>
            </w:pPr>
            <w:r w:rsidRPr="00120294">
              <w:rPr>
                <w:rFonts w:ascii="Arial" w:hAnsi="Arial" w:cs="Arial"/>
                <w:b/>
                <w:sz w:val="18"/>
                <w:szCs w:val="18"/>
              </w:rPr>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39B9CD37" w14:textId="77777777" w:rsidR="009A65B2" w:rsidRPr="00120294" w:rsidRDefault="009A65B2" w:rsidP="00C62ACD">
            <w:pPr>
              <w:keepLines/>
              <w:spacing w:after="0"/>
              <w:jc w:val="center"/>
              <w:rPr>
                <w:rFonts w:ascii="Arial" w:hAnsi="Arial" w:cs="Arial"/>
                <w:b/>
                <w:sz w:val="18"/>
                <w:szCs w:val="18"/>
              </w:rPr>
            </w:pPr>
            <w:r w:rsidRPr="00120294">
              <w:rPr>
                <w:rFonts w:ascii="Arial" w:hAnsi="Arial" w:cs="Arial"/>
                <w:b/>
                <w:sz w:val="18"/>
                <w:szCs w:val="18"/>
              </w:rPr>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28028EF3" w14:textId="77777777" w:rsidR="009A65B2" w:rsidRPr="00120294" w:rsidRDefault="009A65B2" w:rsidP="00C62ACD">
            <w:pPr>
              <w:keepLines/>
              <w:spacing w:after="0"/>
              <w:jc w:val="center"/>
              <w:rPr>
                <w:rFonts w:ascii="Arial" w:hAnsi="Arial" w:cs="Arial"/>
                <w:b/>
                <w:sz w:val="18"/>
                <w:szCs w:val="18"/>
              </w:rPr>
            </w:pPr>
            <w:r w:rsidRPr="00120294">
              <w:rPr>
                <w:rFonts w:ascii="Arial" w:hAnsi="Arial" w:cs="Arial"/>
                <w:b/>
                <w:sz w:val="18"/>
                <w:szCs w:val="18"/>
              </w:rPr>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0532BD33" w14:textId="77777777" w:rsidR="009A65B2" w:rsidRPr="00120294" w:rsidRDefault="009A65B2" w:rsidP="00C62ACD">
            <w:pPr>
              <w:keepLines/>
              <w:spacing w:after="0"/>
              <w:jc w:val="center"/>
              <w:rPr>
                <w:rFonts w:ascii="Arial" w:hAnsi="Arial" w:cs="Arial"/>
                <w:b/>
                <w:sz w:val="18"/>
                <w:szCs w:val="18"/>
              </w:rPr>
            </w:pPr>
            <w:r w:rsidRPr="00120294">
              <w:rPr>
                <w:rFonts w:ascii="Arial" w:hAnsi="Arial" w:cs="Arial"/>
                <w:b/>
                <w:sz w:val="18"/>
                <w:szCs w:val="18"/>
              </w:rPr>
              <w:t>Applicability</w:t>
            </w:r>
          </w:p>
          <w:p w14:paraId="0690F47E" w14:textId="77777777" w:rsidR="009A65B2" w:rsidRPr="00120294" w:rsidRDefault="009A65B2" w:rsidP="00C62ACD">
            <w:pPr>
              <w:keepLines/>
              <w:spacing w:after="0"/>
              <w:jc w:val="center"/>
              <w:rPr>
                <w:rFonts w:ascii="Arial" w:hAnsi="Arial" w:cs="Arial"/>
                <w:b/>
                <w:sz w:val="18"/>
                <w:szCs w:val="18"/>
              </w:rPr>
            </w:pPr>
            <w:r w:rsidRPr="00120294">
              <w:rPr>
                <w:rFonts w:ascii="Arial" w:hAnsi="Arial" w:cs="Arial"/>
                <w:b/>
                <w:sz w:val="18"/>
                <w:szCs w:val="18"/>
              </w:rPr>
              <w:t>(Note 1)</w:t>
            </w:r>
          </w:p>
        </w:tc>
      </w:tr>
      <w:tr w:rsidR="009A65B2" w:rsidRPr="00120294" w14:paraId="75301A6A" w14:textId="77777777" w:rsidTr="00C62ACD">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603BFFEB" w14:textId="77777777" w:rsidR="009A65B2" w:rsidRPr="00120294" w:rsidRDefault="009A65B2" w:rsidP="00C62ACD">
            <w:pPr>
              <w:keepLines/>
              <w:spacing w:after="0"/>
              <w:jc w:val="center"/>
              <w:rPr>
                <w:rFonts w:ascii="Arial" w:hAnsi="Arial" w:cs="Arial"/>
                <w:b/>
                <w:sz w:val="18"/>
                <w:szCs w:val="18"/>
              </w:rPr>
            </w:pPr>
          </w:p>
        </w:tc>
        <w:tc>
          <w:tcPr>
            <w:tcW w:w="1842" w:type="dxa"/>
            <w:tcBorders>
              <w:top w:val="nil"/>
              <w:left w:val="single" w:sz="4" w:space="0" w:color="auto"/>
              <w:bottom w:val="single" w:sz="4" w:space="0" w:color="auto"/>
              <w:right w:val="single" w:sz="4" w:space="0" w:color="auto"/>
            </w:tcBorders>
            <w:shd w:val="clear" w:color="auto" w:fill="auto"/>
          </w:tcPr>
          <w:p w14:paraId="78D5B6C2" w14:textId="77777777" w:rsidR="009A65B2" w:rsidRPr="00120294" w:rsidRDefault="009A65B2" w:rsidP="00C62ACD">
            <w:pPr>
              <w:keepLines/>
              <w:spacing w:after="0"/>
              <w:jc w:val="center"/>
              <w:rPr>
                <w:rFonts w:ascii="Arial" w:hAnsi="Arial" w:cs="Arial"/>
                <w:b/>
                <w:sz w:val="18"/>
                <w:szCs w:val="18"/>
              </w:rPr>
            </w:pPr>
          </w:p>
        </w:tc>
        <w:tc>
          <w:tcPr>
            <w:tcW w:w="4111" w:type="dxa"/>
            <w:tcBorders>
              <w:top w:val="nil"/>
              <w:left w:val="single" w:sz="4" w:space="0" w:color="auto"/>
              <w:bottom w:val="single" w:sz="4" w:space="0" w:color="auto"/>
              <w:right w:val="single" w:sz="4" w:space="0" w:color="auto"/>
            </w:tcBorders>
            <w:shd w:val="clear" w:color="auto" w:fill="auto"/>
          </w:tcPr>
          <w:p w14:paraId="39D11FE5" w14:textId="77777777" w:rsidR="009A65B2" w:rsidRPr="00120294" w:rsidRDefault="009A65B2" w:rsidP="00C62ACD">
            <w:pPr>
              <w:keepLines/>
              <w:spacing w:after="0"/>
              <w:jc w:val="center"/>
              <w:rPr>
                <w:rFonts w:ascii="Arial" w:hAnsi="Arial" w:cs="Arial"/>
                <w:b/>
                <w:sz w:val="18"/>
                <w:szCs w:val="18"/>
              </w:rPr>
            </w:pPr>
          </w:p>
        </w:tc>
        <w:tc>
          <w:tcPr>
            <w:tcW w:w="992" w:type="dxa"/>
            <w:tcBorders>
              <w:top w:val="single" w:sz="4" w:space="0" w:color="auto"/>
              <w:left w:val="single" w:sz="4" w:space="0" w:color="auto"/>
              <w:bottom w:val="single" w:sz="4" w:space="0" w:color="auto"/>
              <w:right w:val="single" w:sz="4" w:space="0" w:color="auto"/>
            </w:tcBorders>
          </w:tcPr>
          <w:p w14:paraId="26C171EE" w14:textId="77777777" w:rsidR="009A65B2" w:rsidRPr="00120294" w:rsidRDefault="009A65B2" w:rsidP="00C62ACD">
            <w:pPr>
              <w:keepLines/>
              <w:spacing w:after="0"/>
              <w:jc w:val="center"/>
              <w:rPr>
                <w:rFonts w:ascii="Arial" w:hAnsi="Arial" w:cs="Arial"/>
                <w:b/>
                <w:sz w:val="18"/>
                <w:szCs w:val="18"/>
              </w:rPr>
            </w:pPr>
            <w:r w:rsidRPr="00120294">
              <w:rPr>
                <w:rFonts w:ascii="Arial" w:hAnsi="Arial" w:cs="Arial"/>
                <w:b/>
                <w:i/>
                <w:iCs/>
                <w:sz w:val="18"/>
                <w:szCs w:val="18"/>
              </w:rPr>
              <w:t>IAB</w:t>
            </w:r>
            <w:r w:rsidRPr="00120294">
              <w:rPr>
                <w:rFonts w:ascii="Arial" w:hAnsi="Arial" w:cs="Arial"/>
                <w:b/>
                <w:sz w:val="18"/>
                <w:szCs w:val="18"/>
              </w:rPr>
              <w:t xml:space="preserve"> </w:t>
            </w:r>
            <w:r w:rsidRPr="00120294">
              <w:rPr>
                <w:rFonts w:ascii="Arial" w:hAnsi="Arial" w:cs="Arial"/>
                <w:b/>
                <w:i/>
                <w:iCs/>
                <w:sz w:val="18"/>
                <w:szCs w:val="18"/>
              </w:rPr>
              <w:t>type 1-H</w:t>
            </w:r>
          </w:p>
          <w:p w14:paraId="663C73DA" w14:textId="77777777" w:rsidR="009A65B2" w:rsidRPr="00120294" w:rsidRDefault="009A65B2" w:rsidP="00C62ACD">
            <w:pPr>
              <w:keepLines/>
              <w:spacing w:after="0"/>
              <w:jc w:val="center"/>
              <w:rPr>
                <w:rFonts w:ascii="Arial" w:hAnsi="Arial" w:cs="Arial"/>
                <w:b/>
                <w:sz w:val="18"/>
                <w:szCs w:val="18"/>
              </w:rPr>
            </w:pPr>
            <w:r w:rsidRPr="00120294">
              <w:rPr>
                <w:rFonts w:ascii="Arial" w:hAnsi="Arial" w:cs="Arial"/>
                <w:b/>
                <w:sz w:val="18"/>
                <w:szCs w:val="18"/>
              </w:rPr>
              <w:t>(Note 2)</w:t>
            </w:r>
          </w:p>
        </w:tc>
        <w:tc>
          <w:tcPr>
            <w:tcW w:w="910" w:type="dxa"/>
            <w:tcBorders>
              <w:top w:val="single" w:sz="4" w:space="0" w:color="auto"/>
              <w:left w:val="single" w:sz="4" w:space="0" w:color="auto"/>
              <w:bottom w:val="single" w:sz="4" w:space="0" w:color="auto"/>
              <w:right w:val="single" w:sz="4" w:space="0" w:color="auto"/>
            </w:tcBorders>
          </w:tcPr>
          <w:p w14:paraId="38355B78" w14:textId="77777777" w:rsidR="009A65B2" w:rsidRPr="00120294" w:rsidRDefault="009A65B2" w:rsidP="00C62ACD">
            <w:pPr>
              <w:keepLines/>
              <w:spacing w:after="0"/>
              <w:jc w:val="center"/>
              <w:rPr>
                <w:rFonts w:ascii="Arial" w:hAnsi="Arial" w:cs="Arial"/>
                <w:b/>
                <w:i/>
                <w:iCs/>
                <w:sz w:val="18"/>
                <w:szCs w:val="18"/>
              </w:rPr>
            </w:pPr>
            <w:r w:rsidRPr="00120294">
              <w:rPr>
                <w:rFonts w:ascii="Arial" w:hAnsi="Arial" w:cs="Arial"/>
                <w:b/>
                <w:i/>
                <w:iCs/>
                <w:sz w:val="18"/>
                <w:szCs w:val="18"/>
              </w:rPr>
              <w:t>IAB type 1-O</w:t>
            </w:r>
          </w:p>
        </w:tc>
        <w:tc>
          <w:tcPr>
            <w:tcW w:w="933" w:type="dxa"/>
            <w:tcBorders>
              <w:top w:val="single" w:sz="4" w:space="0" w:color="auto"/>
              <w:left w:val="single" w:sz="4" w:space="0" w:color="auto"/>
              <w:bottom w:val="single" w:sz="4" w:space="0" w:color="auto"/>
              <w:right w:val="single" w:sz="4" w:space="0" w:color="auto"/>
            </w:tcBorders>
          </w:tcPr>
          <w:p w14:paraId="7202EC4C" w14:textId="77777777" w:rsidR="009A65B2" w:rsidRPr="00120294" w:rsidRDefault="009A65B2" w:rsidP="00C62ACD">
            <w:pPr>
              <w:keepLines/>
              <w:spacing w:after="0"/>
              <w:jc w:val="center"/>
              <w:rPr>
                <w:rFonts w:ascii="Arial" w:hAnsi="Arial" w:cs="Arial"/>
                <w:b/>
                <w:i/>
                <w:iCs/>
                <w:sz w:val="18"/>
                <w:szCs w:val="18"/>
              </w:rPr>
            </w:pPr>
            <w:r w:rsidRPr="00120294">
              <w:rPr>
                <w:rFonts w:ascii="Arial" w:hAnsi="Arial" w:cs="Arial"/>
                <w:b/>
                <w:i/>
                <w:iCs/>
                <w:sz w:val="18"/>
                <w:szCs w:val="18"/>
              </w:rPr>
              <w:t>IAB type 2-O</w:t>
            </w:r>
          </w:p>
        </w:tc>
      </w:tr>
      <w:tr w:rsidR="009A65B2" w:rsidRPr="00120294" w14:paraId="2FC65A11" w14:textId="77777777" w:rsidTr="00C62ACD">
        <w:trPr>
          <w:cantSplit/>
          <w:jc w:val="center"/>
        </w:trPr>
        <w:tc>
          <w:tcPr>
            <w:tcW w:w="1300" w:type="dxa"/>
            <w:tcBorders>
              <w:top w:val="single" w:sz="4" w:space="0" w:color="auto"/>
              <w:left w:val="single" w:sz="4" w:space="0" w:color="auto"/>
              <w:bottom w:val="single" w:sz="4" w:space="0" w:color="auto"/>
              <w:right w:val="single" w:sz="4" w:space="0" w:color="auto"/>
            </w:tcBorders>
          </w:tcPr>
          <w:p w14:paraId="5172499F" w14:textId="77777777" w:rsidR="009A65B2" w:rsidRPr="002550AB" w:rsidRDefault="009A65B2" w:rsidP="00C62ACD">
            <w:pPr>
              <w:keepLines/>
              <w:spacing w:after="0"/>
              <w:rPr>
                <w:rFonts w:ascii="Arial" w:hAnsi="Arial" w:cs="Arial"/>
                <w:color w:val="C00000"/>
                <w:sz w:val="18"/>
                <w:szCs w:val="18"/>
              </w:rPr>
            </w:pPr>
            <w:r w:rsidRPr="002550AB">
              <w:rPr>
                <w:rFonts w:ascii="Arial" w:hAnsi="Arial" w:cs="Arial"/>
                <w:color w:val="C00000"/>
                <w:sz w:val="18"/>
                <w:szCs w:val="18"/>
              </w:rPr>
              <w:t>D.64</w:t>
            </w:r>
          </w:p>
        </w:tc>
        <w:tc>
          <w:tcPr>
            <w:tcW w:w="1842" w:type="dxa"/>
            <w:tcBorders>
              <w:top w:val="single" w:sz="4" w:space="0" w:color="auto"/>
              <w:left w:val="single" w:sz="4" w:space="0" w:color="auto"/>
              <w:bottom w:val="single" w:sz="4" w:space="0" w:color="auto"/>
              <w:right w:val="single" w:sz="4" w:space="0" w:color="auto"/>
            </w:tcBorders>
          </w:tcPr>
          <w:p w14:paraId="287F2F02" w14:textId="77777777" w:rsidR="009A65B2" w:rsidRPr="002550AB" w:rsidRDefault="009A65B2" w:rsidP="00C62ACD">
            <w:pPr>
              <w:keepLines/>
              <w:spacing w:after="0"/>
              <w:rPr>
                <w:rFonts w:ascii="Arial" w:hAnsi="Arial" w:cs="Arial"/>
                <w:color w:val="C00000"/>
                <w:sz w:val="18"/>
                <w:szCs w:val="18"/>
              </w:rPr>
            </w:pPr>
            <w:r w:rsidRPr="002550AB">
              <w:rPr>
                <w:rFonts w:ascii="Arial" w:hAnsi="Arial" w:cs="Arial"/>
                <w:color w:val="C00000"/>
                <w:sz w:val="18"/>
                <w:szCs w:val="18"/>
              </w:rPr>
              <w:t xml:space="preserve">Number of active OTA transmitters </w:t>
            </w:r>
          </w:p>
        </w:tc>
        <w:tc>
          <w:tcPr>
            <w:tcW w:w="4111" w:type="dxa"/>
            <w:tcBorders>
              <w:top w:val="single" w:sz="4" w:space="0" w:color="auto"/>
              <w:left w:val="single" w:sz="4" w:space="0" w:color="auto"/>
              <w:bottom w:val="single" w:sz="4" w:space="0" w:color="auto"/>
              <w:right w:val="single" w:sz="4" w:space="0" w:color="auto"/>
            </w:tcBorders>
          </w:tcPr>
          <w:p w14:paraId="323B15D3" w14:textId="5EA01B9D" w:rsidR="009A65B2" w:rsidRPr="002550AB" w:rsidRDefault="009A65B2" w:rsidP="00C62ACD">
            <w:pPr>
              <w:keepLines/>
              <w:spacing w:after="0"/>
              <w:rPr>
                <w:rFonts w:ascii="Arial" w:hAnsi="Arial" w:cs="Arial"/>
                <w:color w:val="C00000"/>
                <w:sz w:val="18"/>
                <w:szCs w:val="18"/>
              </w:rPr>
            </w:pPr>
            <w:r w:rsidRPr="002550AB">
              <w:rPr>
                <w:rFonts w:ascii="Arial" w:hAnsi="Arial" w:cs="Arial"/>
                <w:color w:val="C00000"/>
                <w:sz w:val="18"/>
                <w:szCs w:val="18"/>
              </w:rPr>
              <w:t xml:space="preserve">The number of </w:t>
            </w:r>
            <w:r w:rsidRPr="002550AB">
              <w:rPr>
                <w:rFonts w:ascii="Arial" w:hAnsi="Arial" w:cs="Arial"/>
                <w:i/>
                <w:color w:val="C00000"/>
                <w:sz w:val="18"/>
                <w:szCs w:val="18"/>
              </w:rPr>
              <w:t>active transmitter units</w:t>
            </w:r>
            <w:r w:rsidRPr="002550AB">
              <w:rPr>
                <w:rFonts w:ascii="Arial" w:hAnsi="Arial" w:cs="Arial"/>
                <w:color w:val="C00000"/>
                <w:sz w:val="18"/>
                <w:szCs w:val="18"/>
              </w:rPr>
              <w:t xml:space="preserve"> for the IAB-MT type 1-O only transmitting at the RIB.</w:t>
            </w:r>
          </w:p>
        </w:tc>
        <w:tc>
          <w:tcPr>
            <w:tcW w:w="992" w:type="dxa"/>
            <w:tcBorders>
              <w:top w:val="single" w:sz="4" w:space="0" w:color="auto"/>
              <w:left w:val="single" w:sz="4" w:space="0" w:color="auto"/>
              <w:bottom w:val="single" w:sz="4" w:space="0" w:color="auto"/>
              <w:right w:val="single" w:sz="4" w:space="0" w:color="auto"/>
            </w:tcBorders>
          </w:tcPr>
          <w:p w14:paraId="1FC11F0A" w14:textId="77777777" w:rsidR="009A65B2" w:rsidRPr="002550AB" w:rsidRDefault="009A65B2" w:rsidP="00C62ACD">
            <w:pPr>
              <w:keepLines/>
              <w:spacing w:after="0"/>
              <w:rPr>
                <w:rFonts w:ascii="Arial" w:hAnsi="Arial" w:cs="Arial"/>
                <w:color w:val="C00000"/>
                <w:sz w:val="18"/>
                <w:szCs w:val="18"/>
              </w:rPr>
            </w:pPr>
            <w:r w:rsidRPr="002550AB">
              <w:rPr>
                <w:rFonts w:ascii="Arial" w:hAnsi="Arial" w:cs="Arial"/>
                <w:color w:val="C00000"/>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4ED07EE0" w14:textId="77777777" w:rsidR="009A65B2" w:rsidRPr="002550AB" w:rsidRDefault="009A65B2" w:rsidP="00C62ACD">
            <w:pPr>
              <w:keepLines/>
              <w:spacing w:after="0"/>
              <w:rPr>
                <w:rFonts w:ascii="Arial" w:hAnsi="Arial" w:cs="Arial"/>
                <w:color w:val="C00000"/>
                <w:sz w:val="18"/>
                <w:szCs w:val="18"/>
              </w:rPr>
            </w:pPr>
            <w:r w:rsidRPr="002550AB">
              <w:rPr>
                <w:rFonts w:ascii="Arial" w:hAnsi="Arial" w:cs="Arial"/>
                <w:color w:val="C00000"/>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FA032B7" w14:textId="77777777" w:rsidR="009A65B2" w:rsidRPr="002550AB" w:rsidRDefault="009A65B2" w:rsidP="00C62ACD">
            <w:pPr>
              <w:keepLines/>
              <w:spacing w:after="0"/>
              <w:rPr>
                <w:rFonts w:ascii="Arial" w:hAnsi="Arial" w:cs="Arial"/>
                <w:color w:val="C00000"/>
                <w:sz w:val="18"/>
                <w:szCs w:val="18"/>
              </w:rPr>
            </w:pPr>
            <w:r w:rsidRPr="002550AB">
              <w:rPr>
                <w:rFonts w:ascii="Arial" w:hAnsi="Arial" w:cs="Arial"/>
                <w:color w:val="C00000"/>
                <w:sz w:val="18"/>
                <w:szCs w:val="18"/>
              </w:rPr>
              <w:t>n/a</w:t>
            </w:r>
          </w:p>
        </w:tc>
      </w:tr>
    </w:tbl>
    <w:p w14:paraId="22247BC4" w14:textId="77777777" w:rsidR="004D015C" w:rsidRDefault="004D015C" w:rsidP="004D015C"/>
    <w:p w14:paraId="1FE29548" w14:textId="53298B5E" w:rsidR="009A65B2" w:rsidRPr="00EC58E1" w:rsidRDefault="009A65B2" w:rsidP="009A65B2">
      <w:pPr>
        <w:pStyle w:val="2"/>
      </w:pPr>
      <w:r>
        <w:lastRenderedPageBreak/>
        <w:t>2.2.2</w:t>
      </w:r>
      <w:r>
        <w:tab/>
      </w:r>
      <w:r w:rsidRPr="00EC58E1">
        <w:t>Other 38.176-</w:t>
      </w:r>
      <w:r w:rsidR="00104418">
        <w:t>2</w:t>
      </w:r>
      <w:r w:rsidRPr="00EC58E1">
        <w:t xml:space="preserve"> issues:</w:t>
      </w:r>
    </w:p>
    <w:p w14:paraId="5285C033" w14:textId="77777777" w:rsidR="009A65B2" w:rsidRPr="00556B57" w:rsidRDefault="009A65B2" w:rsidP="009A65B2">
      <w:pPr>
        <w:rPr>
          <w:b/>
        </w:rPr>
      </w:pPr>
      <w:r w:rsidRPr="00556B57">
        <w:rPr>
          <w:b/>
        </w:rPr>
        <w:t xml:space="preserve">Sub-clause 6.7.4.6.1 </w:t>
      </w:r>
    </w:p>
    <w:p w14:paraId="702B4495" w14:textId="77777777" w:rsidR="009A65B2" w:rsidRPr="00EC58E1" w:rsidRDefault="009A65B2" w:rsidP="00556B57">
      <w:pPr>
        <w:keepNext/>
        <w:ind w:left="852"/>
        <w:rPr>
          <w:color w:val="5B9BD5" w:themeColor="accent1"/>
        </w:rPr>
      </w:pPr>
      <w:r w:rsidRPr="00EC58E1">
        <w:rPr>
          <w:color w:val="5B9BD5" w:themeColor="accent1"/>
        </w:rPr>
        <w:t xml:space="preserve">For the tables in this clause </w:t>
      </w:r>
      <w:r w:rsidRPr="00EC58E1">
        <w:rPr>
          <w:color w:val="5B9BD5" w:themeColor="accent1"/>
          <w:lang w:eastAsia="en-GB"/>
        </w:rPr>
        <w:t xml:space="preserve">for </w:t>
      </w:r>
      <w:r w:rsidRPr="00EC58E1">
        <w:rPr>
          <w:i/>
          <w:strike/>
          <w:color w:val="5B9BD5" w:themeColor="accent1"/>
          <w:lang w:eastAsia="en-GB"/>
        </w:rPr>
        <w:t>IAB-DU type 1-H</w:t>
      </w:r>
      <w:r w:rsidRPr="00EC58E1">
        <w:rPr>
          <w:color w:val="5B9BD5" w:themeColor="accent1"/>
          <w:lang w:eastAsia="en-GB"/>
        </w:rPr>
        <w:t xml:space="preserve"> and </w:t>
      </w:r>
      <w:r w:rsidRPr="00EC58E1">
        <w:rPr>
          <w:i/>
          <w:iCs/>
          <w:color w:val="5B9BD5" w:themeColor="accent1"/>
          <w:lang w:eastAsia="en-GB"/>
        </w:rPr>
        <w:t>IAB-DU type 1-O</w:t>
      </w:r>
      <w:r w:rsidRPr="00EC58E1">
        <w:rPr>
          <w:color w:val="5B9BD5" w:themeColor="accent1"/>
          <w:lang w:eastAsia="en-GB"/>
        </w:rPr>
        <w:t xml:space="preserve"> </w:t>
      </w:r>
      <w:proofErr w:type="spellStart"/>
      <w:r w:rsidRPr="00EC58E1">
        <w:rPr>
          <w:color w:val="5B9BD5" w:themeColor="accent1"/>
          <w:lang w:eastAsia="en-GB"/>
        </w:rPr>
        <w:t>P</w:t>
      </w:r>
      <w:r w:rsidRPr="00EC58E1">
        <w:rPr>
          <w:color w:val="5B9BD5" w:themeColor="accent1"/>
          <w:vertAlign w:val="subscript"/>
          <w:lang w:eastAsia="en-GB"/>
        </w:rPr>
        <w:t>rated,x</w:t>
      </w:r>
      <w:proofErr w:type="spellEnd"/>
      <w:r w:rsidRPr="00EC58E1">
        <w:rPr>
          <w:color w:val="5B9BD5" w:themeColor="accent1"/>
          <w:lang w:eastAsia="en-GB"/>
        </w:rPr>
        <w:t xml:space="preserve"> = </w:t>
      </w:r>
      <w:proofErr w:type="spellStart"/>
      <w:r w:rsidRPr="00EC58E1">
        <w:rPr>
          <w:color w:val="5B9BD5" w:themeColor="accent1"/>
          <w:lang w:eastAsia="en-GB"/>
        </w:rPr>
        <w:t>P</w:t>
      </w:r>
      <w:r w:rsidRPr="00EC58E1">
        <w:rPr>
          <w:color w:val="5B9BD5" w:themeColor="accent1"/>
          <w:vertAlign w:val="subscript"/>
          <w:lang w:eastAsia="en-GB"/>
        </w:rPr>
        <w:t>rated,c,cell</w:t>
      </w:r>
      <w:proofErr w:type="spellEnd"/>
      <w:r w:rsidRPr="00EC58E1">
        <w:rPr>
          <w:color w:val="5B9BD5" w:themeColor="accent1"/>
          <w:lang w:eastAsia="en-GB"/>
        </w:rPr>
        <w:t xml:space="preserve"> – 10*log</w:t>
      </w:r>
      <w:r w:rsidRPr="00EC58E1">
        <w:rPr>
          <w:color w:val="5B9BD5" w:themeColor="accent1"/>
          <w:vertAlign w:val="subscript"/>
          <w:lang w:eastAsia="en-GB"/>
        </w:rPr>
        <w:t>10</w:t>
      </w:r>
      <w:r w:rsidRPr="00EC58E1">
        <w:rPr>
          <w:color w:val="5B9BD5" w:themeColor="accent1"/>
          <w:lang w:eastAsia="en-GB"/>
        </w:rPr>
        <w:t>(</w:t>
      </w:r>
      <w:proofErr w:type="spellStart"/>
      <w:r w:rsidRPr="00EC58E1">
        <w:rPr>
          <w:color w:val="5B9BD5" w:themeColor="accent1"/>
          <w:highlight w:val="yellow"/>
          <w:lang w:eastAsia="en-GB"/>
        </w:rPr>
        <w:t>N</w:t>
      </w:r>
      <w:r w:rsidRPr="00EC58E1">
        <w:rPr>
          <w:color w:val="5B9BD5" w:themeColor="accent1"/>
          <w:highlight w:val="yellow"/>
          <w:vertAlign w:val="subscript"/>
          <w:lang w:eastAsia="en-GB"/>
        </w:rPr>
        <w:t>TXU,countedpercell</w:t>
      </w:r>
      <w:proofErr w:type="spellEnd"/>
      <w:r w:rsidRPr="00EC58E1">
        <w:rPr>
          <w:color w:val="5B9BD5" w:themeColor="accent1"/>
          <w:lang w:eastAsia="en-GB"/>
        </w:rPr>
        <w:t>)</w:t>
      </w:r>
      <w:r w:rsidRPr="00EC58E1">
        <w:rPr>
          <w:color w:val="5B9BD5" w:themeColor="accent1"/>
        </w:rPr>
        <w:t xml:space="preserve">, </w:t>
      </w:r>
    </w:p>
    <w:p w14:paraId="46F30316" w14:textId="77777777" w:rsidR="009A65B2" w:rsidRDefault="009A65B2" w:rsidP="00556B57">
      <w:pPr>
        <w:ind w:left="132"/>
      </w:pPr>
      <w:r>
        <w:t xml:space="preserve">No OTA 1-H emissions requirements, </w:t>
      </w:r>
      <w:proofErr w:type="spellStart"/>
      <w:r>
        <w:t>N</w:t>
      </w:r>
      <w:r w:rsidRPr="00EC58E1">
        <w:rPr>
          <w:vertAlign w:val="subscript"/>
        </w:rPr>
        <w:t>TXU,countedpercell</w:t>
      </w:r>
      <w:proofErr w:type="spellEnd"/>
      <w:r>
        <w:t xml:space="preserve"> should match what’s done in core</w:t>
      </w:r>
    </w:p>
    <w:p w14:paraId="1DB747E7" w14:textId="4106C59F" w:rsidR="00E62210" w:rsidRPr="00556B57" w:rsidRDefault="00E62210" w:rsidP="009A65B2">
      <w:pPr>
        <w:rPr>
          <w:b/>
        </w:rPr>
      </w:pPr>
      <w:r w:rsidRPr="00556B57">
        <w:rPr>
          <w:b/>
        </w:rPr>
        <w:t>Sub-clause 6.7.4.5</w:t>
      </w:r>
    </w:p>
    <w:p w14:paraId="3BD848B7" w14:textId="0059E019" w:rsidR="00E62210" w:rsidRDefault="00E62210" w:rsidP="00556B57">
      <w:pPr>
        <w:ind w:left="284"/>
      </w:pPr>
      <w:r>
        <w:t xml:space="preserve">Something has gone </w:t>
      </w:r>
      <w:r w:rsidR="00556B57">
        <w:t>wrong</w:t>
      </w:r>
      <w:r>
        <w:t xml:space="preserve"> with the sub-clause numbering it jumps to 4.7.4.6 which doesn’t exist</w:t>
      </w:r>
    </w:p>
    <w:p w14:paraId="4E22B396" w14:textId="4CC325CD" w:rsidR="00E62210" w:rsidRDefault="00556B57" w:rsidP="00556B57">
      <w:pPr>
        <w:ind w:left="568"/>
      </w:pPr>
      <w:r>
        <w:t>4.7.4.5.1 – ok</w:t>
      </w:r>
    </w:p>
    <w:p w14:paraId="758DFAFE" w14:textId="727CEB0B" w:rsidR="00556B57" w:rsidRDefault="00556B57" w:rsidP="00556B57">
      <w:pPr>
        <w:ind w:left="568"/>
      </w:pPr>
      <w:r>
        <w:t>4.7.4.6.1 – should be 4.7.4.5.2</w:t>
      </w:r>
    </w:p>
    <w:p w14:paraId="0AD592EF" w14:textId="3292E97A" w:rsidR="00556B57" w:rsidRDefault="00556B57" w:rsidP="00556B57">
      <w:pPr>
        <w:ind w:left="568"/>
      </w:pPr>
      <w:r>
        <w:t>4.7.4.6.2 – should be 4.7.4.5.3</w:t>
      </w:r>
    </w:p>
    <w:p w14:paraId="051F2F64" w14:textId="262DF045" w:rsidR="00556B57" w:rsidRDefault="00556B57" w:rsidP="00556B57">
      <w:pPr>
        <w:ind w:left="568"/>
      </w:pPr>
      <w:r>
        <w:t>4.7.4.6.3 – should be 4.7.4.5.4</w:t>
      </w:r>
    </w:p>
    <w:p w14:paraId="5393C8C7" w14:textId="37EE558E" w:rsidR="00556B57" w:rsidRDefault="00556B57" w:rsidP="00556B57">
      <w:pPr>
        <w:ind w:left="568"/>
      </w:pPr>
      <w:r>
        <w:t>4.7.4.6.4 – should be 4.7.4.5.5</w:t>
      </w:r>
    </w:p>
    <w:p w14:paraId="51452187" w14:textId="5ABE6083" w:rsidR="00556B57" w:rsidRDefault="00556B57" w:rsidP="00556B57">
      <w:pPr>
        <w:ind w:left="284"/>
      </w:pPr>
      <w:r>
        <w:t>Sub-clause numbers, table numbers, and references need correcting</w:t>
      </w:r>
    </w:p>
    <w:p w14:paraId="73CA3FAD" w14:textId="4D550246" w:rsidR="009A65B2" w:rsidRPr="00556B57" w:rsidRDefault="009A65B2" w:rsidP="009A65B2">
      <w:pPr>
        <w:rPr>
          <w:b/>
        </w:rPr>
      </w:pPr>
      <w:r w:rsidRPr="00556B57">
        <w:rPr>
          <w:b/>
        </w:rPr>
        <w:t>Sub-clause 8.2.1.1</w:t>
      </w:r>
    </w:p>
    <w:p w14:paraId="30F9C423" w14:textId="77777777" w:rsidR="009A65B2" w:rsidRPr="00EC58E1" w:rsidRDefault="009A65B2" w:rsidP="00556B57">
      <w:pPr>
        <w:ind w:left="568"/>
        <w:rPr>
          <w:color w:val="5B9BD5" w:themeColor="accent1"/>
        </w:rPr>
      </w:pPr>
      <w:r w:rsidRPr="00EC58E1">
        <w:rPr>
          <w:color w:val="5B9BD5" w:themeColor="accent1"/>
        </w:rPr>
        <w:t>The SNR used in this clause is specified based on a single carrier and defined as:</w:t>
      </w:r>
    </w:p>
    <w:p w14:paraId="78E648F4" w14:textId="77777777" w:rsidR="009A65B2" w:rsidRPr="00EC58E1" w:rsidRDefault="009A65B2" w:rsidP="00556B57">
      <w:pPr>
        <w:ind w:left="1136" w:hanging="284"/>
        <w:rPr>
          <w:color w:val="5B9BD5" w:themeColor="accent1"/>
        </w:rPr>
      </w:pPr>
      <w:r w:rsidRPr="00EC58E1">
        <w:rPr>
          <w:color w:val="5B9BD5" w:themeColor="accent1"/>
        </w:rPr>
        <w:t>SNR = S / N</w:t>
      </w:r>
    </w:p>
    <w:p w14:paraId="3589BB77" w14:textId="77777777" w:rsidR="009A65B2" w:rsidRPr="00EC58E1" w:rsidRDefault="009A65B2" w:rsidP="00556B57">
      <w:pPr>
        <w:ind w:left="568"/>
        <w:rPr>
          <w:color w:val="5B9BD5" w:themeColor="accent1"/>
        </w:rPr>
      </w:pPr>
      <w:r w:rsidRPr="00EC58E1">
        <w:rPr>
          <w:color w:val="5B9BD5" w:themeColor="accent1"/>
        </w:rPr>
        <w:t>Where:</w:t>
      </w:r>
    </w:p>
    <w:p w14:paraId="7FE9A3C3" w14:textId="77777777" w:rsidR="009A65B2" w:rsidRPr="00EC58E1" w:rsidRDefault="009A65B2" w:rsidP="00556B57">
      <w:pPr>
        <w:ind w:left="1136" w:hanging="284"/>
        <w:rPr>
          <w:color w:val="5B9BD5" w:themeColor="accent1"/>
        </w:rPr>
      </w:pPr>
      <w:r w:rsidRPr="00EC58E1">
        <w:rPr>
          <w:color w:val="5B9BD5" w:themeColor="accent1"/>
        </w:rPr>
        <w:t>S</w:t>
      </w:r>
      <w:r w:rsidRPr="00EC58E1">
        <w:rPr>
          <w:color w:val="5B9BD5" w:themeColor="accent1"/>
        </w:rPr>
        <w:tab/>
        <w:t xml:space="preserve">is the total signal energy in the slot on a single </w:t>
      </w:r>
      <w:r w:rsidRPr="00EC58E1">
        <w:rPr>
          <w:i/>
          <w:color w:val="5B9BD5" w:themeColor="accent1"/>
        </w:rPr>
        <w:t>TAB connector</w:t>
      </w:r>
      <w:r w:rsidRPr="00EC58E1">
        <w:rPr>
          <w:color w:val="5B9BD5" w:themeColor="accent1"/>
        </w:rPr>
        <w:t xml:space="preserve"> (for </w:t>
      </w:r>
      <w:r w:rsidRPr="00EC58E1">
        <w:rPr>
          <w:i/>
          <w:color w:val="5B9BD5" w:themeColor="accent1"/>
        </w:rPr>
        <w:t>IAB-MT type 1-H</w:t>
      </w:r>
      <w:r w:rsidRPr="00EC58E1">
        <w:rPr>
          <w:color w:val="5B9BD5" w:themeColor="accent1"/>
        </w:rPr>
        <w:t>).</w:t>
      </w:r>
    </w:p>
    <w:p w14:paraId="413C6062" w14:textId="77777777" w:rsidR="009A65B2" w:rsidRPr="00EC58E1" w:rsidRDefault="009A65B2" w:rsidP="00556B57">
      <w:pPr>
        <w:ind w:left="1136" w:hanging="284"/>
        <w:rPr>
          <w:color w:val="5B9BD5" w:themeColor="accent1"/>
        </w:rPr>
      </w:pPr>
      <w:r w:rsidRPr="00EC58E1">
        <w:rPr>
          <w:color w:val="5B9BD5" w:themeColor="accent1"/>
        </w:rPr>
        <w:t>N</w:t>
      </w:r>
      <w:r w:rsidRPr="00EC58E1">
        <w:rPr>
          <w:color w:val="5B9BD5" w:themeColor="accent1"/>
        </w:rPr>
        <w:tab/>
        <w:t xml:space="preserve">is the noise energy in a bandwidth corresponding to the transmission bandwidth over the duration of a slot on a single TAB connector (for </w:t>
      </w:r>
      <w:r w:rsidRPr="00EC58E1">
        <w:rPr>
          <w:i/>
          <w:color w:val="5B9BD5" w:themeColor="accent1"/>
        </w:rPr>
        <w:t>IAB-MT type 1-H</w:t>
      </w:r>
      <w:r w:rsidRPr="00EC58E1">
        <w:rPr>
          <w:color w:val="5B9BD5" w:themeColor="accent1"/>
        </w:rPr>
        <w:t>).</w:t>
      </w:r>
    </w:p>
    <w:p w14:paraId="444A62D9" w14:textId="77777777" w:rsidR="009A65B2" w:rsidRDefault="009A65B2" w:rsidP="00556B57">
      <w:pPr>
        <w:ind w:left="284"/>
      </w:pPr>
      <w:r>
        <w:t>Scope is IAB-MT type 1-O and 2-O but IAB-MT type 1-H and TAB connectors are used for the definition of SNR</w:t>
      </w:r>
    </w:p>
    <w:p w14:paraId="38AC75BB" w14:textId="78544845" w:rsidR="009A65B2" w:rsidRPr="00D53C29" w:rsidRDefault="009A65B2" w:rsidP="009A65B2">
      <w:pPr>
        <w:pStyle w:val="10"/>
      </w:pPr>
      <w:r>
        <w:t>3</w:t>
      </w:r>
      <w:r>
        <w:tab/>
      </w:r>
      <w:r w:rsidRPr="00D53C29">
        <w:t>Summary</w:t>
      </w:r>
    </w:p>
    <w:p w14:paraId="4B2D68B7" w14:textId="51D6BB0E" w:rsidR="009A65B2" w:rsidRDefault="009A65B2" w:rsidP="009A65B2">
      <w:pPr>
        <w:pStyle w:val="afff0"/>
        <w:numPr>
          <w:ilvl w:val="0"/>
          <w:numId w:val="15"/>
        </w:numPr>
        <w:overflowPunct/>
        <w:autoSpaceDE/>
        <w:autoSpaceDN/>
        <w:adjustRightInd/>
        <w:spacing w:after="160" w:line="259" w:lineRule="auto"/>
        <w:ind w:firstLineChars="0"/>
        <w:contextualSpacing/>
        <w:textAlignment w:val="auto"/>
      </w:pPr>
      <w:bookmarkStart w:id="5" w:name="_Hlk153288574"/>
      <w:r>
        <w:t>The following definition should be modified and created in 38.174, 38.176-1 and 38.176-2 as appropriate:</w:t>
      </w:r>
    </w:p>
    <w:p w14:paraId="35D2E453" w14:textId="77777777" w:rsidR="009A65B2" w:rsidRDefault="009A65B2" w:rsidP="009A65B2">
      <w:pPr>
        <w:pStyle w:val="afff0"/>
        <w:overflowPunct/>
        <w:autoSpaceDE/>
        <w:autoSpaceDN/>
        <w:adjustRightInd/>
        <w:spacing w:after="160" w:line="259" w:lineRule="auto"/>
        <w:ind w:left="360" w:firstLineChars="0" w:firstLine="0"/>
        <w:contextualSpacing/>
        <w:textAlignment w:val="auto"/>
      </w:pPr>
    </w:p>
    <w:p w14:paraId="525DA801" w14:textId="77777777" w:rsidR="009A65B2" w:rsidRPr="00B719B6" w:rsidRDefault="009A65B2" w:rsidP="009A65B2">
      <w:pPr>
        <w:pStyle w:val="afff0"/>
        <w:numPr>
          <w:ilvl w:val="1"/>
          <w:numId w:val="15"/>
        </w:numPr>
        <w:ind w:firstLineChars="0"/>
      </w:pPr>
      <w:r w:rsidRPr="009A65B2">
        <w:rPr>
          <w:b/>
        </w:rPr>
        <w:t xml:space="preserve">active transmitter unit: </w:t>
      </w:r>
      <w:r w:rsidRPr="00B719B6">
        <w:t xml:space="preserve">transmitter unit which is ON, and has the ability to send modulated data streams that are parallel and distinct to those sent from other transmitter units to one or more </w:t>
      </w:r>
      <w:r w:rsidRPr="009A65B2">
        <w:rPr>
          <w:i/>
        </w:rPr>
        <w:t>IAB type 1-H</w:t>
      </w:r>
      <w:r w:rsidRPr="00B719B6">
        <w:t xml:space="preserve"> </w:t>
      </w:r>
      <w:r w:rsidRPr="009A65B2">
        <w:rPr>
          <w:i/>
        </w:rPr>
        <w:t>TAB connectors</w:t>
      </w:r>
      <w:r w:rsidRPr="00B719B6">
        <w:t xml:space="preserve"> at the </w:t>
      </w:r>
      <w:r w:rsidRPr="009A65B2">
        <w:rPr>
          <w:i/>
        </w:rPr>
        <w:t xml:space="preserve">transceiver array boundary </w:t>
      </w:r>
      <w:bookmarkStart w:id="6" w:name="_Hlk155622283"/>
      <w:r w:rsidRPr="00C45F43">
        <w:rPr>
          <w:i/>
        </w:rPr>
        <w:t>or to the radiated interface boundary for IAB-MT type 1-O.</w:t>
      </w:r>
      <w:bookmarkEnd w:id="6"/>
    </w:p>
    <w:p w14:paraId="0CA92777" w14:textId="77777777" w:rsidR="009A65B2" w:rsidRPr="00B719B6" w:rsidRDefault="009A65B2" w:rsidP="009A65B2">
      <w:pPr>
        <w:pStyle w:val="afff0"/>
        <w:numPr>
          <w:ilvl w:val="0"/>
          <w:numId w:val="15"/>
        </w:numPr>
        <w:overflowPunct/>
        <w:autoSpaceDE/>
        <w:autoSpaceDN/>
        <w:adjustRightInd/>
        <w:spacing w:after="160" w:line="259" w:lineRule="auto"/>
        <w:ind w:firstLineChars="0"/>
        <w:contextualSpacing/>
        <w:textAlignment w:val="auto"/>
      </w:pPr>
      <w:r>
        <w:t>The following symbols should be defined in 38.174 and 38.176-2</w:t>
      </w:r>
    </w:p>
    <w:p w14:paraId="505BA864" w14:textId="48B2CEE9" w:rsidR="009A65B2" w:rsidRPr="00044916" w:rsidRDefault="009A65B2" w:rsidP="009A65B2">
      <w:pPr>
        <w:pStyle w:val="EW"/>
        <w:ind w:left="2138"/>
      </w:pPr>
      <w:bookmarkStart w:id="7" w:name="_Hlk155622398"/>
      <w:proofErr w:type="spellStart"/>
      <w:r w:rsidRPr="00044916">
        <w:t>N</w:t>
      </w:r>
      <w:r w:rsidRPr="00044916">
        <w:rPr>
          <w:vertAlign w:val="subscript"/>
        </w:rPr>
        <w:t>TXU,OTApercell</w:t>
      </w:r>
      <w:proofErr w:type="spellEnd"/>
      <w:r w:rsidRPr="00044916">
        <w:tab/>
      </w:r>
      <w:r w:rsidRPr="00044916">
        <w:rPr>
          <w:rFonts w:eastAsia="MS Mincho"/>
        </w:rPr>
        <w:t xml:space="preserve">The number of </w:t>
      </w:r>
      <w:r w:rsidRPr="00044916">
        <w:rPr>
          <w:rFonts w:eastAsia="MS Mincho"/>
          <w:i/>
        </w:rPr>
        <w:t>active transmitter units</w:t>
      </w:r>
      <w:r w:rsidRPr="00044916">
        <w:rPr>
          <w:rFonts w:eastAsia="MS Mincho"/>
        </w:rPr>
        <w:t xml:space="preserve"> that are taken into account for radiated TX emissions scaling per cell,</w:t>
      </w:r>
      <w:r w:rsidRPr="00044916">
        <w:t xml:space="preserve"> as calculated in clause 9.1</w:t>
      </w:r>
    </w:p>
    <w:bookmarkEnd w:id="7"/>
    <w:p w14:paraId="6757EBF4" w14:textId="77777777" w:rsidR="009A65B2" w:rsidRPr="00044916" w:rsidRDefault="009A65B2" w:rsidP="009A65B2">
      <w:pPr>
        <w:pStyle w:val="EW"/>
        <w:ind w:left="0" w:firstLine="0"/>
      </w:pPr>
    </w:p>
    <w:p w14:paraId="3303D180" w14:textId="77777777" w:rsidR="009A65B2" w:rsidRPr="00044916" w:rsidRDefault="009A65B2" w:rsidP="009A65B2">
      <w:pPr>
        <w:pStyle w:val="EW"/>
        <w:ind w:left="0" w:firstLine="0"/>
      </w:pPr>
    </w:p>
    <w:p w14:paraId="3488D785" w14:textId="73398A57" w:rsidR="009A65B2" w:rsidRPr="00044916" w:rsidRDefault="009A65B2" w:rsidP="009A65B2">
      <w:pPr>
        <w:ind w:left="720"/>
      </w:pPr>
      <w:bookmarkStart w:id="8" w:name="_Hlk155622363"/>
      <w:proofErr w:type="spellStart"/>
      <w:r w:rsidRPr="00044916">
        <w:rPr>
          <w:i/>
          <w:lang w:eastAsia="ja-JP"/>
        </w:rPr>
        <w:t>N</w:t>
      </w:r>
      <w:r w:rsidRPr="00044916">
        <w:rPr>
          <w:i/>
          <w:vertAlign w:val="subscript"/>
          <w:lang w:eastAsia="ja-JP"/>
        </w:rPr>
        <w:t>TXU,OTAactive</w:t>
      </w:r>
      <w:proofErr w:type="spellEnd"/>
      <w:r w:rsidRPr="00044916">
        <w:rPr>
          <w:lang w:eastAsia="ja-JP"/>
        </w:rPr>
        <w:t xml:space="preserve">: The number of </w:t>
      </w:r>
      <w:r w:rsidR="005226B7">
        <w:rPr>
          <w:i/>
          <w:lang w:eastAsia="ja-JP"/>
        </w:rPr>
        <w:t>active</w:t>
      </w:r>
      <w:r w:rsidRPr="00044916">
        <w:rPr>
          <w:i/>
          <w:lang w:eastAsia="ja-JP"/>
        </w:rPr>
        <w:t xml:space="preserve"> transmitter units</w:t>
      </w:r>
      <w:r w:rsidRPr="00044916">
        <w:rPr>
          <w:lang w:eastAsia="ja-JP"/>
        </w:rPr>
        <w:t xml:space="preserve"> for a IAB-MT type 1-O declared by the manufacturer</w:t>
      </w:r>
    </w:p>
    <w:bookmarkEnd w:id="8"/>
    <w:p w14:paraId="00C0CFC1" w14:textId="77777777" w:rsidR="009A65B2" w:rsidRPr="00044916" w:rsidRDefault="009A65B2" w:rsidP="009A65B2">
      <w:pPr>
        <w:pStyle w:val="afff0"/>
        <w:numPr>
          <w:ilvl w:val="0"/>
          <w:numId w:val="15"/>
        </w:numPr>
        <w:overflowPunct/>
        <w:autoSpaceDE/>
        <w:autoSpaceDN/>
        <w:adjustRightInd/>
        <w:spacing w:after="160" w:line="259" w:lineRule="auto"/>
        <w:ind w:firstLineChars="0"/>
        <w:contextualSpacing/>
        <w:textAlignment w:val="auto"/>
      </w:pPr>
      <w:r w:rsidRPr="00044916">
        <w:t xml:space="preserve">The requirements in 38.174 sub-clauses 9.7.3.2, 9.7.4.3, 9.7.5.2.2, 9.7.5.2.3 and 9.7.5.2.4 should have </w:t>
      </w:r>
      <w:proofErr w:type="spellStart"/>
      <w:r w:rsidRPr="00044916">
        <w:t>N</w:t>
      </w:r>
      <w:r w:rsidRPr="00044916">
        <w:rPr>
          <w:vertAlign w:val="subscript"/>
        </w:rPr>
        <w:t>TXU,countedpercell</w:t>
      </w:r>
      <w:proofErr w:type="spellEnd"/>
      <w:r w:rsidRPr="00044916">
        <w:rPr>
          <w:vertAlign w:val="subscript"/>
        </w:rPr>
        <w:t xml:space="preserve"> </w:t>
      </w:r>
      <w:r w:rsidRPr="00044916">
        <w:t>replaced with</w:t>
      </w:r>
      <w:r w:rsidRPr="00044916">
        <w:rPr>
          <w:vertAlign w:val="subscript"/>
        </w:rPr>
        <w:t xml:space="preserve"> </w:t>
      </w:r>
      <w:proofErr w:type="spellStart"/>
      <w:r w:rsidRPr="00044916">
        <w:t>N</w:t>
      </w:r>
      <w:r w:rsidRPr="00044916">
        <w:rPr>
          <w:vertAlign w:val="subscript"/>
        </w:rPr>
        <w:t>TXU,OTApercell</w:t>
      </w:r>
      <w:proofErr w:type="spellEnd"/>
      <w:r w:rsidRPr="00044916">
        <w:t>.</w:t>
      </w:r>
    </w:p>
    <w:p w14:paraId="7FEEC8B2" w14:textId="77777777" w:rsidR="009A65B2" w:rsidRPr="00044916" w:rsidRDefault="009A65B2" w:rsidP="009A65B2">
      <w:r w:rsidRPr="00044916">
        <w:t>38.176-2 only</w:t>
      </w:r>
    </w:p>
    <w:p w14:paraId="06964D9A" w14:textId="77777777" w:rsidR="009A65B2" w:rsidRPr="00044916" w:rsidRDefault="009A65B2" w:rsidP="009A65B2">
      <w:pPr>
        <w:pStyle w:val="EW"/>
        <w:numPr>
          <w:ilvl w:val="0"/>
          <w:numId w:val="13"/>
        </w:numPr>
      </w:pPr>
      <w:r w:rsidRPr="00044916">
        <w:t>The changes to 38.174 requirements need to be included in the specification.</w:t>
      </w:r>
    </w:p>
    <w:p w14:paraId="4F2BD267" w14:textId="77777777" w:rsidR="009A65B2" w:rsidRPr="00044916" w:rsidRDefault="009A65B2" w:rsidP="009A65B2">
      <w:pPr>
        <w:pStyle w:val="EW"/>
        <w:numPr>
          <w:ilvl w:val="0"/>
          <w:numId w:val="13"/>
        </w:numPr>
      </w:pPr>
      <w:r w:rsidRPr="00044916">
        <w:t>A new declaration should be defined as follows:</w:t>
      </w:r>
    </w:p>
    <w:p w14:paraId="5F33A1DE" w14:textId="77777777" w:rsidR="009A65B2" w:rsidRPr="00044916" w:rsidRDefault="009A65B2" w:rsidP="009A65B2">
      <w:pPr>
        <w:pStyle w:val="EW"/>
        <w:ind w:left="0" w:firstLine="0"/>
      </w:pP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300"/>
        <w:gridCol w:w="1842"/>
        <w:gridCol w:w="4111"/>
        <w:gridCol w:w="992"/>
        <w:gridCol w:w="910"/>
        <w:gridCol w:w="933"/>
      </w:tblGrid>
      <w:tr w:rsidR="009A65B2" w:rsidRPr="00044916" w14:paraId="39A0278D" w14:textId="77777777" w:rsidTr="00C62ACD">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5AD5A36E" w14:textId="77777777" w:rsidR="009A65B2" w:rsidRPr="00044916" w:rsidRDefault="009A65B2" w:rsidP="00C62ACD">
            <w:pPr>
              <w:keepLines/>
              <w:spacing w:after="0"/>
              <w:jc w:val="center"/>
              <w:rPr>
                <w:rFonts w:ascii="Arial" w:hAnsi="Arial" w:cs="Arial"/>
                <w:b/>
                <w:sz w:val="18"/>
                <w:szCs w:val="18"/>
              </w:rPr>
            </w:pPr>
            <w:r w:rsidRPr="00044916">
              <w:rPr>
                <w:rFonts w:ascii="Arial" w:hAnsi="Arial" w:cs="Arial"/>
                <w:b/>
                <w:sz w:val="18"/>
                <w:szCs w:val="18"/>
              </w:rPr>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50EB8E5F" w14:textId="77777777" w:rsidR="009A65B2" w:rsidRPr="00044916" w:rsidRDefault="009A65B2" w:rsidP="00C62ACD">
            <w:pPr>
              <w:keepLines/>
              <w:spacing w:after="0"/>
              <w:jc w:val="center"/>
              <w:rPr>
                <w:rFonts w:ascii="Arial" w:hAnsi="Arial" w:cs="Arial"/>
                <w:b/>
                <w:sz w:val="18"/>
                <w:szCs w:val="18"/>
              </w:rPr>
            </w:pPr>
            <w:r w:rsidRPr="00044916">
              <w:rPr>
                <w:rFonts w:ascii="Arial" w:hAnsi="Arial" w:cs="Arial"/>
                <w:b/>
                <w:sz w:val="18"/>
                <w:szCs w:val="18"/>
              </w:rPr>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77C1C36D" w14:textId="77777777" w:rsidR="009A65B2" w:rsidRPr="00044916" w:rsidRDefault="009A65B2" w:rsidP="00C62ACD">
            <w:pPr>
              <w:keepLines/>
              <w:spacing w:after="0"/>
              <w:jc w:val="center"/>
              <w:rPr>
                <w:rFonts w:ascii="Arial" w:hAnsi="Arial" w:cs="Arial"/>
                <w:b/>
                <w:sz w:val="18"/>
                <w:szCs w:val="18"/>
              </w:rPr>
            </w:pPr>
            <w:r w:rsidRPr="00044916">
              <w:rPr>
                <w:rFonts w:ascii="Arial" w:hAnsi="Arial" w:cs="Arial"/>
                <w:b/>
                <w:sz w:val="18"/>
                <w:szCs w:val="18"/>
              </w:rPr>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5F732289" w14:textId="77777777" w:rsidR="009A65B2" w:rsidRPr="00044916" w:rsidRDefault="009A65B2" w:rsidP="00C62ACD">
            <w:pPr>
              <w:keepLines/>
              <w:spacing w:after="0"/>
              <w:jc w:val="center"/>
              <w:rPr>
                <w:rFonts w:ascii="Arial" w:hAnsi="Arial" w:cs="Arial"/>
                <w:b/>
                <w:sz w:val="18"/>
                <w:szCs w:val="18"/>
              </w:rPr>
            </w:pPr>
            <w:r w:rsidRPr="00044916">
              <w:rPr>
                <w:rFonts w:ascii="Arial" w:hAnsi="Arial" w:cs="Arial"/>
                <w:b/>
                <w:sz w:val="18"/>
                <w:szCs w:val="18"/>
              </w:rPr>
              <w:t>Applicability</w:t>
            </w:r>
          </w:p>
          <w:p w14:paraId="5F00B803" w14:textId="77777777" w:rsidR="009A65B2" w:rsidRPr="00044916" w:rsidRDefault="009A65B2" w:rsidP="00C62ACD">
            <w:pPr>
              <w:keepLines/>
              <w:spacing w:after="0"/>
              <w:jc w:val="center"/>
              <w:rPr>
                <w:rFonts w:ascii="Arial" w:hAnsi="Arial" w:cs="Arial"/>
                <w:b/>
                <w:sz w:val="18"/>
                <w:szCs w:val="18"/>
              </w:rPr>
            </w:pPr>
            <w:r w:rsidRPr="00044916">
              <w:rPr>
                <w:rFonts w:ascii="Arial" w:hAnsi="Arial" w:cs="Arial"/>
                <w:b/>
                <w:sz w:val="18"/>
                <w:szCs w:val="18"/>
              </w:rPr>
              <w:t>(Note 1)</w:t>
            </w:r>
          </w:p>
        </w:tc>
      </w:tr>
      <w:tr w:rsidR="009A65B2" w:rsidRPr="00044916" w14:paraId="485C3907" w14:textId="77777777" w:rsidTr="00C62ACD">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501A2B9B" w14:textId="77777777" w:rsidR="009A65B2" w:rsidRPr="00044916" w:rsidRDefault="009A65B2" w:rsidP="00C62ACD">
            <w:pPr>
              <w:keepLines/>
              <w:spacing w:after="0"/>
              <w:jc w:val="center"/>
              <w:rPr>
                <w:rFonts w:ascii="Arial" w:hAnsi="Arial" w:cs="Arial"/>
                <w:b/>
                <w:sz w:val="18"/>
                <w:szCs w:val="18"/>
              </w:rPr>
            </w:pPr>
          </w:p>
        </w:tc>
        <w:tc>
          <w:tcPr>
            <w:tcW w:w="1842" w:type="dxa"/>
            <w:tcBorders>
              <w:top w:val="nil"/>
              <w:left w:val="single" w:sz="4" w:space="0" w:color="auto"/>
              <w:bottom w:val="single" w:sz="4" w:space="0" w:color="auto"/>
              <w:right w:val="single" w:sz="4" w:space="0" w:color="auto"/>
            </w:tcBorders>
            <w:shd w:val="clear" w:color="auto" w:fill="auto"/>
          </w:tcPr>
          <w:p w14:paraId="1707BBEB" w14:textId="77777777" w:rsidR="009A65B2" w:rsidRPr="00044916" w:rsidRDefault="009A65B2" w:rsidP="00C62ACD">
            <w:pPr>
              <w:keepLines/>
              <w:spacing w:after="0"/>
              <w:jc w:val="center"/>
              <w:rPr>
                <w:rFonts w:ascii="Arial" w:hAnsi="Arial" w:cs="Arial"/>
                <w:b/>
                <w:sz w:val="18"/>
                <w:szCs w:val="18"/>
              </w:rPr>
            </w:pPr>
          </w:p>
        </w:tc>
        <w:tc>
          <w:tcPr>
            <w:tcW w:w="4111" w:type="dxa"/>
            <w:tcBorders>
              <w:top w:val="nil"/>
              <w:left w:val="single" w:sz="4" w:space="0" w:color="auto"/>
              <w:bottom w:val="single" w:sz="4" w:space="0" w:color="auto"/>
              <w:right w:val="single" w:sz="4" w:space="0" w:color="auto"/>
            </w:tcBorders>
            <w:shd w:val="clear" w:color="auto" w:fill="auto"/>
          </w:tcPr>
          <w:p w14:paraId="1EC0DB59" w14:textId="77777777" w:rsidR="009A65B2" w:rsidRPr="00044916" w:rsidRDefault="009A65B2" w:rsidP="00C62ACD">
            <w:pPr>
              <w:keepLines/>
              <w:spacing w:after="0"/>
              <w:jc w:val="center"/>
              <w:rPr>
                <w:rFonts w:ascii="Arial" w:hAnsi="Arial" w:cs="Arial"/>
                <w:b/>
                <w:sz w:val="18"/>
                <w:szCs w:val="18"/>
              </w:rPr>
            </w:pPr>
          </w:p>
        </w:tc>
        <w:tc>
          <w:tcPr>
            <w:tcW w:w="992" w:type="dxa"/>
            <w:tcBorders>
              <w:top w:val="single" w:sz="4" w:space="0" w:color="auto"/>
              <w:left w:val="single" w:sz="4" w:space="0" w:color="auto"/>
              <w:bottom w:val="single" w:sz="4" w:space="0" w:color="auto"/>
              <w:right w:val="single" w:sz="4" w:space="0" w:color="auto"/>
            </w:tcBorders>
          </w:tcPr>
          <w:p w14:paraId="67ABA8EA" w14:textId="77777777" w:rsidR="009A65B2" w:rsidRPr="00044916" w:rsidRDefault="009A65B2" w:rsidP="00C62ACD">
            <w:pPr>
              <w:keepLines/>
              <w:spacing w:after="0"/>
              <w:jc w:val="center"/>
              <w:rPr>
                <w:rFonts w:ascii="Arial" w:hAnsi="Arial" w:cs="Arial"/>
                <w:b/>
                <w:sz w:val="18"/>
                <w:szCs w:val="18"/>
              </w:rPr>
            </w:pPr>
            <w:r w:rsidRPr="00044916">
              <w:rPr>
                <w:rFonts w:ascii="Arial" w:hAnsi="Arial" w:cs="Arial"/>
                <w:b/>
                <w:i/>
                <w:iCs/>
                <w:sz w:val="18"/>
                <w:szCs w:val="18"/>
              </w:rPr>
              <w:t>IAB</w:t>
            </w:r>
            <w:r w:rsidRPr="00044916">
              <w:rPr>
                <w:rFonts w:ascii="Arial" w:hAnsi="Arial" w:cs="Arial"/>
                <w:b/>
                <w:sz w:val="18"/>
                <w:szCs w:val="18"/>
              </w:rPr>
              <w:t xml:space="preserve"> </w:t>
            </w:r>
            <w:r w:rsidRPr="00044916">
              <w:rPr>
                <w:rFonts w:ascii="Arial" w:hAnsi="Arial" w:cs="Arial"/>
                <w:b/>
                <w:i/>
                <w:iCs/>
                <w:sz w:val="18"/>
                <w:szCs w:val="18"/>
              </w:rPr>
              <w:t>type 1-H</w:t>
            </w:r>
          </w:p>
          <w:p w14:paraId="3F7C1311" w14:textId="77777777" w:rsidR="009A65B2" w:rsidRPr="00044916" w:rsidRDefault="009A65B2" w:rsidP="00C62ACD">
            <w:pPr>
              <w:keepLines/>
              <w:spacing w:after="0"/>
              <w:jc w:val="center"/>
              <w:rPr>
                <w:rFonts w:ascii="Arial" w:hAnsi="Arial" w:cs="Arial"/>
                <w:b/>
                <w:sz w:val="18"/>
                <w:szCs w:val="18"/>
              </w:rPr>
            </w:pPr>
            <w:r w:rsidRPr="00044916">
              <w:rPr>
                <w:rFonts w:ascii="Arial" w:hAnsi="Arial" w:cs="Arial"/>
                <w:b/>
                <w:sz w:val="18"/>
                <w:szCs w:val="18"/>
              </w:rPr>
              <w:t>(Note 2)</w:t>
            </w:r>
          </w:p>
        </w:tc>
        <w:tc>
          <w:tcPr>
            <w:tcW w:w="910" w:type="dxa"/>
            <w:tcBorders>
              <w:top w:val="single" w:sz="4" w:space="0" w:color="auto"/>
              <w:left w:val="single" w:sz="4" w:space="0" w:color="auto"/>
              <w:bottom w:val="single" w:sz="4" w:space="0" w:color="auto"/>
              <w:right w:val="single" w:sz="4" w:space="0" w:color="auto"/>
            </w:tcBorders>
          </w:tcPr>
          <w:p w14:paraId="15F448E6" w14:textId="77777777" w:rsidR="009A65B2" w:rsidRPr="00044916" w:rsidRDefault="009A65B2" w:rsidP="00C62ACD">
            <w:pPr>
              <w:keepLines/>
              <w:spacing w:after="0"/>
              <w:jc w:val="center"/>
              <w:rPr>
                <w:rFonts w:ascii="Arial" w:hAnsi="Arial" w:cs="Arial"/>
                <w:b/>
                <w:i/>
                <w:iCs/>
                <w:sz w:val="18"/>
                <w:szCs w:val="18"/>
              </w:rPr>
            </w:pPr>
            <w:r w:rsidRPr="00044916">
              <w:rPr>
                <w:rFonts w:ascii="Arial" w:hAnsi="Arial" w:cs="Arial"/>
                <w:b/>
                <w:i/>
                <w:iCs/>
                <w:sz w:val="18"/>
                <w:szCs w:val="18"/>
              </w:rPr>
              <w:t>IAB type 1-O</w:t>
            </w:r>
          </w:p>
        </w:tc>
        <w:tc>
          <w:tcPr>
            <w:tcW w:w="933" w:type="dxa"/>
            <w:tcBorders>
              <w:top w:val="single" w:sz="4" w:space="0" w:color="auto"/>
              <w:left w:val="single" w:sz="4" w:space="0" w:color="auto"/>
              <w:bottom w:val="single" w:sz="4" w:space="0" w:color="auto"/>
              <w:right w:val="single" w:sz="4" w:space="0" w:color="auto"/>
            </w:tcBorders>
          </w:tcPr>
          <w:p w14:paraId="579D4B3D" w14:textId="77777777" w:rsidR="009A65B2" w:rsidRPr="00044916" w:rsidRDefault="009A65B2" w:rsidP="00C62ACD">
            <w:pPr>
              <w:keepLines/>
              <w:spacing w:after="0"/>
              <w:jc w:val="center"/>
              <w:rPr>
                <w:rFonts w:ascii="Arial" w:hAnsi="Arial" w:cs="Arial"/>
                <w:b/>
                <w:i/>
                <w:iCs/>
                <w:sz w:val="18"/>
                <w:szCs w:val="18"/>
              </w:rPr>
            </w:pPr>
            <w:r w:rsidRPr="00044916">
              <w:rPr>
                <w:rFonts w:ascii="Arial" w:hAnsi="Arial" w:cs="Arial"/>
                <w:b/>
                <w:i/>
                <w:iCs/>
                <w:sz w:val="18"/>
                <w:szCs w:val="18"/>
              </w:rPr>
              <w:t>IAB type 2-O</w:t>
            </w:r>
          </w:p>
        </w:tc>
      </w:tr>
      <w:tr w:rsidR="009A65B2" w:rsidRPr="00044916" w14:paraId="3961B1AF" w14:textId="77777777" w:rsidTr="00C62ACD">
        <w:trPr>
          <w:cantSplit/>
          <w:jc w:val="center"/>
        </w:trPr>
        <w:tc>
          <w:tcPr>
            <w:tcW w:w="1300" w:type="dxa"/>
            <w:tcBorders>
              <w:top w:val="single" w:sz="4" w:space="0" w:color="auto"/>
              <w:left w:val="single" w:sz="4" w:space="0" w:color="auto"/>
              <w:bottom w:val="single" w:sz="4" w:space="0" w:color="auto"/>
              <w:right w:val="single" w:sz="4" w:space="0" w:color="auto"/>
            </w:tcBorders>
          </w:tcPr>
          <w:p w14:paraId="1504A187" w14:textId="77777777" w:rsidR="009A65B2" w:rsidRPr="00044916" w:rsidRDefault="009A65B2" w:rsidP="00C62ACD">
            <w:pPr>
              <w:keepLines/>
              <w:spacing w:after="0"/>
              <w:rPr>
                <w:rFonts w:ascii="Arial" w:hAnsi="Arial" w:cs="Arial"/>
                <w:sz w:val="18"/>
                <w:szCs w:val="18"/>
              </w:rPr>
            </w:pPr>
            <w:r w:rsidRPr="00044916">
              <w:rPr>
                <w:rFonts w:ascii="Arial" w:hAnsi="Arial" w:cs="Arial"/>
                <w:sz w:val="18"/>
                <w:szCs w:val="18"/>
              </w:rPr>
              <w:t>D.64</w:t>
            </w:r>
          </w:p>
        </w:tc>
        <w:tc>
          <w:tcPr>
            <w:tcW w:w="1842" w:type="dxa"/>
            <w:tcBorders>
              <w:top w:val="single" w:sz="4" w:space="0" w:color="auto"/>
              <w:left w:val="single" w:sz="4" w:space="0" w:color="auto"/>
              <w:bottom w:val="single" w:sz="4" w:space="0" w:color="auto"/>
              <w:right w:val="single" w:sz="4" w:space="0" w:color="auto"/>
            </w:tcBorders>
          </w:tcPr>
          <w:p w14:paraId="6DB585AB" w14:textId="77777777" w:rsidR="009A65B2" w:rsidRPr="00044916" w:rsidRDefault="009A65B2" w:rsidP="00C62ACD">
            <w:pPr>
              <w:keepLines/>
              <w:spacing w:after="0"/>
              <w:rPr>
                <w:rFonts w:ascii="Arial" w:hAnsi="Arial" w:cs="Arial"/>
                <w:sz w:val="18"/>
                <w:szCs w:val="18"/>
              </w:rPr>
            </w:pPr>
            <w:r w:rsidRPr="00044916">
              <w:rPr>
                <w:rFonts w:ascii="Arial" w:hAnsi="Arial" w:cs="Arial"/>
                <w:sz w:val="18"/>
                <w:szCs w:val="18"/>
              </w:rPr>
              <w:t xml:space="preserve">Number of active OTA transmitters </w:t>
            </w:r>
          </w:p>
        </w:tc>
        <w:tc>
          <w:tcPr>
            <w:tcW w:w="4111" w:type="dxa"/>
            <w:tcBorders>
              <w:top w:val="single" w:sz="4" w:space="0" w:color="auto"/>
              <w:left w:val="single" w:sz="4" w:space="0" w:color="auto"/>
              <w:bottom w:val="single" w:sz="4" w:space="0" w:color="auto"/>
              <w:right w:val="single" w:sz="4" w:space="0" w:color="auto"/>
            </w:tcBorders>
          </w:tcPr>
          <w:p w14:paraId="67D5D1DA" w14:textId="5B8F3131" w:rsidR="009A65B2" w:rsidRPr="00044916" w:rsidRDefault="009A65B2" w:rsidP="00C62ACD">
            <w:pPr>
              <w:keepLines/>
              <w:spacing w:after="0"/>
              <w:rPr>
                <w:rFonts w:ascii="Arial" w:hAnsi="Arial" w:cs="Arial"/>
                <w:sz w:val="18"/>
                <w:szCs w:val="18"/>
              </w:rPr>
            </w:pPr>
            <w:r w:rsidRPr="00044916">
              <w:rPr>
                <w:rFonts w:ascii="Arial" w:hAnsi="Arial" w:cs="Arial"/>
                <w:sz w:val="18"/>
                <w:szCs w:val="18"/>
              </w:rPr>
              <w:t xml:space="preserve">The number of </w:t>
            </w:r>
            <w:r w:rsidRPr="00044916">
              <w:rPr>
                <w:rFonts w:ascii="Arial" w:hAnsi="Arial" w:cs="Arial"/>
                <w:i/>
                <w:sz w:val="18"/>
                <w:szCs w:val="18"/>
              </w:rPr>
              <w:t>active transmitter units</w:t>
            </w:r>
            <w:r w:rsidRPr="00044916">
              <w:rPr>
                <w:rFonts w:ascii="Arial" w:hAnsi="Arial" w:cs="Arial"/>
                <w:sz w:val="18"/>
                <w:szCs w:val="18"/>
              </w:rPr>
              <w:t xml:space="preserve"> for the IAB-MT type 1-O only transmitting at the RIB.</w:t>
            </w:r>
          </w:p>
        </w:tc>
        <w:tc>
          <w:tcPr>
            <w:tcW w:w="992" w:type="dxa"/>
            <w:tcBorders>
              <w:top w:val="single" w:sz="4" w:space="0" w:color="auto"/>
              <w:left w:val="single" w:sz="4" w:space="0" w:color="auto"/>
              <w:bottom w:val="single" w:sz="4" w:space="0" w:color="auto"/>
              <w:right w:val="single" w:sz="4" w:space="0" w:color="auto"/>
            </w:tcBorders>
          </w:tcPr>
          <w:p w14:paraId="10E08538" w14:textId="77777777" w:rsidR="009A65B2" w:rsidRPr="00044916" w:rsidRDefault="009A65B2" w:rsidP="00C62ACD">
            <w:pPr>
              <w:keepLines/>
              <w:spacing w:after="0"/>
              <w:rPr>
                <w:rFonts w:ascii="Arial" w:hAnsi="Arial" w:cs="Arial"/>
                <w:sz w:val="18"/>
                <w:szCs w:val="18"/>
              </w:rPr>
            </w:pPr>
            <w:r w:rsidRPr="00044916">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106373D6" w14:textId="77777777" w:rsidR="009A65B2" w:rsidRPr="00044916" w:rsidRDefault="009A65B2" w:rsidP="00C62ACD">
            <w:pPr>
              <w:keepLines/>
              <w:spacing w:after="0"/>
              <w:rPr>
                <w:rFonts w:ascii="Arial" w:hAnsi="Arial" w:cs="Arial"/>
                <w:sz w:val="18"/>
                <w:szCs w:val="18"/>
              </w:rPr>
            </w:pPr>
            <w:r w:rsidRPr="00044916">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25F9EF3" w14:textId="77777777" w:rsidR="009A65B2" w:rsidRPr="00044916" w:rsidRDefault="009A65B2" w:rsidP="00C62ACD">
            <w:pPr>
              <w:keepLines/>
              <w:spacing w:after="0"/>
              <w:rPr>
                <w:rFonts w:ascii="Arial" w:hAnsi="Arial" w:cs="Arial"/>
                <w:sz w:val="18"/>
                <w:szCs w:val="18"/>
              </w:rPr>
            </w:pPr>
            <w:r w:rsidRPr="00044916">
              <w:rPr>
                <w:rFonts w:ascii="Arial" w:hAnsi="Arial" w:cs="Arial"/>
                <w:sz w:val="18"/>
                <w:szCs w:val="18"/>
              </w:rPr>
              <w:t>n/a</w:t>
            </w:r>
          </w:p>
        </w:tc>
      </w:tr>
    </w:tbl>
    <w:p w14:paraId="73EA6581" w14:textId="77777777" w:rsidR="009A65B2" w:rsidRPr="00044916" w:rsidRDefault="009A65B2" w:rsidP="009A65B2">
      <w:pPr>
        <w:pStyle w:val="EW"/>
        <w:ind w:left="0" w:firstLine="0"/>
      </w:pPr>
    </w:p>
    <w:p w14:paraId="02450B64" w14:textId="77777777" w:rsidR="009A65B2" w:rsidRPr="00044916" w:rsidRDefault="009A65B2" w:rsidP="009A65B2">
      <w:pPr>
        <w:pStyle w:val="EW"/>
        <w:ind w:left="0" w:firstLine="0"/>
      </w:pPr>
    </w:p>
    <w:p w14:paraId="2DD2A2D1" w14:textId="77777777" w:rsidR="009A65B2" w:rsidRPr="00044916" w:rsidRDefault="009A65B2" w:rsidP="009A65B2">
      <w:pPr>
        <w:pStyle w:val="EW"/>
        <w:numPr>
          <w:ilvl w:val="0"/>
          <w:numId w:val="14"/>
        </w:numPr>
        <w:ind w:left="360"/>
      </w:pPr>
      <w:r w:rsidRPr="00044916">
        <w:t>The minimum 8 TRX limitation for IAB-DU type 1-O architecture should be repeated in 38.176-2 (its in 38.174)</w:t>
      </w:r>
    </w:p>
    <w:p w14:paraId="04BCFB35" w14:textId="77777777" w:rsidR="009A65B2" w:rsidRPr="00044916" w:rsidRDefault="009A65B2" w:rsidP="009A65B2">
      <w:pPr>
        <w:pStyle w:val="EW"/>
        <w:ind w:left="0" w:firstLine="0"/>
      </w:pPr>
    </w:p>
    <w:p w14:paraId="60FDCB1C" w14:textId="6396FE75" w:rsidR="009A65B2" w:rsidRDefault="009A65B2" w:rsidP="009A65B2">
      <w:pPr>
        <w:pStyle w:val="EW"/>
        <w:numPr>
          <w:ilvl w:val="0"/>
          <w:numId w:val="14"/>
        </w:numPr>
        <w:ind w:left="360"/>
      </w:pPr>
      <w:r w:rsidRPr="00044916">
        <w:t>The other conformance specification issues should be corrected.</w:t>
      </w:r>
    </w:p>
    <w:p w14:paraId="4FF12DC3" w14:textId="77777777" w:rsidR="006D4643" w:rsidRDefault="006D4643" w:rsidP="006D4643">
      <w:pPr>
        <w:pStyle w:val="afff0"/>
        <w:ind w:firstLine="400"/>
      </w:pPr>
    </w:p>
    <w:p w14:paraId="31639355" w14:textId="55261F1F" w:rsidR="006D4643" w:rsidRPr="00044916" w:rsidRDefault="00CD51BE" w:rsidP="009A65B2">
      <w:pPr>
        <w:pStyle w:val="EW"/>
        <w:numPr>
          <w:ilvl w:val="0"/>
          <w:numId w:val="14"/>
        </w:numPr>
        <w:ind w:left="360"/>
      </w:pPr>
      <w:r>
        <w:t>Similar changes need implementing (updating) for the receiver spurious emissions requirements also.</w:t>
      </w:r>
    </w:p>
    <w:p w14:paraId="6FCE60E2" w14:textId="77777777" w:rsidR="004D015C" w:rsidRDefault="004D015C" w:rsidP="004D015C">
      <w:bookmarkStart w:id="9" w:name="_GoBack"/>
      <w:bookmarkEnd w:id="5"/>
      <w:bookmarkEnd w:id="9"/>
    </w:p>
    <w:sectPr w:rsidR="004D015C"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425FE" w16cex:dateUtc="2022-10-14T17:16:00Z"/>
  <w16cex:commentExtensible w16cex:durableId="26F3F99C" w16cex:dateUtc="2022-10-14T13:07:00Z"/>
  <w16cex:commentExtensible w16cex:durableId="26F42641" w16cex:dateUtc="2022-10-14T17: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E9892" w14:textId="77777777" w:rsidR="003E5102" w:rsidRDefault="003E5102">
      <w:r>
        <w:separator/>
      </w:r>
    </w:p>
  </w:endnote>
  <w:endnote w:type="continuationSeparator" w:id="0">
    <w:p w14:paraId="30A6C957" w14:textId="77777777" w:rsidR="003E5102" w:rsidRDefault="003E5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_GB2312">
    <w:altName w:val="仿宋"/>
    <w:charset w:val="86"/>
    <w:family w:val="modern"/>
    <w:pitch w:val="default"/>
    <w:sig w:usb0="00000000" w:usb1="00000000" w:usb2="00000010" w:usb3="00000000" w:csb0="00040000" w:csb1="00000000"/>
  </w:font>
  <w:font w:name="Yu Mincho">
    <w:altName w:val="Yu Gothic"/>
    <w:charset w:val="80"/>
    <w:family w:val="roman"/>
    <w:pitch w:val="variable"/>
    <w:sig w:usb0="800002E7" w:usb1="2AC7FCFF" w:usb2="00000012" w:usb3="00000000" w:csb0="0002009F" w:csb1="00000000"/>
  </w:font>
  <w:font w:name="MS Mincho">
    <w:altName w:val="Yu Gothic"/>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C0B1C" w14:textId="77777777" w:rsidR="008737A4" w:rsidRPr="00D12FFA" w:rsidRDefault="008737A4">
    <w:pPr>
      <w:pStyle w:val="a7"/>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4540F5" w14:textId="77777777" w:rsidR="003E5102" w:rsidRDefault="003E5102">
      <w:r>
        <w:separator/>
      </w:r>
    </w:p>
  </w:footnote>
  <w:footnote w:type="continuationSeparator" w:id="0">
    <w:p w14:paraId="29A8D820" w14:textId="77777777" w:rsidR="003E5102" w:rsidRDefault="003E51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9"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14"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7"/>
  </w:num>
  <w:num w:numId="3">
    <w:abstractNumId w:val="13"/>
  </w:num>
  <w:num w:numId="4">
    <w:abstractNumId w:val="12"/>
  </w:num>
  <w:num w:numId="5">
    <w:abstractNumId w:val="4"/>
  </w:num>
  <w:num w:numId="6">
    <w:abstractNumId w:val="10"/>
  </w:num>
  <w:num w:numId="7">
    <w:abstractNumId w:val="15"/>
  </w:num>
  <w:num w:numId="8">
    <w:abstractNumId w:val="3"/>
  </w:num>
  <w:num w:numId="9">
    <w:abstractNumId w:val="2"/>
  </w:num>
  <w:num w:numId="10">
    <w:abstractNumId w:val="11"/>
  </w:num>
  <w:num w:numId="11">
    <w:abstractNumId w:val="5"/>
  </w:num>
  <w:num w:numId="12">
    <w:abstractNumId w:val="1"/>
  </w:num>
  <w:num w:numId="13">
    <w:abstractNumId w:val="14"/>
  </w:num>
  <w:num w:numId="14">
    <w:abstractNumId w:val="0"/>
  </w:num>
  <w:num w:numId="15">
    <w:abstractNumId w:val="9"/>
  </w:num>
  <w:num w:numId="16">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418"/>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0FA2"/>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25"/>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D1E"/>
    <w:rsid w:val="001C1240"/>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64E"/>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2A8B"/>
    <w:rsid w:val="0024334C"/>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44B"/>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102"/>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ABC"/>
    <w:rsid w:val="00410B0A"/>
    <w:rsid w:val="00411635"/>
    <w:rsid w:val="00412A80"/>
    <w:rsid w:val="00412C67"/>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71190"/>
    <w:rsid w:val="004711EF"/>
    <w:rsid w:val="004726E5"/>
    <w:rsid w:val="00472760"/>
    <w:rsid w:val="00472B07"/>
    <w:rsid w:val="00473001"/>
    <w:rsid w:val="004743B9"/>
    <w:rsid w:val="00474557"/>
    <w:rsid w:val="0047518D"/>
    <w:rsid w:val="004759A8"/>
    <w:rsid w:val="00475C5A"/>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80F"/>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B5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962"/>
    <w:rsid w:val="005A1B4F"/>
    <w:rsid w:val="005A1D4F"/>
    <w:rsid w:val="005A1DEF"/>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5EF"/>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F3F"/>
    <w:rsid w:val="006269DE"/>
    <w:rsid w:val="00626C0D"/>
    <w:rsid w:val="00627034"/>
    <w:rsid w:val="00627285"/>
    <w:rsid w:val="00627325"/>
    <w:rsid w:val="006274B4"/>
    <w:rsid w:val="0062751C"/>
    <w:rsid w:val="006276A9"/>
    <w:rsid w:val="006277C8"/>
    <w:rsid w:val="0063027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B22"/>
    <w:rsid w:val="006A4DB2"/>
    <w:rsid w:val="006A5591"/>
    <w:rsid w:val="006A5630"/>
    <w:rsid w:val="006A5825"/>
    <w:rsid w:val="006A5C86"/>
    <w:rsid w:val="006A60DA"/>
    <w:rsid w:val="006A6D6C"/>
    <w:rsid w:val="006A7836"/>
    <w:rsid w:val="006A79BA"/>
    <w:rsid w:val="006B06D5"/>
    <w:rsid w:val="006B0C41"/>
    <w:rsid w:val="006B1920"/>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1F5"/>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18B4"/>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511"/>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130C"/>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540"/>
    <w:rsid w:val="00865E57"/>
    <w:rsid w:val="00865F3C"/>
    <w:rsid w:val="008666D1"/>
    <w:rsid w:val="0086720A"/>
    <w:rsid w:val="008676FE"/>
    <w:rsid w:val="008707DA"/>
    <w:rsid w:val="00870A83"/>
    <w:rsid w:val="00871644"/>
    <w:rsid w:val="00872029"/>
    <w:rsid w:val="008721CE"/>
    <w:rsid w:val="0087220C"/>
    <w:rsid w:val="0087240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90E"/>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65B2"/>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F0"/>
    <w:rsid w:val="009E1400"/>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8B8"/>
    <w:rsid w:val="00A12B48"/>
    <w:rsid w:val="00A132D9"/>
    <w:rsid w:val="00A13434"/>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6FD"/>
    <w:rsid w:val="00AA7CCE"/>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3A1"/>
    <w:rsid w:val="00AF4E45"/>
    <w:rsid w:val="00AF4FB6"/>
    <w:rsid w:val="00AF5081"/>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17F0"/>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6D3A"/>
    <w:rsid w:val="00B37330"/>
    <w:rsid w:val="00B37649"/>
    <w:rsid w:val="00B37662"/>
    <w:rsid w:val="00B377DD"/>
    <w:rsid w:val="00B37889"/>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0A1"/>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5048"/>
    <w:rsid w:val="00BA55DD"/>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21EA"/>
    <w:rsid w:val="00BF2483"/>
    <w:rsid w:val="00BF3052"/>
    <w:rsid w:val="00BF371A"/>
    <w:rsid w:val="00BF3867"/>
    <w:rsid w:val="00BF3DD1"/>
    <w:rsid w:val="00BF4EF0"/>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5F43"/>
    <w:rsid w:val="00C46504"/>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659"/>
    <w:rsid w:val="00CC1030"/>
    <w:rsid w:val="00CC1B2D"/>
    <w:rsid w:val="00CC1F35"/>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76E9"/>
    <w:rsid w:val="00D17D95"/>
    <w:rsid w:val="00D20809"/>
    <w:rsid w:val="00D20A7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5ACC"/>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D79"/>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6B08"/>
    <w:rsid w:val="00E07C0A"/>
    <w:rsid w:val="00E07F41"/>
    <w:rsid w:val="00E11A21"/>
    <w:rsid w:val="00E12243"/>
    <w:rsid w:val="00E1246D"/>
    <w:rsid w:val="00E128A8"/>
    <w:rsid w:val="00E13657"/>
    <w:rsid w:val="00E147B3"/>
    <w:rsid w:val="00E14ABB"/>
    <w:rsid w:val="00E14BE8"/>
    <w:rsid w:val="00E14D79"/>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BC5"/>
    <w:rsid w:val="00E60278"/>
    <w:rsid w:val="00E607AB"/>
    <w:rsid w:val="00E608C2"/>
    <w:rsid w:val="00E616BF"/>
    <w:rsid w:val="00E61D4C"/>
    <w:rsid w:val="00E61EDA"/>
    <w:rsid w:val="00E62210"/>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C66"/>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19E6"/>
    <w:rsid w:val="00F61EC6"/>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E9F0E1C2-04DB-40D0-9FC8-EB95F83E1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uiPriority="10" w:qFormat="1"/>
    <w:lsdException w:name="Subtitle" w:uiPriority="11"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43146"/>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D43146"/>
    <w:pPr>
      <w:ind w:left="1701" w:hanging="1701"/>
      <w:outlineLvl w:val="4"/>
    </w:pPr>
    <w:rPr>
      <w:sz w:val="22"/>
    </w:rPr>
  </w:style>
  <w:style w:type="paragraph" w:styleId="6">
    <w:name w:val="heading 6"/>
    <w:aliases w:val="T1,Header 6"/>
    <w:basedOn w:val="H6"/>
    <w:next w:val="a1"/>
    <w:link w:val="60"/>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
    <w:basedOn w:val="a1"/>
    <w:next w:val="a1"/>
    <w:link w:val="af"/>
    <w:uiPriority w:val="35"/>
    <w:semiHidden/>
    <w:unhideWhenUsed/>
    <w:qFormat/>
    <w:rPr>
      <w:rFonts w:asciiTheme="majorHAnsi" w:eastAsia="黑体" w:hAnsiTheme="majorHAnsi" w:cstheme="majorBidi"/>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Symbol" w:hAnsi="Symbol"/>
    </w:rPr>
  </w:style>
  <w:style w:type="paragraph" w:styleId="af4">
    <w:name w:val="Plain Text"/>
    <w:basedOn w:val="a1"/>
    <w:link w:val="af5"/>
    <w:rPr>
      <w:rFonts w:ascii="Yu Mincho" w:hAnsi="Yu Mincho"/>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Calibri Light" w:eastAsia="Calibri Light"/>
      <w:sz w:val="24"/>
      <w:lang w:eastAsia="en-US"/>
    </w:rPr>
  </w:style>
  <w:style w:type="character" w:styleId="afc">
    <w:name w:val="page number"/>
    <w:basedOn w:val="a2"/>
  </w:style>
  <w:style w:type="paragraph" w:styleId="34">
    <w:name w:val="Body Text 3"/>
    <w:basedOn w:val="a1"/>
    <w:pPr>
      <w:keepNext/>
      <w:keepLines/>
    </w:pPr>
    <w:rPr>
      <w:rFonts w:eastAsia="仿宋_GB2312"/>
      <w:color w:val="000000"/>
    </w:rPr>
  </w:style>
  <w:style w:type="paragraph" w:styleId="afd">
    <w:name w:val="Balloon Text"/>
    <w:basedOn w:val="a1"/>
    <w:link w:val="afe"/>
    <w:semiHidden/>
    <w:rPr>
      <w:rFonts w:ascii="Symbol" w:hAnsi="Symbol" w:cs="Symbol"/>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f2">
    <w:name w:val="样式 页眉"/>
    <w:basedOn w:val="a5"/>
    <w:link w:val="Char0"/>
    <w:rsid w:val="00572A4C"/>
    <w:rPr>
      <w:rFonts w:eastAsia="Yu Mincho"/>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Yu Mincho" w:eastAsia="MS Mincho" w:hAnsi="Yu Mincho"/>
      <w:b/>
      <w:noProof/>
      <w:sz w:val="18"/>
      <w:lang w:val="en-GB" w:eastAsia="en-US" w:bidi="ar-SA"/>
    </w:rPr>
  </w:style>
  <w:style w:type="character" w:customStyle="1" w:styleId="Char0">
    <w:name w:val="样式 页眉 Char"/>
    <w:link w:val="aff2"/>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b"/>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rsid w:val="00716B79"/>
    <w:pPr>
      <w:overflowPunct/>
      <w:autoSpaceDE/>
      <w:autoSpaceDN/>
      <w:adjustRightInd/>
      <w:textAlignment w:val="auto"/>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textAlignment w:val="auto"/>
    </w:pPr>
    <w:rPr>
      <w:rFonts w:eastAsia="Arial"/>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MS Mincho"/>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qFormat/>
    <w:rsid w:val="00755136"/>
    <w:pPr>
      <w:spacing w:after="0"/>
    </w:pPr>
  </w:style>
  <w:style w:type="character" w:customStyle="1" w:styleId="TFChar">
    <w:name w:val="TF Char"/>
    <w:link w:val="TF"/>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tion Char C... 字符"/>
    <w:link w:val="ae"/>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af5">
    <w:name w:val="纯文本 字符"/>
    <w:link w:val="af4"/>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0">
    <w:name w:val="标题 6 字符"/>
    <w:aliases w:val="T1 字符,Header 6 字符"/>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af3">
    <w:name w:val="文档结构图 字符"/>
    <w:link w:val="af2"/>
    <w:semiHidden/>
    <w:rsid w:val="00755136"/>
    <w:rPr>
      <w:rFonts w:ascii="Symbol" w:eastAsia="MS Mincho" w:hAnsi="Symbol"/>
      <w:shd w:val="clear" w:color="auto" w:fill="000080"/>
      <w:lang w:val="en-GB" w:eastAsia="en-US"/>
    </w:rPr>
  </w:style>
  <w:style w:type="character" w:customStyle="1" w:styleId="afb">
    <w:name w:val="批注文字 字符"/>
    <w:link w:val="afa"/>
    <w:semiHidden/>
    <w:rsid w:val="00755136"/>
    <w:rPr>
      <w:rFonts w:ascii="Calibri Light" w:eastAsia="Calibri Light"/>
      <w:sz w:val="24"/>
      <w:lang w:val="en-GB" w:eastAsia="en-US"/>
    </w:rPr>
  </w:style>
  <w:style w:type="character" w:customStyle="1" w:styleId="afe">
    <w:name w:val="批注框文本 字符"/>
    <w:link w:val="afd"/>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textAlignment w:val="auto"/>
    </w:pPr>
    <w:rPr>
      <w:rFonts w:eastAsia="MS Mincho"/>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6"/>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9"/>
    <w:rsid w:val="00755136"/>
    <w:pPr>
      <w:ind w:leftChars="100" w:left="400" w:hangingChars="100" w:hanging="200"/>
    </w:pPr>
    <w:rPr>
      <w:rFonts w:eastAsia="Symbol"/>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6"/>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a">
    <w:name w:val="Revision"/>
    <w:hidden/>
    <w:semiHidden/>
    <w:rsid w:val="00755136"/>
    <w:rPr>
      <w:rFonts w:eastAsia="MS Mincho"/>
      <w:lang w:val="en-GB" w:eastAsia="en-US"/>
    </w:rPr>
  </w:style>
  <w:style w:type="paragraph" w:styleId="affb">
    <w:name w:val="endnote text"/>
    <w:basedOn w:val="a1"/>
    <w:link w:val="affc"/>
    <w:rsid w:val="00755136"/>
    <w:pPr>
      <w:overflowPunct/>
      <w:autoSpaceDE/>
      <w:autoSpaceDN/>
      <w:adjustRightInd/>
      <w:snapToGrid w:val="0"/>
      <w:textAlignment w:val="auto"/>
    </w:pPr>
    <w:rPr>
      <w:rFonts w:eastAsia="Arial"/>
    </w:rPr>
  </w:style>
  <w:style w:type="character" w:customStyle="1" w:styleId="affc">
    <w:name w:val="尾注文本 字符"/>
    <w:link w:val="affb"/>
    <w:rsid w:val="00755136"/>
    <w:rPr>
      <w:rFonts w:eastAsia="Arial"/>
      <w:lang w:val="en-GB" w:eastAsia="en-US"/>
    </w:rPr>
  </w:style>
  <w:style w:type="character" w:styleId="affd">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e">
    <w:name w:val="Title"/>
    <w:basedOn w:val="a1"/>
    <w:next w:val="a1"/>
    <w:link w:val="afff"/>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afff">
    <w:name w:val="标题 字符"/>
    <w:link w:val="affe"/>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f0">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1"/>
    <w:link w:val="afff1"/>
    <w:uiPriority w:val="34"/>
    <w:qFormat/>
    <w:rsid w:val="00D43146"/>
    <w:pPr>
      <w:ind w:firstLineChars="200" w:firstLine="420"/>
    </w:pPr>
  </w:style>
  <w:style w:type="character" w:customStyle="1" w:styleId="afff1">
    <w:name w:val="列表段落 字符"/>
    <w:aliases w:val="List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rsid w:val="006535FE"/>
    <w:rPr>
      <w:rFonts w:ascii="Times New Roman" w:eastAsia="宋体"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BFF670-0B7D-449B-8CB6-19632F18C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87</TotalTime>
  <Pages>5</Pages>
  <Words>1799</Words>
  <Characters>10257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12032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15</cp:revision>
  <cp:lastPrinted>2010-01-07T02:23:00Z</cp:lastPrinted>
  <dcterms:created xsi:type="dcterms:W3CDTF">2024-01-08T15:01:00Z</dcterms:created>
  <dcterms:modified xsi:type="dcterms:W3CDTF">2024-02-19T12:37:00Z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(3)X3eks5uWsEGin4GIZz699pHKgz88ErvawRIYLrRsVbqEU3hwQWkFcxf71HJRxp2FoJAMBt9k
ATUocaZMEQ4qm1CETfTaSlor9QQH5hHsrxW60Q51mn77bQnKWv2vkKawdYX8WIgzlE1Wl8Ji
yiYeL31CQYMXVr9x4/q1+90kYajVG19nz9cnRpRLWmIvuMxin24lWlqBjgK38IIEpBkiFPEW
lzoKC8NGUvrbUkPwMs</vt:lpwstr>
  </property>
  <property fmtid="{D5CDD505-2E9C-101B-9397-08002B2CF9AE}" pid="15" name="_2015_ms_pID_725343_00">
    <vt:lpwstr>_2015_ms_pID_725343</vt:lpwstr>
  </property>
  <property fmtid="{D5CDD505-2E9C-101B-9397-08002B2CF9AE}" pid="16" name="_2015_ms_pID_7253431">
    <vt:lpwstr>Wb3yED7eSk46LATKIKT8ZevXfGHFUiTSVtzcijnKdTZZ5+wECfo5qq
b+7nwPCoitZOFkZZ+XJxYOSaHTJYbMb3JAj+44hYQg/ZWKjfekSQLSjiOb3M9PK+q5dy7uJ2
UCl1n9kxtc/axNThl37wo1FMFE/3rg2a0cZgljk7IJH5rxDaKakwOXz7uJCLN0/G685yPcF1
AQkm6wLZ0WaVhcGm4VyBx5TonNtxgnNPZg4j</vt:lpwstr>
  </property>
  <property fmtid="{D5CDD505-2E9C-101B-9397-08002B2CF9AE}" pid="17" name="_2015_ms_pID_7253431_00">
    <vt:lpwstr>_2015_ms_pID_7253431</vt:lpwstr>
  </property>
  <property fmtid="{D5CDD505-2E9C-101B-9397-08002B2CF9AE}" pid="18" name="_2015_ms_pID_7253432">
    <vt:lpwstr>yH5+ioc5WX9WOxgkNaoFRXU=</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1704725894</vt:lpwstr>
  </property>
</Properties>
</file>