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D48BD" w14:textId="55D4537E"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10</w:t>
      </w:r>
      <w:r w:rsidRPr="00F144D7">
        <w:rPr>
          <w:rFonts w:cs="Arial"/>
          <w:noProof w:val="0"/>
          <w:sz w:val="22"/>
        </w:rPr>
        <w:tab/>
      </w:r>
      <w:r w:rsidRPr="00DD42CC">
        <w:rPr>
          <w:rFonts w:cs="Arial"/>
          <w:noProof w:val="0"/>
          <w:sz w:val="22"/>
        </w:rPr>
        <w:t>R4-</w:t>
      </w:r>
      <w:r w:rsidRPr="00AE070C">
        <w:rPr>
          <w:rFonts w:cs="Arial"/>
          <w:noProof w:val="0"/>
          <w:sz w:val="22"/>
        </w:rPr>
        <w:t>240</w:t>
      </w:r>
      <w:r w:rsidR="00AE070C" w:rsidRPr="00AE070C">
        <w:rPr>
          <w:rFonts w:cs="Arial"/>
          <w:noProof w:val="0"/>
          <w:sz w:val="22"/>
        </w:rPr>
        <w:t>1521</w:t>
      </w:r>
    </w:p>
    <w:p w14:paraId="535C4789" w14:textId="77777777" w:rsidR="00D6552E" w:rsidRPr="00935C67" w:rsidRDefault="00D6552E" w:rsidP="00D6552E">
      <w:pPr>
        <w:pStyle w:val="a5"/>
        <w:tabs>
          <w:tab w:val="right" w:pos="9781"/>
          <w:tab w:val="right" w:pos="13323"/>
        </w:tabs>
        <w:spacing w:before="60" w:after="60"/>
        <w:outlineLvl w:val="0"/>
        <w:rPr>
          <w:rFonts w:cs="Arial"/>
          <w:noProof w:val="0"/>
          <w:sz w:val="21"/>
          <w:szCs w:val="18"/>
        </w:rPr>
      </w:pPr>
      <w:r w:rsidRPr="00935C67">
        <w:rPr>
          <w:rFonts w:eastAsia="宋体" w:cs="Arial"/>
          <w:sz w:val="22"/>
          <w:szCs w:val="22"/>
          <w:lang w:eastAsia="zh-CN"/>
        </w:rPr>
        <w:t>Athens, GR, 26 Feb – 01 Mar, 2024</w:t>
      </w:r>
    </w:p>
    <w:p w14:paraId="492ADD24" w14:textId="77777777" w:rsidR="00027C14" w:rsidRPr="00D6552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F12258F"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6552E" w:rsidRPr="00D6552E">
        <w:rPr>
          <w:rFonts w:ascii="Arial" w:hAnsi="Arial" w:cs="Arial"/>
          <w:sz w:val="22"/>
        </w:rPr>
        <w:t>Discussion of LS On Relative Phase/Power Error Requirements within Port Groups for 8TX UE</w:t>
      </w:r>
    </w:p>
    <w:p w14:paraId="1BE04CBA" w14:textId="5CA1817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6552E" w:rsidRPr="00D6552E">
        <w:rPr>
          <w:rFonts w:ascii="Arial" w:hAnsi="Arial" w:cs="Arial"/>
          <w:sz w:val="22"/>
          <w:lang w:val="en-US"/>
        </w:rPr>
        <w:t>12.1.2</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44B5B5E" w14:textId="77777777" w:rsidR="00D6552E" w:rsidRDefault="005246EE"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w:t>
      </w:r>
      <w:r w:rsidR="000B75D3">
        <w:rPr>
          <w:rFonts w:eastAsia="宋体" w:hint="eastAsia"/>
          <w:lang w:val="en-US" w:eastAsia="zh-CN"/>
        </w:rPr>
        <w:t>#</w:t>
      </w:r>
      <w:r w:rsidR="000B75D3">
        <w:rPr>
          <w:rFonts w:eastAsia="宋体"/>
          <w:lang w:val="en-US" w:eastAsia="zh-CN"/>
        </w:rPr>
        <w:t>1</w:t>
      </w:r>
      <w:r w:rsidR="00D6552E">
        <w:rPr>
          <w:rFonts w:eastAsia="宋体"/>
          <w:lang w:val="en-US" w:eastAsia="zh-CN"/>
        </w:rPr>
        <w:t>10</w:t>
      </w:r>
      <w:r w:rsidR="000B75D3">
        <w:rPr>
          <w:rFonts w:eastAsia="宋体" w:hint="eastAsia"/>
          <w:lang w:val="en-US" w:eastAsia="zh-CN"/>
        </w:rPr>
        <w:t>,</w:t>
      </w:r>
      <w:r w:rsidR="000B75D3">
        <w:rPr>
          <w:rFonts w:eastAsia="宋体"/>
          <w:lang w:val="en-US" w:eastAsia="zh-CN"/>
        </w:rPr>
        <w:t xml:space="preserve"> </w:t>
      </w:r>
      <w:r w:rsidR="00D6552E">
        <w:rPr>
          <w:rFonts w:eastAsia="宋体"/>
          <w:lang w:val="en-US" w:eastAsia="zh-CN"/>
        </w:rPr>
        <w:t xml:space="preserve">an LS has been received in [1] in which RAN1 has provided some agreements in the port mapping for 8Tx cases and ask RAN4 to consider those agreements in defining relative phase and power error requirements. </w:t>
      </w:r>
    </w:p>
    <w:p w14:paraId="0A4E7011" w14:textId="729ECEF0" w:rsidR="00743650" w:rsidRDefault="00A34F3E" w:rsidP="00E41CB0">
      <w:pPr>
        <w:overflowPunct/>
        <w:autoSpaceDE/>
        <w:autoSpaceDN/>
        <w:adjustRightInd/>
        <w:jc w:val="both"/>
        <w:textAlignment w:val="auto"/>
        <w:rPr>
          <w:rFonts w:eastAsia="宋体"/>
          <w:lang w:eastAsia="zh-CN"/>
        </w:rPr>
      </w:pPr>
      <w:r>
        <w:rPr>
          <w:rFonts w:eastAsia="宋体"/>
          <w:lang w:val="en-US" w:eastAsia="zh-CN"/>
        </w:rPr>
        <w:t xml:space="preserve">In this </w:t>
      </w:r>
      <w:r w:rsidR="00D6552E">
        <w:rPr>
          <w:rFonts w:eastAsia="宋体"/>
          <w:lang w:val="en-US" w:eastAsia="zh-CN"/>
        </w:rPr>
        <w:t>contribution</w:t>
      </w:r>
      <w:r>
        <w:rPr>
          <w:rFonts w:eastAsia="宋体"/>
          <w:lang w:val="en-US" w:eastAsia="zh-CN"/>
        </w:rPr>
        <w:t xml:space="preserve">, </w:t>
      </w:r>
      <w:r w:rsidR="00D6552E">
        <w:rPr>
          <w:rFonts w:eastAsia="宋体"/>
          <w:lang w:val="en-US" w:eastAsia="zh-CN"/>
        </w:rPr>
        <w:t>a brief analysis was provided a draft LS reply has been provided in [3]</w:t>
      </w:r>
      <w:r>
        <w:rPr>
          <w:rFonts w:eastAsia="宋体"/>
          <w:lang w:val="en-US" w:eastAsia="zh-CN"/>
        </w:rPr>
        <w:t>.</w:t>
      </w:r>
      <w:r w:rsidR="00563696">
        <w:rPr>
          <w:rFonts w:eastAsia="宋体"/>
          <w:lang w:eastAsia="zh-CN"/>
        </w:rPr>
        <w:t xml:space="preserve"> </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63C903C7" w14:textId="3EE8B06A" w:rsidR="00D6552E" w:rsidRDefault="0044362B" w:rsidP="0044362B">
      <w:pPr>
        <w:rPr>
          <w:rFonts w:eastAsiaTheme="minorEastAsia"/>
          <w:lang w:eastAsia="zh-CN"/>
        </w:rPr>
      </w:pPr>
      <w:r>
        <w:rPr>
          <w:rFonts w:eastAsiaTheme="minorEastAsia" w:hint="eastAsia"/>
          <w:lang w:eastAsia="zh-CN"/>
        </w:rPr>
        <w:t>I</w:t>
      </w:r>
      <w:r>
        <w:rPr>
          <w:rFonts w:eastAsiaTheme="minorEastAsia"/>
          <w:lang w:eastAsia="zh-CN"/>
        </w:rPr>
        <w:t xml:space="preserve">n </w:t>
      </w:r>
      <w:r w:rsidR="00A34F3E">
        <w:rPr>
          <w:rFonts w:eastAsiaTheme="minorEastAsia"/>
          <w:lang w:eastAsia="zh-CN"/>
        </w:rPr>
        <w:t>RAN4#</w:t>
      </w:r>
      <w:r w:rsidR="00D6552E">
        <w:rPr>
          <w:rFonts w:eastAsiaTheme="minorEastAsia"/>
          <w:lang w:eastAsia="zh-CN"/>
        </w:rPr>
        <w:t xml:space="preserve">110, the following agreements for </w:t>
      </w:r>
      <w:r w:rsidR="00D6552E">
        <w:rPr>
          <w:rFonts w:eastAsiaTheme="minorEastAsia" w:hint="eastAsia"/>
          <w:lang w:eastAsia="zh-CN"/>
        </w:rPr>
        <w:t>upl</w:t>
      </w:r>
      <w:r w:rsidR="00D6552E">
        <w:rPr>
          <w:rFonts w:eastAsiaTheme="minorEastAsia"/>
          <w:lang w:eastAsia="zh-CN"/>
        </w:rPr>
        <w:t>ink MIMO precoding for 8Tx UEs have been received in [1]:</w:t>
      </w:r>
    </w:p>
    <w:p w14:paraId="3EBEE984" w14:textId="77777777" w:rsidR="00D6552E" w:rsidRPr="00D6552E" w:rsidRDefault="00D6552E" w:rsidP="00D6552E">
      <w:pPr>
        <w:pStyle w:val="af7"/>
        <w:spacing w:after="0"/>
        <w:ind w:leftChars="100" w:left="200"/>
        <w:contextualSpacing/>
        <w:rPr>
          <w:rFonts w:eastAsiaTheme="minorEastAsia"/>
          <w:i/>
          <w:iCs/>
          <w:sz w:val="22"/>
          <w:szCs w:val="22"/>
          <w:lang w:eastAsia="zh-CN"/>
        </w:rPr>
      </w:pPr>
    </w:p>
    <w:tbl>
      <w:tblPr>
        <w:tblStyle w:val="aff0"/>
        <w:tblW w:w="9631" w:type="dxa"/>
        <w:tblInd w:w="200" w:type="dxa"/>
        <w:tblLook w:val="04A0" w:firstRow="1" w:lastRow="0" w:firstColumn="1" w:lastColumn="0" w:noHBand="0" w:noVBand="1"/>
      </w:tblPr>
      <w:tblGrid>
        <w:gridCol w:w="9631"/>
      </w:tblGrid>
      <w:tr w:rsidR="00D6552E" w:rsidRPr="00D6552E" w14:paraId="7F759D86" w14:textId="77777777" w:rsidTr="00D6552E">
        <w:tc>
          <w:tcPr>
            <w:tcW w:w="9631" w:type="dxa"/>
          </w:tcPr>
          <w:p w14:paraId="3D114D03" w14:textId="77777777" w:rsidR="00D6552E" w:rsidRPr="00D6552E" w:rsidRDefault="00D6552E" w:rsidP="003947D4">
            <w:pPr>
              <w:spacing w:after="0"/>
              <w:contextualSpacing/>
              <w:rPr>
                <w:b/>
                <w:bCs/>
                <w:i/>
                <w:iCs/>
                <w:sz w:val="22"/>
                <w:szCs w:val="22"/>
                <w:highlight w:val="lightGray"/>
                <w:lang w:eastAsia="zh-CN"/>
              </w:rPr>
            </w:pPr>
            <w:r w:rsidRPr="00D6552E">
              <w:rPr>
                <w:b/>
                <w:bCs/>
                <w:i/>
                <w:iCs/>
                <w:sz w:val="22"/>
                <w:szCs w:val="22"/>
                <w:highlight w:val="lightGray"/>
                <w:lang w:eastAsia="zh-CN"/>
              </w:rPr>
              <w:t>Agreement</w:t>
            </w:r>
          </w:p>
          <w:p w14:paraId="5BC440AF" w14:textId="77777777" w:rsidR="00D6552E" w:rsidRPr="00D6552E" w:rsidRDefault="00D6552E" w:rsidP="003947D4">
            <w:pPr>
              <w:spacing w:after="0"/>
              <w:contextualSpacing/>
              <w:rPr>
                <w:bCs/>
                <w:i/>
                <w:iCs/>
                <w:sz w:val="22"/>
                <w:szCs w:val="22"/>
                <w:highlight w:val="lightGray"/>
              </w:rPr>
            </w:pPr>
            <w:r w:rsidRPr="00D6552E">
              <w:rPr>
                <w:bCs/>
                <w:i/>
                <w:iCs/>
                <w:sz w:val="22"/>
                <w:szCs w:val="22"/>
                <w:highlight w:val="lightGray"/>
              </w:rPr>
              <w:t>Adopt the following text proposals to TS 38.211 and TS 38.214.</w:t>
            </w:r>
          </w:p>
          <w:p w14:paraId="12F25630" w14:textId="77777777" w:rsidR="00D6552E" w:rsidRPr="00D6552E" w:rsidRDefault="00D6552E" w:rsidP="00D6552E">
            <w:pPr>
              <w:pStyle w:val="aff5"/>
              <w:numPr>
                <w:ilvl w:val="0"/>
                <w:numId w:val="33"/>
              </w:numPr>
              <w:overflowPunct/>
              <w:autoSpaceDE/>
              <w:autoSpaceDN/>
              <w:adjustRightInd/>
              <w:snapToGrid w:val="0"/>
              <w:spacing w:before="120" w:after="0"/>
              <w:jc w:val="both"/>
              <w:textAlignment w:val="auto"/>
              <w:rPr>
                <w:bCs/>
                <w:i/>
                <w:iCs/>
                <w:szCs w:val="24"/>
                <w:highlight w:val="lightGray"/>
              </w:rPr>
            </w:pPr>
            <w:r w:rsidRPr="00D6552E">
              <w:rPr>
                <w:bCs/>
                <w:i/>
                <w:iCs/>
                <w:highlight w:val="lightGray"/>
              </w:rPr>
              <w:t>Reason for change: The current specifications in TS 38.211 and TS 38.214 do not clearly describe the relationship between codebook1, codebook2, codebook3, codebook4 and antenna port groups.</w:t>
            </w:r>
          </w:p>
          <w:p w14:paraId="75E13664" w14:textId="77777777" w:rsidR="00D6552E" w:rsidRPr="00D6552E" w:rsidRDefault="00D6552E" w:rsidP="00D6552E">
            <w:pPr>
              <w:pStyle w:val="aff5"/>
              <w:numPr>
                <w:ilvl w:val="0"/>
                <w:numId w:val="33"/>
              </w:numPr>
              <w:overflowPunct/>
              <w:autoSpaceDE/>
              <w:autoSpaceDN/>
              <w:adjustRightInd/>
              <w:snapToGrid w:val="0"/>
              <w:spacing w:after="0"/>
              <w:jc w:val="both"/>
              <w:textAlignment w:val="auto"/>
              <w:rPr>
                <w:bCs/>
                <w:i/>
                <w:iCs/>
                <w:highlight w:val="lightGray"/>
              </w:rPr>
            </w:pPr>
            <w:r w:rsidRPr="00D6552E">
              <w:rPr>
                <w:bCs/>
                <w:i/>
                <w:iCs/>
                <w:highlight w:val="lightGray"/>
              </w:rPr>
              <w:t>Summary of change: Addition of four columns to the existing Table 6.3.1.5-8</w:t>
            </w:r>
          </w:p>
          <w:p w14:paraId="5BF09B0E" w14:textId="77777777" w:rsidR="00D6552E" w:rsidRPr="00D6552E" w:rsidRDefault="00D6552E" w:rsidP="00D6552E">
            <w:pPr>
              <w:pStyle w:val="aff5"/>
              <w:numPr>
                <w:ilvl w:val="0"/>
                <w:numId w:val="33"/>
              </w:numPr>
              <w:overflowPunct/>
              <w:autoSpaceDE/>
              <w:autoSpaceDN/>
              <w:adjustRightInd/>
              <w:snapToGrid w:val="0"/>
              <w:spacing w:after="0"/>
              <w:jc w:val="both"/>
              <w:textAlignment w:val="auto"/>
              <w:rPr>
                <w:rFonts w:ascii="Times" w:hAnsi="Times"/>
                <w:bCs/>
                <w:i/>
                <w:iCs/>
                <w:highlight w:val="lightGray"/>
              </w:rPr>
            </w:pPr>
            <w:r w:rsidRPr="00D6552E">
              <w:rPr>
                <w:bCs/>
                <w:i/>
                <w:iCs/>
                <w:highlight w:val="lightGray"/>
              </w:rPr>
              <w:t>Consequences if not approved: Unclear association of antenna ports to antenna port groups.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D6552E" w:rsidRPr="00D6552E" w14:paraId="44819063" w14:textId="77777777" w:rsidTr="003947D4">
              <w:tc>
                <w:tcPr>
                  <w:tcW w:w="10160" w:type="dxa"/>
                  <w:tcBorders>
                    <w:top w:val="double" w:sz="4" w:space="0" w:color="A5A5A5"/>
                    <w:left w:val="double" w:sz="4" w:space="0" w:color="A5A5A5"/>
                    <w:bottom w:val="double" w:sz="4" w:space="0" w:color="A5A5A5"/>
                    <w:right w:val="double" w:sz="4" w:space="0" w:color="A5A5A5"/>
                  </w:tcBorders>
                </w:tcPr>
                <w:p w14:paraId="38794453" w14:textId="77777777" w:rsidR="00D6552E" w:rsidRPr="00D6552E" w:rsidRDefault="00D6552E" w:rsidP="003947D4">
                  <w:pPr>
                    <w:pStyle w:val="aff5"/>
                    <w:ind w:left="800"/>
                    <w:rPr>
                      <w:i/>
                      <w:iCs/>
                      <w:color w:val="FF0000"/>
                      <w:highlight w:val="lightGray"/>
                      <w:lang w:eastAsia="zh-CN"/>
                    </w:rPr>
                  </w:pPr>
                  <w:r w:rsidRPr="00D6552E">
                    <w:rPr>
                      <w:i/>
                      <w:iCs/>
                      <w:color w:val="FF0000"/>
                      <w:highlight w:val="lightGray"/>
                      <w:lang w:eastAsia="zh-CN"/>
                    </w:rPr>
                    <w:t>-------------------------------------------Unchanged parts are omitted-------------------------------------------</w:t>
                  </w:r>
                </w:p>
                <w:p w14:paraId="1F3EEEA2" w14:textId="77777777" w:rsidR="00D6552E" w:rsidRPr="00D6552E" w:rsidRDefault="00D6552E" w:rsidP="003947D4">
                  <w:pPr>
                    <w:pStyle w:val="TH"/>
                    <w:spacing w:before="0" w:after="240"/>
                    <w:ind w:left="720"/>
                    <w:contextualSpacing/>
                    <w:jc w:val="left"/>
                    <w:rPr>
                      <w:i/>
                      <w:iCs/>
                      <w:highlight w:val="lightGray"/>
                      <w:lang w:eastAsia="en-GB"/>
                    </w:rPr>
                  </w:pPr>
                  <w:r w:rsidRPr="00D6552E">
                    <w:rPr>
                      <w:i/>
                      <w:iCs/>
                      <w:highlight w:val="lightGray"/>
                    </w:rPr>
                    <w:t xml:space="preserve">Table 6.3.1.5-8: The port mapping function </w:t>
                  </w:r>
                  <w:r w:rsidRPr="00D6552E">
                    <w:rPr>
                      <w:i/>
                      <w:iCs/>
                      <w:highlight w:val="lightGray"/>
                    </w:rPr>
                    <w:fldChar w:fldCharType="begin"/>
                  </w:r>
                  <w:r w:rsidRPr="00D6552E">
                    <w:rPr>
                      <w:i/>
                      <w:iCs/>
                      <w:highlight w:val="lightGray"/>
                    </w:rPr>
                    <w:instrText xml:space="preserve"> QUOTE </w:instrText>
                  </w:r>
                  <w:r w:rsidR="00AE070C">
                    <w:rPr>
                      <w:i/>
                      <w:iCs/>
                      <w:position w:val="-5"/>
                      <w:highlight w:val="lightGray"/>
                    </w:rPr>
                    <w:pict w14:anchorId="49823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15.05pt" equationxml="&lt;">
                        <v:imagedata r:id="rId8" o:title="" chromakey="white"/>
                      </v:shape>
                    </w:pict>
                  </w:r>
                  <w:r w:rsidRPr="00D6552E">
                    <w:rPr>
                      <w:i/>
                      <w:iCs/>
                      <w:highlight w:val="lightGray"/>
                    </w:rPr>
                    <w:instrText xml:space="preserve"> </w:instrText>
                  </w:r>
                  <w:r w:rsidRPr="00D6552E">
                    <w:rPr>
                      <w:i/>
                      <w:iCs/>
                      <w:highlight w:val="lightGray"/>
                    </w:rPr>
                    <w:fldChar w:fldCharType="separate"/>
                  </w:r>
                  <w:r w:rsidR="00AE070C">
                    <w:rPr>
                      <w:i/>
                      <w:iCs/>
                      <w:position w:val="-5"/>
                      <w:highlight w:val="lightGray"/>
                    </w:rPr>
                    <w:pict w14:anchorId="24872120">
                      <v:shape id="_x0000_i1026" type="#_x0000_t75" style="width:17.3pt;height:15.05pt" equationxml="&lt;">
                        <v:imagedata r:id="rId8" o:title="" chromakey="white"/>
                      </v:shape>
                    </w:pict>
                  </w:r>
                  <w:r w:rsidRPr="00D6552E">
                    <w:rPr>
                      <w:i/>
                      <w:iCs/>
                      <w:highlight w:val="lightGray"/>
                    </w:rPr>
                    <w:fldChar w:fldCharType="end"/>
                  </w:r>
                  <w:r w:rsidRPr="00D6552E">
                    <w:rPr>
                      <w:i/>
                      <w:iCs/>
                      <w:highlight w:val="lightGray"/>
                    </w:rPr>
                    <w:t xml:space="preserve"> for transmission using 8 antenna ports.</w:t>
                  </w:r>
                </w:p>
                <w:tbl>
                  <w:tblPr>
                    <w:tblW w:w="8940"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55"/>
                    <w:gridCol w:w="1530"/>
                    <w:gridCol w:w="540"/>
                    <w:gridCol w:w="1260"/>
                    <w:gridCol w:w="465"/>
                    <w:gridCol w:w="1335"/>
                    <w:gridCol w:w="540"/>
                    <w:gridCol w:w="2160"/>
                    <w:gridCol w:w="555"/>
                  </w:tblGrid>
                  <w:tr w:rsidR="00D6552E" w:rsidRPr="00D6552E" w14:paraId="451467FE" w14:textId="77777777" w:rsidTr="003947D4">
                    <w:trPr>
                      <w:jc w:val="center"/>
                    </w:trPr>
                    <w:tc>
                      <w:tcPr>
                        <w:tcW w:w="555" w:type="dxa"/>
                        <w:vMerge w:val="restart"/>
                        <w:tcBorders>
                          <w:top w:val="double" w:sz="4" w:space="0" w:color="A5A5A5"/>
                          <w:left w:val="double" w:sz="4" w:space="0" w:color="A5A5A5"/>
                          <w:bottom w:val="double" w:sz="4" w:space="0" w:color="A5A5A5"/>
                          <w:right w:val="double" w:sz="4" w:space="0" w:color="A5A5A5"/>
                        </w:tcBorders>
                        <w:hideMark/>
                      </w:tcPr>
                      <w:p w14:paraId="4C558575" w14:textId="77777777" w:rsidR="00D6552E" w:rsidRPr="00D6552E" w:rsidRDefault="00AE070C" w:rsidP="003947D4">
                        <w:pPr>
                          <w:pStyle w:val="TAH"/>
                          <w:contextualSpacing/>
                          <w:rPr>
                            <w:i/>
                            <w:iCs/>
                            <w:highlight w:val="lightGray"/>
                          </w:rPr>
                        </w:pPr>
                        <w:r>
                          <w:rPr>
                            <w:i/>
                            <w:iCs/>
                            <w:highlight w:val="lightGray"/>
                          </w:rPr>
                          <w:pict w14:anchorId="6F0E9B91">
                            <v:shape id="_x0000_i1027" type="#_x0000_t75" style="width:3.65pt;height:10.95pt" equationxml="&lt;">
                              <v:imagedata r:id="rId9" o:title="" chromakey="white"/>
                            </v:shape>
                          </w:pict>
                        </w:r>
                      </w:p>
                    </w:tc>
                    <w:tc>
                      <w:tcPr>
                        <w:tcW w:w="8385" w:type="dxa"/>
                        <w:gridSpan w:val="8"/>
                        <w:tcBorders>
                          <w:top w:val="double" w:sz="4" w:space="0" w:color="A5A5A5"/>
                          <w:left w:val="double" w:sz="4" w:space="0" w:color="A5A5A5"/>
                          <w:bottom w:val="double" w:sz="4" w:space="0" w:color="A5A5A5"/>
                          <w:right w:val="double" w:sz="4" w:space="0" w:color="A5A5A5"/>
                        </w:tcBorders>
                        <w:hideMark/>
                      </w:tcPr>
                      <w:p w14:paraId="07EDB3B9" w14:textId="77777777" w:rsidR="00D6552E" w:rsidRPr="00D6552E" w:rsidRDefault="00D6552E" w:rsidP="003947D4">
                        <w:pPr>
                          <w:pStyle w:val="TAH"/>
                          <w:contextualSpacing/>
                          <w:rPr>
                            <w:i/>
                            <w:iCs/>
                            <w:highlight w:val="lightGray"/>
                          </w:rPr>
                        </w:pPr>
                        <w:r w:rsidRPr="00D6552E">
                          <w:rPr>
                            <w:i/>
                            <w:iCs/>
                            <w:highlight w:val="lightGray"/>
                          </w:rPr>
                          <w:t xml:space="preserve">Higher-layer parameter </w:t>
                        </w:r>
                        <w:proofErr w:type="spellStart"/>
                        <w:r w:rsidRPr="00D6552E">
                          <w:rPr>
                            <w:i/>
                            <w:iCs/>
                            <w:highlight w:val="lightGray"/>
                          </w:rPr>
                          <w:t>CodebookType</w:t>
                        </w:r>
                        <w:proofErr w:type="spellEnd"/>
                      </w:p>
                    </w:tc>
                  </w:tr>
                  <w:tr w:rsidR="00D6552E" w:rsidRPr="00D6552E" w14:paraId="6D37BF70" w14:textId="77777777" w:rsidTr="003947D4">
                    <w:trPr>
                      <w:jc w:val="center"/>
                    </w:trPr>
                    <w:tc>
                      <w:tcPr>
                        <w:tcW w:w="555" w:type="dxa"/>
                        <w:vMerge/>
                        <w:tcBorders>
                          <w:top w:val="double" w:sz="4" w:space="0" w:color="A5A5A5"/>
                          <w:left w:val="double" w:sz="4" w:space="0" w:color="A5A5A5"/>
                          <w:bottom w:val="double" w:sz="4" w:space="0" w:color="A5A5A5"/>
                          <w:right w:val="double" w:sz="4" w:space="0" w:color="A5A5A5"/>
                        </w:tcBorders>
                        <w:vAlign w:val="center"/>
                        <w:hideMark/>
                      </w:tcPr>
                      <w:p w14:paraId="3AE6666C" w14:textId="77777777" w:rsidR="00D6552E" w:rsidRPr="00D6552E" w:rsidRDefault="00D6552E" w:rsidP="003947D4">
                        <w:pPr>
                          <w:spacing w:after="0"/>
                          <w:contextualSpacing/>
                          <w:rPr>
                            <w:rFonts w:ascii="Arial" w:hAnsi="Arial"/>
                            <w:b/>
                            <w:i/>
                            <w:iCs/>
                            <w:sz w:val="18"/>
                            <w:highlight w:val="lightGray"/>
                            <w:lang w:eastAsia="en-GB"/>
                          </w:rPr>
                        </w:pPr>
                      </w:p>
                    </w:tc>
                    <w:tc>
                      <w:tcPr>
                        <w:tcW w:w="2070" w:type="dxa"/>
                        <w:gridSpan w:val="2"/>
                        <w:tcBorders>
                          <w:top w:val="double" w:sz="4" w:space="0" w:color="A5A5A5"/>
                          <w:left w:val="double" w:sz="4" w:space="0" w:color="A5A5A5"/>
                          <w:bottom w:val="double" w:sz="4" w:space="0" w:color="A5A5A5"/>
                          <w:right w:val="double" w:sz="4" w:space="0" w:color="A5A5A5"/>
                        </w:tcBorders>
                        <w:hideMark/>
                      </w:tcPr>
                      <w:p w14:paraId="33F40D55" w14:textId="77777777" w:rsidR="00D6552E" w:rsidRPr="00D6552E" w:rsidRDefault="00D6552E" w:rsidP="003947D4">
                        <w:pPr>
                          <w:pStyle w:val="TAH"/>
                          <w:contextualSpacing/>
                          <w:rPr>
                            <w:i/>
                            <w:iCs/>
                            <w:highlight w:val="lightGray"/>
                          </w:rPr>
                        </w:pPr>
                        <w:r w:rsidRPr="00D6552E">
                          <w:rPr>
                            <w:i/>
                            <w:iCs/>
                            <w:highlight w:val="lightGray"/>
                          </w:rPr>
                          <w:t xml:space="preserve">codebook1 </w:t>
                        </w:r>
                      </w:p>
                    </w:tc>
                    <w:tc>
                      <w:tcPr>
                        <w:tcW w:w="1725" w:type="dxa"/>
                        <w:gridSpan w:val="2"/>
                        <w:tcBorders>
                          <w:top w:val="double" w:sz="4" w:space="0" w:color="A5A5A5"/>
                          <w:left w:val="double" w:sz="4" w:space="0" w:color="A5A5A5"/>
                          <w:bottom w:val="double" w:sz="4" w:space="0" w:color="A5A5A5"/>
                          <w:right w:val="double" w:sz="4" w:space="0" w:color="A5A5A5"/>
                        </w:tcBorders>
                      </w:tcPr>
                      <w:p w14:paraId="34B05663" w14:textId="77777777" w:rsidR="00D6552E" w:rsidRPr="00D6552E" w:rsidRDefault="00D6552E" w:rsidP="003947D4">
                        <w:pPr>
                          <w:pStyle w:val="TAH"/>
                          <w:contextualSpacing/>
                          <w:rPr>
                            <w:i/>
                            <w:iCs/>
                            <w:highlight w:val="lightGray"/>
                          </w:rPr>
                        </w:pPr>
                        <w:r w:rsidRPr="00D6552E">
                          <w:rPr>
                            <w:i/>
                            <w:iCs/>
                            <w:highlight w:val="lightGray"/>
                          </w:rPr>
                          <w:t>codebook2</w:t>
                        </w:r>
                      </w:p>
                      <w:p w14:paraId="6BEEEC01" w14:textId="77777777" w:rsidR="00D6552E" w:rsidRPr="00D6552E" w:rsidRDefault="00D6552E" w:rsidP="003947D4">
                        <w:pPr>
                          <w:pStyle w:val="TAH"/>
                          <w:contextualSpacing/>
                          <w:rPr>
                            <w:i/>
                            <w:iCs/>
                            <w:highlight w:val="lightGray"/>
                          </w:rPr>
                        </w:pPr>
                      </w:p>
                    </w:tc>
                    <w:tc>
                      <w:tcPr>
                        <w:tcW w:w="1875" w:type="dxa"/>
                        <w:gridSpan w:val="2"/>
                        <w:tcBorders>
                          <w:top w:val="double" w:sz="4" w:space="0" w:color="A5A5A5"/>
                          <w:left w:val="double" w:sz="4" w:space="0" w:color="A5A5A5"/>
                          <w:bottom w:val="double" w:sz="4" w:space="0" w:color="A5A5A5"/>
                          <w:right w:val="double" w:sz="4" w:space="0" w:color="A5A5A5"/>
                        </w:tcBorders>
                      </w:tcPr>
                      <w:p w14:paraId="47E0CC9D" w14:textId="77777777" w:rsidR="00D6552E" w:rsidRPr="00D6552E" w:rsidRDefault="00D6552E" w:rsidP="003947D4">
                        <w:pPr>
                          <w:pStyle w:val="TAH"/>
                          <w:contextualSpacing/>
                          <w:rPr>
                            <w:i/>
                            <w:iCs/>
                            <w:highlight w:val="lightGray"/>
                          </w:rPr>
                        </w:pPr>
                        <w:r w:rsidRPr="00D6552E">
                          <w:rPr>
                            <w:i/>
                            <w:iCs/>
                            <w:highlight w:val="lightGray"/>
                          </w:rPr>
                          <w:t>codebook3</w:t>
                        </w:r>
                      </w:p>
                      <w:p w14:paraId="16166C65" w14:textId="77777777" w:rsidR="00D6552E" w:rsidRPr="00D6552E" w:rsidRDefault="00D6552E" w:rsidP="003947D4">
                        <w:pPr>
                          <w:pStyle w:val="TAH"/>
                          <w:contextualSpacing/>
                          <w:rPr>
                            <w:i/>
                            <w:iCs/>
                            <w:highlight w:val="lightGray"/>
                          </w:rPr>
                        </w:pPr>
                      </w:p>
                    </w:tc>
                    <w:tc>
                      <w:tcPr>
                        <w:tcW w:w="2715" w:type="dxa"/>
                        <w:gridSpan w:val="2"/>
                        <w:tcBorders>
                          <w:top w:val="double" w:sz="4" w:space="0" w:color="A5A5A5"/>
                          <w:left w:val="double" w:sz="4" w:space="0" w:color="A5A5A5"/>
                          <w:bottom w:val="double" w:sz="4" w:space="0" w:color="A5A5A5"/>
                          <w:right w:val="double" w:sz="4" w:space="0" w:color="A5A5A5"/>
                        </w:tcBorders>
                      </w:tcPr>
                      <w:p w14:paraId="75490B7F" w14:textId="77777777" w:rsidR="00D6552E" w:rsidRPr="00D6552E" w:rsidRDefault="00D6552E" w:rsidP="003947D4">
                        <w:pPr>
                          <w:pStyle w:val="TAH"/>
                          <w:contextualSpacing/>
                          <w:rPr>
                            <w:i/>
                            <w:iCs/>
                            <w:highlight w:val="lightGray"/>
                          </w:rPr>
                        </w:pPr>
                        <w:r w:rsidRPr="00D6552E">
                          <w:rPr>
                            <w:i/>
                            <w:iCs/>
                            <w:highlight w:val="lightGray"/>
                          </w:rPr>
                          <w:t>codebook4</w:t>
                        </w:r>
                      </w:p>
                      <w:p w14:paraId="0E4AF8CE" w14:textId="77777777" w:rsidR="00D6552E" w:rsidRPr="00D6552E" w:rsidRDefault="00D6552E" w:rsidP="003947D4">
                        <w:pPr>
                          <w:pStyle w:val="TAH"/>
                          <w:contextualSpacing/>
                          <w:rPr>
                            <w:i/>
                            <w:iCs/>
                            <w:highlight w:val="lightGray"/>
                          </w:rPr>
                        </w:pPr>
                      </w:p>
                    </w:tc>
                  </w:tr>
                  <w:tr w:rsidR="00D6552E" w:rsidRPr="00D6552E" w14:paraId="1FFD22B6"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0EB82C45" w14:textId="77777777" w:rsidR="00D6552E" w:rsidRPr="00D6552E" w:rsidRDefault="00D6552E" w:rsidP="003947D4">
                        <w:pPr>
                          <w:pStyle w:val="TAC"/>
                          <w:contextualSpacing/>
                          <w:rPr>
                            <w:i/>
                            <w:iCs/>
                            <w:highlight w:val="lightGray"/>
                          </w:rPr>
                        </w:pPr>
                        <w:r w:rsidRPr="00D6552E">
                          <w:rPr>
                            <w:i/>
                            <w:iCs/>
                            <w:highlight w:val="lightGray"/>
                          </w:rPr>
                          <w:t>0</w:t>
                        </w:r>
                      </w:p>
                    </w:tc>
                    <w:tc>
                      <w:tcPr>
                        <w:tcW w:w="1530" w:type="dxa"/>
                        <w:vMerge w:val="restart"/>
                        <w:tcBorders>
                          <w:top w:val="double" w:sz="4" w:space="0" w:color="A5A5A5"/>
                          <w:left w:val="double" w:sz="4" w:space="0" w:color="A5A5A5"/>
                          <w:bottom w:val="double" w:sz="4" w:space="0" w:color="A5A5A5"/>
                          <w:right w:val="double" w:sz="4" w:space="0" w:color="A5A5A5"/>
                        </w:tcBorders>
                      </w:tcPr>
                      <w:p w14:paraId="4A86FADA" w14:textId="77777777" w:rsidR="00D6552E" w:rsidRPr="00D6552E" w:rsidRDefault="00D6552E" w:rsidP="003947D4">
                        <w:pPr>
                          <w:pStyle w:val="TAC"/>
                          <w:contextualSpacing/>
                          <w:rPr>
                            <w:i/>
                            <w:iCs/>
                            <w:color w:val="000000" w:themeColor="text1"/>
                            <w:highlight w:val="lightGray"/>
                          </w:rPr>
                        </w:pPr>
                      </w:p>
                      <w:p w14:paraId="37526858" w14:textId="77777777" w:rsidR="00D6552E" w:rsidRPr="00D6552E" w:rsidRDefault="00D6552E" w:rsidP="003947D4">
                        <w:pPr>
                          <w:pStyle w:val="TAC"/>
                          <w:contextualSpacing/>
                          <w:rPr>
                            <w:i/>
                            <w:iCs/>
                            <w:color w:val="000000" w:themeColor="text1"/>
                            <w:highlight w:val="lightGray"/>
                          </w:rPr>
                        </w:pPr>
                      </w:p>
                      <w:p w14:paraId="6F79C811" w14:textId="77777777" w:rsidR="00D6552E" w:rsidRPr="00D6552E" w:rsidRDefault="00D6552E" w:rsidP="003947D4">
                        <w:pPr>
                          <w:pStyle w:val="TAC"/>
                          <w:contextualSpacing/>
                          <w:rPr>
                            <w:i/>
                            <w:iCs/>
                            <w:color w:val="000000" w:themeColor="text1"/>
                            <w:highlight w:val="lightGray"/>
                          </w:rPr>
                        </w:pPr>
                      </w:p>
                      <w:p w14:paraId="2DFD14AF"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0</w:t>
                        </w:r>
                      </w:p>
                    </w:tc>
                    <w:tc>
                      <w:tcPr>
                        <w:tcW w:w="540" w:type="dxa"/>
                        <w:tcBorders>
                          <w:top w:val="double" w:sz="4" w:space="0" w:color="A5A5A5"/>
                          <w:left w:val="double" w:sz="4" w:space="0" w:color="A5A5A5"/>
                          <w:bottom w:val="double" w:sz="4" w:space="0" w:color="A5A5A5"/>
                          <w:right w:val="double" w:sz="4" w:space="0" w:color="A5A5A5"/>
                        </w:tcBorders>
                        <w:hideMark/>
                      </w:tcPr>
                      <w:p w14:paraId="610F559D"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0</w:t>
                        </w:r>
                      </w:p>
                    </w:tc>
                    <w:tc>
                      <w:tcPr>
                        <w:tcW w:w="1260" w:type="dxa"/>
                        <w:vMerge w:val="restart"/>
                        <w:tcBorders>
                          <w:top w:val="double" w:sz="4" w:space="0" w:color="A5A5A5"/>
                          <w:left w:val="double" w:sz="4" w:space="0" w:color="A5A5A5"/>
                          <w:bottom w:val="double" w:sz="4" w:space="0" w:color="A5A5A5"/>
                          <w:right w:val="double" w:sz="4" w:space="0" w:color="A5A5A5"/>
                        </w:tcBorders>
                        <w:hideMark/>
                      </w:tcPr>
                      <w:p w14:paraId="24545249"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0</w:t>
                        </w:r>
                      </w:p>
                    </w:tc>
                    <w:tc>
                      <w:tcPr>
                        <w:tcW w:w="465" w:type="dxa"/>
                        <w:tcBorders>
                          <w:top w:val="double" w:sz="4" w:space="0" w:color="A5A5A5"/>
                          <w:left w:val="double" w:sz="4" w:space="0" w:color="A5A5A5"/>
                          <w:bottom w:val="double" w:sz="4" w:space="0" w:color="A5A5A5"/>
                          <w:right w:val="double" w:sz="4" w:space="0" w:color="A5A5A5"/>
                        </w:tcBorders>
                        <w:hideMark/>
                      </w:tcPr>
                      <w:p w14:paraId="51E583B9"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0</w:t>
                        </w:r>
                      </w:p>
                    </w:tc>
                    <w:tc>
                      <w:tcPr>
                        <w:tcW w:w="1335" w:type="dxa"/>
                        <w:vMerge w:val="restart"/>
                        <w:tcBorders>
                          <w:top w:val="double" w:sz="4" w:space="0" w:color="A5A5A5"/>
                          <w:left w:val="double" w:sz="4" w:space="0" w:color="A5A5A5"/>
                          <w:bottom w:val="double" w:sz="4" w:space="0" w:color="A5A5A5"/>
                          <w:right w:val="double" w:sz="4" w:space="0" w:color="A5A5A5"/>
                        </w:tcBorders>
                        <w:hideMark/>
                      </w:tcPr>
                      <w:p w14:paraId="6CFB3BCD"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0</w:t>
                        </w:r>
                      </w:p>
                    </w:tc>
                    <w:tc>
                      <w:tcPr>
                        <w:tcW w:w="540" w:type="dxa"/>
                        <w:tcBorders>
                          <w:top w:val="double" w:sz="4" w:space="0" w:color="A5A5A5"/>
                          <w:left w:val="double" w:sz="4" w:space="0" w:color="A5A5A5"/>
                          <w:bottom w:val="double" w:sz="4" w:space="0" w:color="A5A5A5"/>
                          <w:right w:val="double" w:sz="4" w:space="0" w:color="A5A5A5"/>
                        </w:tcBorders>
                        <w:hideMark/>
                      </w:tcPr>
                      <w:p w14:paraId="7D322161"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0</w:t>
                        </w:r>
                      </w:p>
                    </w:tc>
                    <w:tc>
                      <w:tcPr>
                        <w:tcW w:w="2160" w:type="dxa"/>
                        <w:tcBorders>
                          <w:top w:val="double" w:sz="4" w:space="0" w:color="A5A5A5"/>
                          <w:left w:val="double" w:sz="4" w:space="0" w:color="A5A5A5"/>
                          <w:bottom w:val="double" w:sz="4" w:space="0" w:color="A5A5A5"/>
                          <w:right w:val="double" w:sz="4" w:space="0" w:color="A5A5A5"/>
                        </w:tcBorders>
                        <w:hideMark/>
                      </w:tcPr>
                      <w:p w14:paraId="07377476"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0</w:t>
                        </w:r>
                      </w:p>
                    </w:tc>
                    <w:tc>
                      <w:tcPr>
                        <w:tcW w:w="555" w:type="dxa"/>
                        <w:tcBorders>
                          <w:top w:val="double" w:sz="4" w:space="0" w:color="A5A5A5"/>
                          <w:left w:val="double" w:sz="4" w:space="0" w:color="A5A5A5"/>
                          <w:bottom w:val="double" w:sz="4" w:space="0" w:color="A5A5A5"/>
                          <w:right w:val="double" w:sz="4" w:space="0" w:color="A5A5A5"/>
                        </w:tcBorders>
                        <w:hideMark/>
                      </w:tcPr>
                      <w:p w14:paraId="757B8DD5"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0</w:t>
                        </w:r>
                      </w:p>
                    </w:tc>
                  </w:tr>
                  <w:tr w:rsidR="00D6552E" w:rsidRPr="00D6552E" w14:paraId="745CA2BF"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4D295D2F" w14:textId="77777777" w:rsidR="00D6552E" w:rsidRPr="00D6552E" w:rsidRDefault="00D6552E" w:rsidP="003947D4">
                        <w:pPr>
                          <w:pStyle w:val="TAC"/>
                          <w:contextualSpacing/>
                          <w:rPr>
                            <w:i/>
                            <w:iCs/>
                            <w:highlight w:val="lightGray"/>
                          </w:rPr>
                        </w:pPr>
                        <w:r w:rsidRPr="00D6552E">
                          <w:rPr>
                            <w:i/>
                            <w:iCs/>
                            <w:highlight w:val="lightGray"/>
                          </w:rPr>
                          <w:t>1</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46E8AF56"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79B5938"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1</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4DBAB786"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0F1F650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1</w:t>
                        </w:r>
                      </w:p>
                    </w:tc>
                    <w:tc>
                      <w:tcPr>
                        <w:tcW w:w="1335" w:type="dxa"/>
                        <w:vMerge/>
                        <w:tcBorders>
                          <w:top w:val="double" w:sz="4" w:space="0" w:color="A5A5A5"/>
                          <w:left w:val="double" w:sz="4" w:space="0" w:color="A5A5A5"/>
                          <w:bottom w:val="double" w:sz="4" w:space="0" w:color="A5A5A5"/>
                          <w:right w:val="double" w:sz="4" w:space="0" w:color="A5A5A5"/>
                        </w:tcBorders>
                        <w:vAlign w:val="center"/>
                        <w:hideMark/>
                      </w:tcPr>
                      <w:p w14:paraId="42736CBF"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11FC5DC"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4</w:t>
                        </w:r>
                      </w:p>
                    </w:tc>
                    <w:tc>
                      <w:tcPr>
                        <w:tcW w:w="2160" w:type="dxa"/>
                        <w:tcBorders>
                          <w:top w:val="double" w:sz="4" w:space="0" w:color="A5A5A5"/>
                          <w:left w:val="double" w:sz="4" w:space="0" w:color="A5A5A5"/>
                          <w:bottom w:val="double" w:sz="4" w:space="0" w:color="A5A5A5"/>
                          <w:right w:val="double" w:sz="4" w:space="0" w:color="A5A5A5"/>
                        </w:tcBorders>
                        <w:hideMark/>
                      </w:tcPr>
                      <w:p w14:paraId="1AF66709"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1</w:t>
                        </w:r>
                      </w:p>
                    </w:tc>
                    <w:tc>
                      <w:tcPr>
                        <w:tcW w:w="555" w:type="dxa"/>
                        <w:tcBorders>
                          <w:top w:val="double" w:sz="4" w:space="0" w:color="A5A5A5"/>
                          <w:left w:val="double" w:sz="4" w:space="0" w:color="A5A5A5"/>
                          <w:bottom w:val="double" w:sz="4" w:space="0" w:color="A5A5A5"/>
                          <w:right w:val="double" w:sz="4" w:space="0" w:color="A5A5A5"/>
                        </w:tcBorders>
                        <w:hideMark/>
                      </w:tcPr>
                      <w:p w14:paraId="79DB7D23"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1</w:t>
                        </w:r>
                      </w:p>
                    </w:tc>
                  </w:tr>
                  <w:tr w:rsidR="00D6552E" w:rsidRPr="00D6552E" w14:paraId="0D1A0CC1"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20DC5D1E" w14:textId="77777777" w:rsidR="00D6552E" w:rsidRPr="00D6552E" w:rsidRDefault="00D6552E" w:rsidP="003947D4">
                        <w:pPr>
                          <w:pStyle w:val="TAC"/>
                          <w:contextualSpacing/>
                          <w:rPr>
                            <w:i/>
                            <w:iCs/>
                            <w:highlight w:val="lightGray"/>
                          </w:rPr>
                        </w:pPr>
                        <w:r w:rsidRPr="00D6552E">
                          <w:rPr>
                            <w:i/>
                            <w:iCs/>
                            <w:highlight w:val="lightGray"/>
                          </w:rPr>
                          <w:t>2</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40ED18BF"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2DB30D9"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2</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0DEDF064"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7C2BF3F5"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4</w:t>
                        </w:r>
                      </w:p>
                    </w:tc>
                    <w:tc>
                      <w:tcPr>
                        <w:tcW w:w="1335" w:type="dxa"/>
                        <w:vMerge w:val="restart"/>
                        <w:tcBorders>
                          <w:top w:val="double" w:sz="4" w:space="0" w:color="A5A5A5"/>
                          <w:left w:val="double" w:sz="4" w:space="0" w:color="A5A5A5"/>
                          <w:bottom w:val="double" w:sz="4" w:space="0" w:color="A5A5A5"/>
                          <w:right w:val="double" w:sz="4" w:space="0" w:color="A5A5A5"/>
                        </w:tcBorders>
                        <w:hideMark/>
                      </w:tcPr>
                      <w:p w14:paraId="3D3AF0B8"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1</w:t>
                        </w:r>
                      </w:p>
                    </w:tc>
                    <w:tc>
                      <w:tcPr>
                        <w:tcW w:w="540" w:type="dxa"/>
                        <w:tcBorders>
                          <w:top w:val="double" w:sz="4" w:space="0" w:color="A5A5A5"/>
                          <w:left w:val="double" w:sz="4" w:space="0" w:color="A5A5A5"/>
                          <w:bottom w:val="double" w:sz="4" w:space="0" w:color="A5A5A5"/>
                          <w:right w:val="double" w:sz="4" w:space="0" w:color="A5A5A5"/>
                        </w:tcBorders>
                        <w:hideMark/>
                      </w:tcPr>
                      <w:p w14:paraId="1931A048"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1</w:t>
                        </w:r>
                      </w:p>
                    </w:tc>
                    <w:tc>
                      <w:tcPr>
                        <w:tcW w:w="2160" w:type="dxa"/>
                        <w:tcBorders>
                          <w:top w:val="double" w:sz="4" w:space="0" w:color="A5A5A5"/>
                          <w:left w:val="double" w:sz="4" w:space="0" w:color="A5A5A5"/>
                          <w:bottom w:val="double" w:sz="4" w:space="0" w:color="A5A5A5"/>
                          <w:right w:val="double" w:sz="4" w:space="0" w:color="A5A5A5"/>
                        </w:tcBorders>
                        <w:hideMark/>
                      </w:tcPr>
                      <w:p w14:paraId="1FDEB10A"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2</w:t>
                        </w:r>
                      </w:p>
                    </w:tc>
                    <w:tc>
                      <w:tcPr>
                        <w:tcW w:w="555" w:type="dxa"/>
                        <w:tcBorders>
                          <w:top w:val="double" w:sz="4" w:space="0" w:color="A5A5A5"/>
                          <w:left w:val="double" w:sz="4" w:space="0" w:color="A5A5A5"/>
                          <w:bottom w:val="double" w:sz="4" w:space="0" w:color="A5A5A5"/>
                          <w:right w:val="double" w:sz="4" w:space="0" w:color="A5A5A5"/>
                        </w:tcBorders>
                        <w:hideMark/>
                      </w:tcPr>
                      <w:p w14:paraId="3D3AA00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2</w:t>
                        </w:r>
                      </w:p>
                    </w:tc>
                  </w:tr>
                  <w:tr w:rsidR="00D6552E" w:rsidRPr="00D6552E" w14:paraId="4C9B7C8E"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3B680448" w14:textId="77777777" w:rsidR="00D6552E" w:rsidRPr="00D6552E" w:rsidRDefault="00D6552E" w:rsidP="003947D4">
                        <w:pPr>
                          <w:pStyle w:val="TAC"/>
                          <w:contextualSpacing/>
                          <w:rPr>
                            <w:i/>
                            <w:iCs/>
                            <w:highlight w:val="lightGray"/>
                          </w:rPr>
                        </w:pPr>
                        <w:r w:rsidRPr="00D6552E">
                          <w:rPr>
                            <w:i/>
                            <w:iCs/>
                            <w:highlight w:val="lightGray"/>
                          </w:rPr>
                          <w:t>3</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20791287"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5FC88CBF"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3</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2BCC7512"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5DB40CC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5</w:t>
                        </w:r>
                      </w:p>
                    </w:tc>
                    <w:tc>
                      <w:tcPr>
                        <w:tcW w:w="1335" w:type="dxa"/>
                        <w:vMerge/>
                        <w:tcBorders>
                          <w:top w:val="double" w:sz="4" w:space="0" w:color="A5A5A5"/>
                          <w:left w:val="double" w:sz="4" w:space="0" w:color="A5A5A5"/>
                          <w:bottom w:val="double" w:sz="4" w:space="0" w:color="A5A5A5"/>
                          <w:right w:val="double" w:sz="4" w:space="0" w:color="A5A5A5"/>
                        </w:tcBorders>
                        <w:vAlign w:val="center"/>
                        <w:hideMark/>
                      </w:tcPr>
                      <w:p w14:paraId="5F5B14F1"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443F5BE9"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5</w:t>
                        </w:r>
                      </w:p>
                    </w:tc>
                    <w:tc>
                      <w:tcPr>
                        <w:tcW w:w="2160" w:type="dxa"/>
                        <w:tcBorders>
                          <w:top w:val="double" w:sz="4" w:space="0" w:color="A5A5A5"/>
                          <w:left w:val="double" w:sz="4" w:space="0" w:color="A5A5A5"/>
                          <w:bottom w:val="double" w:sz="4" w:space="0" w:color="A5A5A5"/>
                          <w:right w:val="double" w:sz="4" w:space="0" w:color="A5A5A5"/>
                        </w:tcBorders>
                        <w:hideMark/>
                      </w:tcPr>
                      <w:p w14:paraId="4DB5C4DF"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3</w:t>
                        </w:r>
                      </w:p>
                    </w:tc>
                    <w:tc>
                      <w:tcPr>
                        <w:tcW w:w="555" w:type="dxa"/>
                        <w:tcBorders>
                          <w:top w:val="double" w:sz="4" w:space="0" w:color="A5A5A5"/>
                          <w:left w:val="double" w:sz="4" w:space="0" w:color="A5A5A5"/>
                          <w:bottom w:val="double" w:sz="4" w:space="0" w:color="A5A5A5"/>
                          <w:right w:val="double" w:sz="4" w:space="0" w:color="A5A5A5"/>
                        </w:tcBorders>
                        <w:hideMark/>
                      </w:tcPr>
                      <w:p w14:paraId="514E86F0"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3</w:t>
                        </w:r>
                      </w:p>
                    </w:tc>
                  </w:tr>
                  <w:tr w:rsidR="00D6552E" w:rsidRPr="00D6552E" w14:paraId="49DDFF66"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0406257D" w14:textId="77777777" w:rsidR="00D6552E" w:rsidRPr="00D6552E" w:rsidRDefault="00D6552E" w:rsidP="003947D4">
                        <w:pPr>
                          <w:pStyle w:val="TAC"/>
                          <w:contextualSpacing/>
                          <w:rPr>
                            <w:i/>
                            <w:iCs/>
                            <w:highlight w:val="lightGray"/>
                          </w:rPr>
                        </w:pPr>
                        <w:r w:rsidRPr="00D6552E">
                          <w:rPr>
                            <w:i/>
                            <w:iCs/>
                            <w:highlight w:val="lightGray"/>
                          </w:rPr>
                          <w:t>4</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7AD8CDFA"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A62D80B"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4</w:t>
                        </w:r>
                      </w:p>
                    </w:tc>
                    <w:tc>
                      <w:tcPr>
                        <w:tcW w:w="1260" w:type="dxa"/>
                        <w:vMerge w:val="restart"/>
                        <w:tcBorders>
                          <w:top w:val="double" w:sz="4" w:space="0" w:color="A5A5A5"/>
                          <w:left w:val="double" w:sz="4" w:space="0" w:color="A5A5A5"/>
                          <w:bottom w:val="double" w:sz="4" w:space="0" w:color="A5A5A5"/>
                          <w:right w:val="double" w:sz="4" w:space="0" w:color="A5A5A5"/>
                        </w:tcBorders>
                        <w:hideMark/>
                      </w:tcPr>
                      <w:p w14:paraId="6D07114F"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1</w:t>
                        </w:r>
                      </w:p>
                    </w:tc>
                    <w:tc>
                      <w:tcPr>
                        <w:tcW w:w="465" w:type="dxa"/>
                        <w:tcBorders>
                          <w:top w:val="double" w:sz="4" w:space="0" w:color="A5A5A5"/>
                          <w:left w:val="double" w:sz="4" w:space="0" w:color="A5A5A5"/>
                          <w:bottom w:val="double" w:sz="4" w:space="0" w:color="A5A5A5"/>
                          <w:right w:val="double" w:sz="4" w:space="0" w:color="A5A5A5"/>
                        </w:tcBorders>
                        <w:hideMark/>
                      </w:tcPr>
                      <w:p w14:paraId="432FF272"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2</w:t>
                        </w:r>
                      </w:p>
                    </w:tc>
                    <w:tc>
                      <w:tcPr>
                        <w:tcW w:w="1335" w:type="dxa"/>
                        <w:vMerge w:val="restart"/>
                        <w:tcBorders>
                          <w:top w:val="double" w:sz="4" w:space="0" w:color="A5A5A5"/>
                          <w:left w:val="double" w:sz="4" w:space="0" w:color="A5A5A5"/>
                          <w:bottom w:val="double" w:sz="4" w:space="0" w:color="A5A5A5"/>
                          <w:right w:val="double" w:sz="4" w:space="0" w:color="A5A5A5"/>
                        </w:tcBorders>
                        <w:hideMark/>
                      </w:tcPr>
                      <w:p w14:paraId="2174C4E0"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2</w:t>
                        </w:r>
                      </w:p>
                    </w:tc>
                    <w:tc>
                      <w:tcPr>
                        <w:tcW w:w="540" w:type="dxa"/>
                        <w:tcBorders>
                          <w:top w:val="double" w:sz="4" w:space="0" w:color="A5A5A5"/>
                          <w:left w:val="double" w:sz="4" w:space="0" w:color="A5A5A5"/>
                          <w:bottom w:val="double" w:sz="4" w:space="0" w:color="A5A5A5"/>
                          <w:right w:val="double" w:sz="4" w:space="0" w:color="A5A5A5"/>
                        </w:tcBorders>
                        <w:hideMark/>
                      </w:tcPr>
                      <w:p w14:paraId="17B1877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2</w:t>
                        </w:r>
                      </w:p>
                    </w:tc>
                    <w:tc>
                      <w:tcPr>
                        <w:tcW w:w="2160" w:type="dxa"/>
                        <w:tcBorders>
                          <w:top w:val="double" w:sz="4" w:space="0" w:color="A5A5A5"/>
                          <w:left w:val="double" w:sz="4" w:space="0" w:color="A5A5A5"/>
                          <w:bottom w:val="double" w:sz="4" w:space="0" w:color="A5A5A5"/>
                          <w:right w:val="double" w:sz="4" w:space="0" w:color="A5A5A5"/>
                        </w:tcBorders>
                        <w:hideMark/>
                      </w:tcPr>
                      <w:p w14:paraId="10A69BA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4</w:t>
                        </w:r>
                      </w:p>
                    </w:tc>
                    <w:tc>
                      <w:tcPr>
                        <w:tcW w:w="555" w:type="dxa"/>
                        <w:tcBorders>
                          <w:top w:val="double" w:sz="4" w:space="0" w:color="A5A5A5"/>
                          <w:left w:val="double" w:sz="4" w:space="0" w:color="A5A5A5"/>
                          <w:bottom w:val="double" w:sz="4" w:space="0" w:color="A5A5A5"/>
                          <w:right w:val="double" w:sz="4" w:space="0" w:color="A5A5A5"/>
                        </w:tcBorders>
                        <w:hideMark/>
                      </w:tcPr>
                      <w:p w14:paraId="62AE0AB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4</w:t>
                        </w:r>
                      </w:p>
                    </w:tc>
                  </w:tr>
                  <w:tr w:rsidR="00D6552E" w:rsidRPr="00D6552E" w14:paraId="4D0AC344"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649BBBA0" w14:textId="77777777" w:rsidR="00D6552E" w:rsidRPr="00D6552E" w:rsidRDefault="00D6552E" w:rsidP="003947D4">
                        <w:pPr>
                          <w:pStyle w:val="TAC"/>
                          <w:contextualSpacing/>
                          <w:rPr>
                            <w:i/>
                            <w:iCs/>
                            <w:highlight w:val="lightGray"/>
                          </w:rPr>
                        </w:pPr>
                        <w:r w:rsidRPr="00D6552E">
                          <w:rPr>
                            <w:i/>
                            <w:iCs/>
                            <w:highlight w:val="lightGray"/>
                          </w:rPr>
                          <w:t>5</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4579E595"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706953A7"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5</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13BB154C"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0B2CC02E"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3</w:t>
                        </w:r>
                      </w:p>
                    </w:tc>
                    <w:tc>
                      <w:tcPr>
                        <w:tcW w:w="1335" w:type="dxa"/>
                        <w:vMerge/>
                        <w:tcBorders>
                          <w:top w:val="double" w:sz="4" w:space="0" w:color="A5A5A5"/>
                          <w:left w:val="double" w:sz="4" w:space="0" w:color="A5A5A5"/>
                          <w:bottom w:val="double" w:sz="4" w:space="0" w:color="A5A5A5"/>
                          <w:right w:val="double" w:sz="4" w:space="0" w:color="A5A5A5"/>
                        </w:tcBorders>
                        <w:vAlign w:val="center"/>
                        <w:hideMark/>
                      </w:tcPr>
                      <w:p w14:paraId="4ED567B2"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BF80056"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6</w:t>
                        </w:r>
                      </w:p>
                    </w:tc>
                    <w:tc>
                      <w:tcPr>
                        <w:tcW w:w="2160" w:type="dxa"/>
                        <w:tcBorders>
                          <w:top w:val="double" w:sz="4" w:space="0" w:color="A5A5A5"/>
                          <w:left w:val="double" w:sz="4" w:space="0" w:color="A5A5A5"/>
                          <w:bottom w:val="double" w:sz="4" w:space="0" w:color="A5A5A5"/>
                          <w:right w:val="double" w:sz="4" w:space="0" w:color="A5A5A5"/>
                        </w:tcBorders>
                        <w:hideMark/>
                      </w:tcPr>
                      <w:p w14:paraId="2431D9EE"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5</w:t>
                        </w:r>
                      </w:p>
                    </w:tc>
                    <w:tc>
                      <w:tcPr>
                        <w:tcW w:w="555" w:type="dxa"/>
                        <w:tcBorders>
                          <w:top w:val="double" w:sz="4" w:space="0" w:color="A5A5A5"/>
                          <w:left w:val="double" w:sz="4" w:space="0" w:color="A5A5A5"/>
                          <w:bottom w:val="double" w:sz="4" w:space="0" w:color="A5A5A5"/>
                          <w:right w:val="double" w:sz="4" w:space="0" w:color="A5A5A5"/>
                        </w:tcBorders>
                        <w:hideMark/>
                      </w:tcPr>
                      <w:p w14:paraId="27824E83"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5</w:t>
                        </w:r>
                      </w:p>
                    </w:tc>
                  </w:tr>
                  <w:tr w:rsidR="00D6552E" w:rsidRPr="00D6552E" w14:paraId="454BA489"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30F1F314" w14:textId="77777777" w:rsidR="00D6552E" w:rsidRPr="00D6552E" w:rsidRDefault="00D6552E" w:rsidP="003947D4">
                        <w:pPr>
                          <w:pStyle w:val="TAC"/>
                          <w:contextualSpacing/>
                          <w:rPr>
                            <w:i/>
                            <w:iCs/>
                            <w:highlight w:val="lightGray"/>
                          </w:rPr>
                        </w:pPr>
                        <w:r w:rsidRPr="00D6552E">
                          <w:rPr>
                            <w:i/>
                            <w:iCs/>
                            <w:highlight w:val="lightGray"/>
                          </w:rPr>
                          <w:t>6</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4D0704E8"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21540C6E"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6</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306D8AC3"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75713A85"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6</w:t>
                        </w:r>
                      </w:p>
                    </w:tc>
                    <w:tc>
                      <w:tcPr>
                        <w:tcW w:w="1335" w:type="dxa"/>
                        <w:vMerge w:val="restart"/>
                        <w:tcBorders>
                          <w:top w:val="double" w:sz="4" w:space="0" w:color="A5A5A5"/>
                          <w:left w:val="double" w:sz="4" w:space="0" w:color="A5A5A5"/>
                          <w:bottom w:val="double" w:sz="4" w:space="0" w:color="A5A5A5"/>
                          <w:right w:val="double" w:sz="4" w:space="0" w:color="A5A5A5"/>
                        </w:tcBorders>
                        <w:hideMark/>
                      </w:tcPr>
                      <w:p w14:paraId="13DEFECC"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3</w:t>
                        </w:r>
                      </w:p>
                    </w:tc>
                    <w:tc>
                      <w:tcPr>
                        <w:tcW w:w="540" w:type="dxa"/>
                        <w:tcBorders>
                          <w:top w:val="double" w:sz="4" w:space="0" w:color="A5A5A5"/>
                          <w:left w:val="double" w:sz="4" w:space="0" w:color="A5A5A5"/>
                          <w:bottom w:val="double" w:sz="4" w:space="0" w:color="A5A5A5"/>
                          <w:right w:val="double" w:sz="4" w:space="0" w:color="A5A5A5"/>
                        </w:tcBorders>
                        <w:hideMark/>
                      </w:tcPr>
                      <w:p w14:paraId="6CE1A2F6"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3</w:t>
                        </w:r>
                      </w:p>
                    </w:tc>
                    <w:tc>
                      <w:tcPr>
                        <w:tcW w:w="2160" w:type="dxa"/>
                        <w:tcBorders>
                          <w:top w:val="double" w:sz="4" w:space="0" w:color="A5A5A5"/>
                          <w:left w:val="double" w:sz="4" w:space="0" w:color="A5A5A5"/>
                          <w:bottom w:val="double" w:sz="4" w:space="0" w:color="A5A5A5"/>
                          <w:right w:val="double" w:sz="4" w:space="0" w:color="A5A5A5"/>
                        </w:tcBorders>
                        <w:hideMark/>
                      </w:tcPr>
                      <w:p w14:paraId="2735A2D1"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6</w:t>
                        </w:r>
                      </w:p>
                    </w:tc>
                    <w:tc>
                      <w:tcPr>
                        <w:tcW w:w="555" w:type="dxa"/>
                        <w:tcBorders>
                          <w:top w:val="double" w:sz="4" w:space="0" w:color="A5A5A5"/>
                          <w:left w:val="double" w:sz="4" w:space="0" w:color="A5A5A5"/>
                          <w:bottom w:val="double" w:sz="4" w:space="0" w:color="A5A5A5"/>
                          <w:right w:val="double" w:sz="4" w:space="0" w:color="A5A5A5"/>
                        </w:tcBorders>
                        <w:hideMark/>
                      </w:tcPr>
                      <w:p w14:paraId="4FB3F1AF"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6</w:t>
                        </w:r>
                      </w:p>
                    </w:tc>
                  </w:tr>
                  <w:tr w:rsidR="00D6552E" w:rsidRPr="00D6552E" w14:paraId="79C1DF18" w14:textId="77777777" w:rsidTr="003947D4">
                    <w:trPr>
                      <w:jc w:val="center"/>
                    </w:trPr>
                    <w:tc>
                      <w:tcPr>
                        <w:tcW w:w="555" w:type="dxa"/>
                        <w:tcBorders>
                          <w:top w:val="double" w:sz="4" w:space="0" w:color="A5A5A5"/>
                          <w:left w:val="double" w:sz="4" w:space="0" w:color="A5A5A5"/>
                          <w:bottom w:val="double" w:sz="4" w:space="0" w:color="A5A5A5"/>
                          <w:right w:val="double" w:sz="4" w:space="0" w:color="A5A5A5"/>
                        </w:tcBorders>
                        <w:hideMark/>
                      </w:tcPr>
                      <w:p w14:paraId="01F3ED12" w14:textId="77777777" w:rsidR="00D6552E" w:rsidRPr="00D6552E" w:rsidRDefault="00D6552E" w:rsidP="003947D4">
                        <w:pPr>
                          <w:pStyle w:val="TAC"/>
                          <w:contextualSpacing/>
                          <w:rPr>
                            <w:i/>
                            <w:iCs/>
                            <w:highlight w:val="lightGray"/>
                          </w:rPr>
                        </w:pPr>
                        <w:r w:rsidRPr="00D6552E">
                          <w:rPr>
                            <w:i/>
                            <w:iCs/>
                            <w:highlight w:val="lightGray"/>
                          </w:rPr>
                          <w:t>7</w:t>
                        </w:r>
                      </w:p>
                    </w:tc>
                    <w:tc>
                      <w:tcPr>
                        <w:tcW w:w="1530" w:type="dxa"/>
                        <w:vMerge/>
                        <w:tcBorders>
                          <w:top w:val="double" w:sz="4" w:space="0" w:color="A5A5A5"/>
                          <w:left w:val="double" w:sz="4" w:space="0" w:color="A5A5A5"/>
                          <w:bottom w:val="double" w:sz="4" w:space="0" w:color="A5A5A5"/>
                          <w:right w:val="double" w:sz="4" w:space="0" w:color="A5A5A5"/>
                        </w:tcBorders>
                        <w:vAlign w:val="center"/>
                        <w:hideMark/>
                      </w:tcPr>
                      <w:p w14:paraId="05DA8217"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2ABD68D4"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7</w:t>
                        </w:r>
                      </w:p>
                    </w:tc>
                    <w:tc>
                      <w:tcPr>
                        <w:tcW w:w="1260" w:type="dxa"/>
                        <w:vMerge/>
                        <w:tcBorders>
                          <w:top w:val="double" w:sz="4" w:space="0" w:color="A5A5A5"/>
                          <w:left w:val="double" w:sz="4" w:space="0" w:color="A5A5A5"/>
                          <w:bottom w:val="double" w:sz="4" w:space="0" w:color="A5A5A5"/>
                          <w:right w:val="double" w:sz="4" w:space="0" w:color="A5A5A5"/>
                        </w:tcBorders>
                        <w:vAlign w:val="center"/>
                        <w:hideMark/>
                      </w:tcPr>
                      <w:p w14:paraId="3F6B4787" w14:textId="77777777" w:rsidR="00D6552E" w:rsidRPr="00D6552E" w:rsidRDefault="00D6552E" w:rsidP="003947D4">
                        <w:pPr>
                          <w:spacing w:after="0"/>
                          <w:contextualSpacing/>
                          <w:rPr>
                            <w:i/>
                            <w:iCs/>
                            <w:color w:val="000000" w:themeColor="text1"/>
                            <w:highlight w:val="lightGray"/>
                            <w:lang w:eastAsia="x-none"/>
                          </w:rPr>
                        </w:pPr>
                      </w:p>
                    </w:tc>
                    <w:tc>
                      <w:tcPr>
                        <w:tcW w:w="465" w:type="dxa"/>
                        <w:tcBorders>
                          <w:top w:val="double" w:sz="4" w:space="0" w:color="A5A5A5"/>
                          <w:left w:val="double" w:sz="4" w:space="0" w:color="A5A5A5"/>
                          <w:bottom w:val="double" w:sz="4" w:space="0" w:color="A5A5A5"/>
                          <w:right w:val="double" w:sz="4" w:space="0" w:color="A5A5A5"/>
                        </w:tcBorders>
                        <w:hideMark/>
                      </w:tcPr>
                      <w:p w14:paraId="11A3CB51"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7</w:t>
                        </w:r>
                      </w:p>
                    </w:tc>
                    <w:tc>
                      <w:tcPr>
                        <w:tcW w:w="1335" w:type="dxa"/>
                        <w:vMerge/>
                        <w:tcBorders>
                          <w:top w:val="double" w:sz="4" w:space="0" w:color="A5A5A5"/>
                          <w:left w:val="double" w:sz="4" w:space="0" w:color="A5A5A5"/>
                          <w:bottom w:val="double" w:sz="4" w:space="0" w:color="A5A5A5"/>
                          <w:right w:val="double" w:sz="4" w:space="0" w:color="A5A5A5"/>
                        </w:tcBorders>
                        <w:vAlign w:val="center"/>
                        <w:hideMark/>
                      </w:tcPr>
                      <w:p w14:paraId="53BBA64F" w14:textId="77777777" w:rsidR="00D6552E" w:rsidRPr="00D6552E" w:rsidRDefault="00D6552E" w:rsidP="003947D4">
                        <w:pPr>
                          <w:spacing w:after="0"/>
                          <w:contextualSpacing/>
                          <w:rPr>
                            <w:i/>
                            <w:iCs/>
                            <w:color w:val="000000" w:themeColor="text1"/>
                            <w:highlight w:val="lightGray"/>
                            <w:lang w:eastAsia="x-none"/>
                          </w:rPr>
                        </w:pPr>
                      </w:p>
                    </w:tc>
                    <w:tc>
                      <w:tcPr>
                        <w:tcW w:w="540" w:type="dxa"/>
                        <w:tcBorders>
                          <w:top w:val="double" w:sz="4" w:space="0" w:color="A5A5A5"/>
                          <w:left w:val="double" w:sz="4" w:space="0" w:color="A5A5A5"/>
                          <w:bottom w:val="double" w:sz="4" w:space="0" w:color="A5A5A5"/>
                          <w:right w:val="double" w:sz="4" w:space="0" w:color="A5A5A5"/>
                        </w:tcBorders>
                        <w:hideMark/>
                      </w:tcPr>
                      <w:p w14:paraId="60E81444"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7</w:t>
                        </w:r>
                      </w:p>
                    </w:tc>
                    <w:tc>
                      <w:tcPr>
                        <w:tcW w:w="2160" w:type="dxa"/>
                        <w:tcBorders>
                          <w:top w:val="double" w:sz="4" w:space="0" w:color="A5A5A5"/>
                          <w:left w:val="double" w:sz="4" w:space="0" w:color="A5A5A5"/>
                          <w:bottom w:val="double" w:sz="4" w:space="0" w:color="A5A5A5"/>
                          <w:right w:val="double" w:sz="4" w:space="0" w:color="A5A5A5"/>
                        </w:tcBorders>
                        <w:hideMark/>
                      </w:tcPr>
                      <w:p w14:paraId="425E604D"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Antenna port group 7</w:t>
                        </w:r>
                      </w:p>
                    </w:tc>
                    <w:tc>
                      <w:tcPr>
                        <w:tcW w:w="555" w:type="dxa"/>
                        <w:tcBorders>
                          <w:top w:val="double" w:sz="4" w:space="0" w:color="A5A5A5"/>
                          <w:left w:val="double" w:sz="4" w:space="0" w:color="A5A5A5"/>
                          <w:bottom w:val="double" w:sz="4" w:space="0" w:color="A5A5A5"/>
                          <w:right w:val="double" w:sz="4" w:space="0" w:color="A5A5A5"/>
                        </w:tcBorders>
                        <w:hideMark/>
                      </w:tcPr>
                      <w:p w14:paraId="39A13D85" w14:textId="77777777" w:rsidR="00D6552E" w:rsidRPr="00D6552E" w:rsidRDefault="00D6552E" w:rsidP="003947D4">
                        <w:pPr>
                          <w:pStyle w:val="TAC"/>
                          <w:contextualSpacing/>
                          <w:rPr>
                            <w:i/>
                            <w:iCs/>
                            <w:color w:val="000000" w:themeColor="text1"/>
                            <w:highlight w:val="lightGray"/>
                          </w:rPr>
                        </w:pPr>
                        <w:r w:rsidRPr="00D6552E">
                          <w:rPr>
                            <w:i/>
                            <w:iCs/>
                            <w:color w:val="000000" w:themeColor="text1"/>
                            <w:highlight w:val="lightGray"/>
                          </w:rPr>
                          <w:t>7</w:t>
                        </w:r>
                      </w:p>
                    </w:tc>
                  </w:tr>
                </w:tbl>
                <w:p w14:paraId="1D989C60" w14:textId="77777777" w:rsidR="00D6552E" w:rsidRPr="00D6552E" w:rsidRDefault="00D6552E" w:rsidP="003947D4">
                  <w:pPr>
                    <w:spacing w:after="0"/>
                    <w:ind w:left="360"/>
                    <w:contextualSpacing/>
                    <w:rPr>
                      <w:rFonts w:ascii="Times" w:eastAsia="Batang" w:hAnsi="Times"/>
                      <w:i/>
                      <w:iCs/>
                      <w:color w:val="FF0000"/>
                      <w:szCs w:val="24"/>
                      <w:highlight w:val="lightGray"/>
                      <w:lang w:eastAsia="zh-CN"/>
                    </w:rPr>
                  </w:pPr>
                  <w:r w:rsidRPr="00D6552E">
                    <w:rPr>
                      <w:i/>
                      <w:iCs/>
                      <w:color w:val="FF0000"/>
                      <w:highlight w:val="lightGray"/>
                      <w:lang w:eastAsia="zh-CN"/>
                    </w:rPr>
                    <w:t>-------------------------------------------Unchanged parts are omitted-------------------------------------------</w:t>
                  </w:r>
                </w:p>
                <w:p w14:paraId="02B3BDB6" w14:textId="77777777" w:rsidR="00D6552E" w:rsidRPr="00D6552E" w:rsidRDefault="00D6552E" w:rsidP="003947D4">
                  <w:pPr>
                    <w:spacing w:after="0"/>
                    <w:contextualSpacing/>
                    <w:rPr>
                      <w:b/>
                      <w:bCs/>
                      <w:i/>
                      <w:iCs/>
                      <w:highlight w:val="lightGray"/>
                      <w:lang w:eastAsia="zh-CN"/>
                    </w:rPr>
                  </w:pPr>
                </w:p>
              </w:tc>
            </w:tr>
          </w:tbl>
          <w:p w14:paraId="398CF252" w14:textId="77777777" w:rsidR="00D6552E" w:rsidRPr="00D6552E" w:rsidRDefault="00D6552E" w:rsidP="003947D4">
            <w:pPr>
              <w:spacing w:after="0"/>
              <w:contextualSpacing/>
              <w:rPr>
                <w:rFonts w:ascii="Times" w:eastAsia="Batang" w:hAnsi="Times"/>
                <w:b/>
                <w:bCs/>
                <w:i/>
                <w:iCs/>
                <w:highlight w:val="lightGray"/>
                <w:lang w:val="en-US" w:eastAsia="zh-CN"/>
              </w:rPr>
            </w:pPr>
          </w:p>
          <w:p w14:paraId="6F3901C9" w14:textId="77777777" w:rsidR="00D6552E" w:rsidRPr="00D6552E" w:rsidRDefault="00D6552E" w:rsidP="003947D4">
            <w:pPr>
              <w:spacing w:after="0"/>
              <w:contextualSpacing/>
              <w:rPr>
                <w:i/>
                <w:iCs/>
                <w:color w:val="FF0000"/>
                <w:szCs w:val="24"/>
                <w:highlight w:val="lightGray"/>
                <w:lang w:eastAsia="zh-CN"/>
              </w:rPr>
            </w:pPr>
            <w:r w:rsidRPr="00D6552E">
              <w:rPr>
                <w:b/>
                <w:bCs/>
                <w:i/>
                <w:iCs/>
                <w:sz w:val="22"/>
                <w:szCs w:val="22"/>
                <w:highlight w:val="lightGray"/>
                <w:lang w:eastAsia="zh-CN"/>
              </w:rPr>
              <w:t>Agreement</w:t>
            </w:r>
          </w:p>
          <w:p w14:paraId="79067F97" w14:textId="77777777" w:rsidR="00D6552E" w:rsidRPr="00D6552E" w:rsidRDefault="00D6552E" w:rsidP="00D6552E">
            <w:pPr>
              <w:pStyle w:val="aff5"/>
              <w:numPr>
                <w:ilvl w:val="0"/>
                <w:numId w:val="34"/>
              </w:numPr>
              <w:overflowPunct/>
              <w:autoSpaceDE/>
              <w:autoSpaceDN/>
              <w:adjustRightInd/>
              <w:spacing w:before="120" w:after="0"/>
              <w:jc w:val="both"/>
              <w:textAlignment w:val="auto"/>
              <w:rPr>
                <w:b/>
                <w:bCs/>
                <w:i/>
                <w:iCs/>
                <w:szCs w:val="24"/>
                <w:highlight w:val="lightGray"/>
                <w:lang w:eastAsia="zh-CN"/>
              </w:rPr>
            </w:pPr>
            <w:r w:rsidRPr="00D6552E">
              <w:rPr>
                <w:bCs/>
                <w:i/>
                <w:iCs/>
                <w:highlight w:val="lightGray"/>
              </w:rPr>
              <w:t>Adopt the following text proposal to TS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85"/>
            </w:tblGrid>
            <w:tr w:rsidR="00D6552E" w:rsidRPr="00D6552E" w14:paraId="509AE4C4" w14:textId="77777777" w:rsidTr="003947D4">
              <w:tc>
                <w:tcPr>
                  <w:tcW w:w="10160" w:type="dxa"/>
                  <w:tcBorders>
                    <w:top w:val="double" w:sz="4" w:space="0" w:color="A5A5A5"/>
                    <w:left w:val="double" w:sz="4" w:space="0" w:color="A5A5A5"/>
                    <w:bottom w:val="double" w:sz="4" w:space="0" w:color="A5A5A5"/>
                    <w:right w:val="double" w:sz="4" w:space="0" w:color="A5A5A5"/>
                  </w:tcBorders>
                </w:tcPr>
                <w:p w14:paraId="0959C290" w14:textId="77777777" w:rsidR="00D6552E" w:rsidRPr="00D6552E" w:rsidRDefault="00D6552E" w:rsidP="003947D4">
                  <w:pPr>
                    <w:spacing w:after="0"/>
                    <w:ind w:left="360"/>
                    <w:contextualSpacing/>
                    <w:rPr>
                      <w:rFonts w:ascii="Times" w:hAnsi="Times"/>
                      <w:i/>
                      <w:iCs/>
                      <w:color w:val="FF0000"/>
                      <w:highlight w:val="lightGray"/>
                      <w:lang w:eastAsia="zh-CN"/>
                    </w:rPr>
                  </w:pPr>
                  <w:r w:rsidRPr="00D6552E">
                    <w:rPr>
                      <w:i/>
                      <w:iCs/>
                      <w:color w:val="FF0000"/>
                      <w:highlight w:val="lightGray"/>
                      <w:lang w:eastAsia="zh-CN"/>
                    </w:rPr>
                    <w:t>-------------------------------------------Unchanged parts are omitted-------------------------------------------</w:t>
                  </w:r>
                </w:p>
                <w:p w14:paraId="5389C7C8" w14:textId="77777777" w:rsidR="00D6552E" w:rsidRPr="00D6552E" w:rsidRDefault="00D6552E" w:rsidP="003947D4">
                  <w:pPr>
                    <w:spacing w:after="0"/>
                    <w:ind w:left="360"/>
                    <w:contextualSpacing/>
                    <w:rPr>
                      <w:i/>
                      <w:iCs/>
                      <w:highlight w:val="lightGray"/>
                      <w:lang w:val="en-US"/>
                    </w:rPr>
                  </w:pPr>
                  <w:r w:rsidRPr="00D6552E">
                    <w:rPr>
                      <w:i/>
                      <w:iCs/>
                      <w:highlight w:val="lightGray"/>
                    </w:rPr>
                    <w:lastRenderedPageBreak/>
                    <w:t xml:space="preserve">For </w:t>
                  </w:r>
                  <w:proofErr w:type="gramStart"/>
                  <w:r w:rsidRPr="00D6552E">
                    <w:rPr>
                      <w:i/>
                      <w:iCs/>
                      <w:highlight w:val="lightGray"/>
                    </w:rPr>
                    <w:t>codebook based</w:t>
                  </w:r>
                  <w:proofErr w:type="gramEnd"/>
                  <w:r w:rsidRPr="00D6552E">
                    <w:rPr>
                      <w:i/>
                      <w:iCs/>
                      <w:highlight w:val="lightGray"/>
                    </w:rPr>
                    <w:t xml:space="preserve"> transmission with eight antenna ports, the UE determines its codebook based upon the reception of higher layer parameter[s] </w:t>
                  </w:r>
                  <w:proofErr w:type="spellStart"/>
                  <w:r w:rsidRPr="00D6552E">
                    <w:rPr>
                      <w:i/>
                      <w:iCs/>
                      <w:highlight w:val="lightGray"/>
                    </w:rPr>
                    <w:t>CodebookType</w:t>
                  </w:r>
                  <w:proofErr w:type="spellEnd"/>
                  <w:r w:rsidRPr="00D6552E">
                    <w:rPr>
                      <w:i/>
                      <w:iCs/>
                      <w:highlight w:val="lightGray"/>
                    </w:rPr>
                    <w:t xml:space="preserve"> and ULcodebookFC-N1N2 if </w:t>
                  </w:r>
                  <w:proofErr w:type="spellStart"/>
                  <w:r w:rsidRPr="00D6552E">
                    <w:rPr>
                      <w:i/>
                      <w:iCs/>
                      <w:highlight w:val="lightGray"/>
                    </w:rPr>
                    <w:t>CodebookType</w:t>
                  </w:r>
                  <w:proofErr w:type="spellEnd"/>
                  <w:r w:rsidRPr="00D6552E">
                    <w:rPr>
                      <w:i/>
                      <w:iCs/>
                      <w:highlight w:val="lightGray"/>
                    </w:rPr>
                    <w:t xml:space="preserve"> is configured with Ng=1 in </w:t>
                  </w:r>
                  <w:proofErr w:type="spellStart"/>
                  <w:r w:rsidRPr="00D6552E">
                    <w:rPr>
                      <w:i/>
                      <w:iCs/>
                      <w:highlight w:val="lightGray"/>
                    </w:rPr>
                    <w:t>pusch</w:t>
                  </w:r>
                  <w:proofErr w:type="spellEnd"/>
                  <w:r w:rsidRPr="00D6552E">
                    <w:rPr>
                      <w:i/>
                      <w:iCs/>
                      <w:highlight w:val="lightGray"/>
                    </w:rPr>
                    <w:t xml:space="preserve">-Config for PUSCH associated with DCI format 0_1 and 0_2, depending on the UE capability. </w:t>
                  </w:r>
                  <w:r w:rsidRPr="00D6552E">
                    <w:rPr>
                      <w:i/>
                      <w:iCs/>
                      <w:color w:val="FF0000"/>
                      <w:highlight w:val="lightGray"/>
                    </w:rPr>
                    <w:t xml:space="preserve">According to the configured </w:t>
                  </w:r>
                  <w:proofErr w:type="spellStart"/>
                  <w:r w:rsidRPr="00D6552E">
                    <w:rPr>
                      <w:i/>
                      <w:iCs/>
                      <w:color w:val="FF0000"/>
                      <w:highlight w:val="lightGray"/>
                    </w:rPr>
                    <w:t>CodebookType</w:t>
                  </w:r>
                  <w:proofErr w:type="spellEnd"/>
                  <w:r w:rsidRPr="00D6552E">
                    <w:rPr>
                      <w:i/>
                      <w:iCs/>
                      <w:color w:val="FF0000"/>
                      <w:highlight w:val="lightGray"/>
                    </w:rPr>
                    <w:t>, requirements for coherent UL MIMO in [38.101-1] and [38.101-2] apply within an antenna port group.</w:t>
                  </w:r>
                </w:p>
                <w:p w14:paraId="67C229B5" w14:textId="77777777" w:rsidR="00D6552E" w:rsidRPr="00D6552E" w:rsidRDefault="00D6552E" w:rsidP="003947D4">
                  <w:pPr>
                    <w:spacing w:after="0"/>
                    <w:ind w:left="360"/>
                    <w:contextualSpacing/>
                    <w:rPr>
                      <w:i/>
                      <w:iCs/>
                      <w:color w:val="FF0000"/>
                      <w:highlight w:val="lightGray"/>
                      <w:lang w:eastAsia="zh-CN"/>
                    </w:rPr>
                  </w:pPr>
                  <w:r w:rsidRPr="00D6552E">
                    <w:rPr>
                      <w:i/>
                      <w:iCs/>
                      <w:color w:val="FF0000"/>
                      <w:highlight w:val="lightGray"/>
                      <w:lang w:eastAsia="zh-CN"/>
                    </w:rPr>
                    <w:t>-------------------------------------------Unchanged parts are omitted-------------------------------------------</w:t>
                  </w:r>
                </w:p>
                <w:p w14:paraId="1EC6EDBB" w14:textId="77777777" w:rsidR="00D6552E" w:rsidRPr="00D6552E" w:rsidRDefault="00D6552E" w:rsidP="003947D4">
                  <w:pPr>
                    <w:spacing w:after="0"/>
                    <w:contextualSpacing/>
                    <w:rPr>
                      <w:i/>
                      <w:iCs/>
                      <w:color w:val="FF0000"/>
                      <w:highlight w:val="lightGray"/>
                      <w:lang w:eastAsia="zh-CN"/>
                    </w:rPr>
                  </w:pPr>
                </w:p>
              </w:tc>
            </w:tr>
          </w:tbl>
          <w:p w14:paraId="61471821" w14:textId="77777777" w:rsidR="00D6552E" w:rsidRPr="00D6552E" w:rsidRDefault="00D6552E" w:rsidP="00D6552E">
            <w:pPr>
              <w:pStyle w:val="aff5"/>
              <w:numPr>
                <w:ilvl w:val="0"/>
                <w:numId w:val="32"/>
              </w:numPr>
              <w:overflowPunct/>
              <w:autoSpaceDE/>
              <w:autoSpaceDN/>
              <w:adjustRightInd/>
              <w:spacing w:after="0"/>
              <w:jc w:val="both"/>
              <w:textAlignment w:val="auto"/>
              <w:rPr>
                <w:rFonts w:eastAsia="Batang"/>
                <w:i/>
                <w:iCs/>
                <w:highlight w:val="lightGray"/>
                <w:lang w:eastAsia="x-none"/>
              </w:rPr>
            </w:pPr>
            <w:r w:rsidRPr="00D6552E">
              <w:rPr>
                <w:i/>
                <w:iCs/>
                <w:highlight w:val="lightGray"/>
              </w:rPr>
              <w:lastRenderedPageBreak/>
              <w:t xml:space="preserve">Send an LS to RAN4 that RAN1 assumes RAN4 will define the relative phase and power error requirements within the port groups for 8TX UEs. </w:t>
            </w:r>
          </w:p>
        </w:tc>
      </w:tr>
    </w:tbl>
    <w:p w14:paraId="4BCF4E64" w14:textId="77777777" w:rsidR="00D6552E" w:rsidRPr="00D6552E" w:rsidRDefault="00D6552E" w:rsidP="0044362B">
      <w:pPr>
        <w:rPr>
          <w:rFonts w:eastAsiaTheme="minorEastAsia"/>
          <w:lang w:eastAsia="zh-CN"/>
        </w:rPr>
      </w:pPr>
    </w:p>
    <w:p w14:paraId="58CA30C0" w14:textId="30CC748F" w:rsidR="00D6552E" w:rsidRDefault="00D6552E" w:rsidP="0044362B">
      <w:pPr>
        <w:rPr>
          <w:rFonts w:eastAsiaTheme="minorEastAsia"/>
          <w:lang w:eastAsia="zh-CN"/>
        </w:rPr>
      </w:pPr>
      <w:r>
        <w:rPr>
          <w:rFonts w:eastAsiaTheme="minorEastAsia" w:hint="eastAsia"/>
          <w:lang w:eastAsia="zh-CN"/>
        </w:rPr>
        <w:t>T</w:t>
      </w:r>
      <w:r>
        <w:rPr>
          <w:rFonts w:eastAsiaTheme="minorEastAsia"/>
          <w:lang w:eastAsia="zh-CN"/>
        </w:rPr>
        <w:t xml:space="preserve">he main contents are new ways of </w:t>
      </w:r>
      <w:r w:rsidR="00A61078">
        <w:rPr>
          <w:rFonts w:eastAsiaTheme="minorEastAsia"/>
          <w:lang w:eastAsia="zh-CN"/>
        </w:rPr>
        <w:t>defining</w:t>
      </w:r>
      <w:r>
        <w:rPr>
          <w:rFonts w:eastAsiaTheme="minorEastAsia"/>
          <w:lang w:eastAsia="zh-CN"/>
        </w:rPr>
        <w:t xml:space="preserve"> 8Tx </w:t>
      </w:r>
      <w:r w:rsidR="00A61078">
        <w:rPr>
          <w:rFonts w:eastAsiaTheme="minorEastAsia"/>
          <w:lang w:eastAsia="zh-CN"/>
        </w:rPr>
        <w:t>precoding matrices</w:t>
      </w:r>
      <w:r>
        <w:rPr>
          <w:rFonts w:eastAsiaTheme="minorEastAsia"/>
          <w:lang w:eastAsia="zh-CN"/>
        </w:rPr>
        <w:t xml:space="preserve"> into multiple cases to differentiate the partial coherent cases. E.g., for codebook1, all the 8 antennas belong to Antenna port group </w:t>
      </w:r>
      <w:proofErr w:type="gramStart"/>
      <w:r>
        <w:rPr>
          <w:rFonts w:eastAsiaTheme="minorEastAsia"/>
          <w:lang w:eastAsia="zh-CN"/>
        </w:rPr>
        <w:t>0, and</w:t>
      </w:r>
      <w:proofErr w:type="gramEnd"/>
      <w:r>
        <w:rPr>
          <w:rFonts w:eastAsiaTheme="minorEastAsia"/>
          <w:lang w:eastAsia="zh-CN"/>
        </w:rPr>
        <w:t xml:space="preserve"> means that all the antennas are coherent. For codebook 2 and 3, the</w:t>
      </w:r>
      <w:r w:rsidR="0063658A">
        <w:rPr>
          <w:rFonts w:eastAsiaTheme="minorEastAsia"/>
          <w:lang w:eastAsia="zh-CN"/>
        </w:rPr>
        <w:t xml:space="preserve">re are 4 and 2 antennas in </w:t>
      </w:r>
      <w:r w:rsidR="00A61078">
        <w:rPr>
          <w:rFonts w:eastAsiaTheme="minorEastAsia"/>
          <w:lang w:eastAsia="zh-CN"/>
        </w:rPr>
        <w:t>each</w:t>
      </w:r>
      <w:r w:rsidR="0063658A">
        <w:rPr>
          <w:rFonts w:eastAsiaTheme="minorEastAsia"/>
          <w:lang w:eastAsia="zh-CN"/>
        </w:rPr>
        <w:t xml:space="preserve"> antenna port group, and the coherence can only be maintained </w:t>
      </w:r>
      <w:r w:rsidR="00A61078">
        <w:rPr>
          <w:rFonts w:eastAsiaTheme="minorEastAsia"/>
          <w:lang w:eastAsia="zh-CN"/>
        </w:rPr>
        <w:t>with</w:t>
      </w:r>
      <w:r w:rsidR="0063658A">
        <w:rPr>
          <w:rFonts w:eastAsiaTheme="minorEastAsia"/>
          <w:lang w:eastAsia="zh-CN"/>
        </w:rPr>
        <w:t xml:space="preserve">in any given group. For Codebook4, since </w:t>
      </w:r>
      <w:r w:rsidR="00A61078">
        <w:rPr>
          <w:rFonts w:eastAsiaTheme="minorEastAsia"/>
          <w:lang w:eastAsia="zh-CN"/>
        </w:rPr>
        <w:t>each</w:t>
      </w:r>
      <w:r w:rsidR="0063658A">
        <w:rPr>
          <w:rFonts w:eastAsiaTheme="minorEastAsia"/>
          <w:lang w:eastAsia="zh-CN"/>
        </w:rPr>
        <w:t xml:space="preserve"> antenna port group consists of only one antenna port, basically this is a non-coherent case between any two carriers.</w:t>
      </w:r>
    </w:p>
    <w:p w14:paraId="75E044EF" w14:textId="2EA06CC4" w:rsidR="00D6552E" w:rsidRDefault="00D6552E" w:rsidP="0044362B">
      <w:pPr>
        <w:rPr>
          <w:rFonts w:eastAsiaTheme="minorEastAsia"/>
          <w:lang w:eastAsia="zh-CN"/>
        </w:rPr>
      </w:pPr>
      <w:r>
        <w:rPr>
          <w:rFonts w:eastAsiaTheme="minorEastAsia"/>
          <w:lang w:eastAsia="zh-CN"/>
        </w:rPr>
        <w:t xml:space="preserve">It should be noted that for </w:t>
      </w:r>
      <w:r w:rsidR="00F914AD">
        <w:rPr>
          <w:rFonts w:eastAsiaTheme="minorEastAsia"/>
          <w:lang w:eastAsia="zh-CN"/>
        </w:rPr>
        <w:t xml:space="preserve">existing cases such as </w:t>
      </w:r>
      <w:r>
        <w:rPr>
          <w:rFonts w:eastAsiaTheme="minorEastAsia"/>
          <w:lang w:eastAsia="zh-CN"/>
        </w:rPr>
        <w:t xml:space="preserve">4Tx </w:t>
      </w:r>
      <w:r w:rsidR="00A61078">
        <w:rPr>
          <w:rFonts w:eastAsiaTheme="minorEastAsia"/>
          <w:lang w:eastAsia="zh-CN"/>
        </w:rPr>
        <w:t>precoding matrices</w:t>
      </w:r>
      <w:r>
        <w:rPr>
          <w:rFonts w:eastAsiaTheme="minorEastAsia"/>
          <w:lang w:eastAsia="zh-CN"/>
        </w:rPr>
        <w:t xml:space="preserve">, </w:t>
      </w:r>
      <w:r w:rsidR="0063658A">
        <w:rPr>
          <w:rFonts w:eastAsiaTheme="minorEastAsia"/>
          <w:lang w:eastAsia="zh-CN"/>
        </w:rPr>
        <w:t>there is also an implicit way to reflect this kind of coherence relationship between antenna ports. Take single layer transmission for 4Tx as an example, the precoding matrix definition from [2] is copied here:</w:t>
      </w:r>
    </w:p>
    <w:p w14:paraId="65BBE246" w14:textId="73E473AA" w:rsidR="0063658A" w:rsidRDefault="0063658A" w:rsidP="0063658A">
      <w:pPr>
        <w:jc w:val="center"/>
        <w:rPr>
          <w:rFonts w:eastAsiaTheme="minorEastAsia"/>
          <w:lang w:eastAsia="zh-CN"/>
        </w:rPr>
      </w:pPr>
      <w:r w:rsidRPr="00CE0497">
        <w:rPr>
          <w:noProof/>
          <w:lang w:eastAsia="zh-CN"/>
        </w:rPr>
        <w:drawing>
          <wp:inline distT="0" distB="0" distL="0" distR="0" wp14:anchorId="1E36319A" wp14:editId="32B1D475">
            <wp:extent cx="3267710" cy="2324299"/>
            <wp:effectExtent l="0" t="0" r="8890" b="0"/>
            <wp:docPr id="1165444403"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444403" name="图片 1" descr="表格&#10;&#10;描述已自动生成"/>
                    <pic:cNvPicPr/>
                  </pic:nvPicPr>
                  <pic:blipFill>
                    <a:blip r:embed="rId10"/>
                    <a:stretch>
                      <a:fillRect/>
                    </a:stretch>
                  </pic:blipFill>
                  <pic:spPr>
                    <a:xfrm>
                      <a:off x="0" y="0"/>
                      <a:ext cx="3271728" cy="2327157"/>
                    </a:xfrm>
                    <a:prstGeom prst="rect">
                      <a:avLst/>
                    </a:prstGeom>
                  </pic:spPr>
                </pic:pic>
              </a:graphicData>
            </a:graphic>
          </wp:inline>
        </w:drawing>
      </w:r>
    </w:p>
    <w:p w14:paraId="4C1381CD" w14:textId="11857CCD" w:rsidR="00D6552E" w:rsidRDefault="0063658A" w:rsidP="0044362B">
      <w:pPr>
        <w:rPr>
          <w:rFonts w:eastAsiaTheme="minorEastAsia"/>
          <w:lang w:eastAsia="zh-CN"/>
        </w:rPr>
      </w:pPr>
      <w:r>
        <w:rPr>
          <w:rFonts w:eastAsiaTheme="minorEastAsia" w:hint="eastAsia"/>
          <w:lang w:eastAsia="zh-CN"/>
        </w:rPr>
        <w:t>I</w:t>
      </w:r>
      <w:r>
        <w:rPr>
          <w:rFonts w:eastAsiaTheme="minorEastAsia"/>
          <w:lang w:eastAsia="zh-CN"/>
        </w:rPr>
        <w:t>t can be seen that the precoders, some of</w:t>
      </w:r>
      <w:r w:rsidR="00A61078">
        <w:rPr>
          <w:rFonts w:eastAsiaTheme="minorEastAsia"/>
          <w:lang w:eastAsia="zh-CN"/>
        </w:rPr>
        <w:t xml:space="preserve"> </w:t>
      </w:r>
      <w:r w:rsidR="00A61078">
        <w:rPr>
          <w:rFonts w:eastAsiaTheme="minorEastAsia" w:hint="eastAsia"/>
          <w:lang w:eastAsia="zh-CN"/>
        </w:rPr>
        <w:t>the</w:t>
      </w:r>
      <w:r w:rsidR="00A61078">
        <w:rPr>
          <w:rFonts w:eastAsiaTheme="minorEastAsia"/>
          <w:lang w:eastAsia="zh-CN"/>
        </w:rPr>
        <w:t>m</w:t>
      </w:r>
      <w:r>
        <w:rPr>
          <w:rFonts w:eastAsiaTheme="minorEastAsia"/>
          <w:lang w:eastAsia="zh-CN"/>
        </w:rPr>
        <w:t xml:space="preserve"> have different number of </w:t>
      </w:r>
      <w:r w:rsidR="00F914AD">
        <w:rPr>
          <w:rFonts w:eastAsiaTheme="minorEastAsia"/>
          <w:lang w:eastAsia="zh-CN"/>
        </w:rPr>
        <w:t>zero</w:t>
      </w:r>
      <w:r>
        <w:rPr>
          <w:rFonts w:eastAsiaTheme="minorEastAsia" w:hint="eastAsia"/>
          <w:lang w:eastAsia="zh-CN"/>
        </w:rPr>
        <w:t>(</w:t>
      </w:r>
      <w:r>
        <w:rPr>
          <w:rFonts w:eastAsiaTheme="minorEastAsia"/>
          <w:lang w:eastAsia="zh-CN"/>
        </w:rPr>
        <w:t xml:space="preserve">s) in the </w:t>
      </w:r>
      <w:r w:rsidR="00F914AD">
        <w:rPr>
          <w:rFonts w:eastAsiaTheme="minorEastAsia"/>
          <w:lang w:eastAsia="zh-CN"/>
        </w:rPr>
        <w:t>precoder, and only those ports which corresponds to non-zero numbers would actually take part in the precoding process. Those ports implicitly belong to a “antenna port group” which satisfies coherence</w:t>
      </w:r>
      <w:r w:rsidR="00A61078">
        <w:rPr>
          <w:rFonts w:eastAsiaTheme="minorEastAsia"/>
          <w:lang w:eastAsia="zh-CN"/>
        </w:rPr>
        <w:t xml:space="preserve"> requirements</w:t>
      </w:r>
      <w:r w:rsidR="00F914AD">
        <w:rPr>
          <w:rFonts w:eastAsiaTheme="minorEastAsia"/>
          <w:lang w:eastAsia="zh-CN"/>
        </w:rPr>
        <w:t>.</w:t>
      </w:r>
    </w:p>
    <w:p w14:paraId="43AF1798" w14:textId="2352370D" w:rsidR="00F914AD" w:rsidRPr="00F914AD" w:rsidRDefault="00F914AD" w:rsidP="0044362B">
      <w:pPr>
        <w:rPr>
          <w:rFonts w:eastAsiaTheme="minorEastAsia"/>
          <w:b/>
          <w:bCs/>
          <w:lang w:eastAsia="zh-CN"/>
        </w:rPr>
      </w:pPr>
      <w:r w:rsidRPr="00F914AD">
        <w:rPr>
          <w:rFonts w:eastAsiaTheme="minorEastAsia" w:hint="eastAsia"/>
          <w:b/>
          <w:bCs/>
          <w:lang w:eastAsia="zh-CN"/>
        </w:rPr>
        <w:t>O</w:t>
      </w:r>
      <w:r w:rsidRPr="00F914AD">
        <w:rPr>
          <w:rFonts w:eastAsiaTheme="minorEastAsia"/>
          <w:b/>
          <w:bCs/>
          <w:lang w:eastAsia="zh-CN"/>
        </w:rPr>
        <w:t>bservation</w:t>
      </w:r>
      <w:r>
        <w:rPr>
          <w:rFonts w:eastAsiaTheme="minorEastAsia"/>
          <w:b/>
          <w:bCs/>
          <w:lang w:eastAsia="zh-CN"/>
        </w:rPr>
        <w:t xml:space="preserve"> 1</w:t>
      </w:r>
      <w:r w:rsidRPr="00F914AD">
        <w:rPr>
          <w:rFonts w:eastAsiaTheme="minorEastAsia"/>
          <w:b/>
          <w:bCs/>
          <w:lang w:eastAsia="zh-CN"/>
        </w:rPr>
        <w:t>: The new agreements for 8Tx provide a clearer picture of the coherence/ partial coherence definitions compared to current implicit definition in RAN1.</w:t>
      </w:r>
    </w:p>
    <w:p w14:paraId="300F6376" w14:textId="491170FB" w:rsidR="00F914AD" w:rsidRDefault="00F914AD" w:rsidP="0044362B">
      <w:pPr>
        <w:rPr>
          <w:rFonts w:eastAsiaTheme="minorEastAsia"/>
          <w:lang w:eastAsia="zh-CN"/>
        </w:rPr>
      </w:pPr>
      <w:r>
        <w:rPr>
          <w:rFonts w:eastAsiaTheme="minorEastAsia"/>
          <w:lang w:eastAsia="zh-CN"/>
        </w:rPr>
        <w:t xml:space="preserve">It seems that defining those requirements for 8Tx is reasonable and straight forward for RAN4. However, it should be noted that RAN4 currently do not have 8Tx requirements yet, and a dedicated WI scope is needed before any solid conclusions can be drawn on tentative RAN4 requirements. It is proposed to reply </w:t>
      </w:r>
      <w:r w:rsidR="0084162F">
        <w:rPr>
          <w:rFonts w:eastAsiaTheme="minorEastAsia"/>
          <w:lang w:eastAsia="zh-CN"/>
        </w:rPr>
        <w:t xml:space="preserve">in </w:t>
      </w:r>
      <w:r>
        <w:rPr>
          <w:rFonts w:eastAsiaTheme="minorEastAsia"/>
          <w:lang w:eastAsia="zh-CN"/>
        </w:rPr>
        <w:t xml:space="preserve">this </w:t>
      </w:r>
      <w:r w:rsidR="0084162F">
        <w:rPr>
          <w:rFonts w:eastAsiaTheme="minorEastAsia"/>
          <w:lang w:eastAsia="zh-CN"/>
        </w:rPr>
        <w:t>line</w:t>
      </w:r>
      <w:r>
        <w:rPr>
          <w:rFonts w:eastAsiaTheme="minorEastAsia"/>
          <w:lang w:eastAsia="zh-CN"/>
        </w:rPr>
        <w:t xml:space="preserve"> to RAN1.</w:t>
      </w:r>
    </w:p>
    <w:p w14:paraId="7FB51B26" w14:textId="5EACE848" w:rsidR="00F914AD" w:rsidRPr="00F914AD" w:rsidRDefault="00F914AD" w:rsidP="0044362B">
      <w:pPr>
        <w:rPr>
          <w:rFonts w:eastAsiaTheme="minorEastAsia"/>
          <w:b/>
          <w:bCs/>
          <w:lang w:eastAsia="zh-CN"/>
        </w:rPr>
      </w:pPr>
      <w:r w:rsidRPr="00F914AD">
        <w:rPr>
          <w:rFonts w:eastAsiaTheme="minorEastAsia"/>
          <w:b/>
          <w:bCs/>
          <w:lang w:eastAsia="zh-CN"/>
        </w:rPr>
        <w:t>Observation 2: RAN4 do</w:t>
      </w:r>
      <w:r w:rsidR="0084162F">
        <w:rPr>
          <w:rFonts w:eastAsiaTheme="minorEastAsia"/>
          <w:b/>
          <w:bCs/>
          <w:lang w:eastAsia="zh-CN"/>
        </w:rPr>
        <w:t>es</w:t>
      </w:r>
      <w:r w:rsidRPr="00F914AD">
        <w:rPr>
          <w:rFonts w:eastAsiaTheme="minorEastAsia"/>
          <w:b/>
          <w:bCs/>
          <w:lang w:eastAsia="zh-CN"/>
        </w:rPr>
        <w:t xml:space="preserve"> not have 8Tx requirements yet.</w:t>
      </w:r>
    </w:p>
    <w:p w14:paraId="69EE4CE2" w14:textId="41096DF2" w:rsidR="00F914AD" w:rsidRPr="00F914AD" w:rsidRDefault="00F914AD" w:rsidP="0044362B">
      <w:pPr>
        <w:rPr>
          <w:rFonts w:eastAsiaTheme="minorEastAsia"/>
          <w:lang w:eastAsia="zh-CN"/>
        </w:rPr>
      </w:pPr>
      <w:r w:rsidRPr="00F914AD">
        <w:rPr>
          <w:rFonts w:eastAsiaTheme="minorEastAsia" w:hint="eastAsia"/>
          <w:lang w:eastAsia="zh-CN"/>
        </w:rPr>
        <w:t>B</w:t>
      </w:r>
      <w:r w:rsidRPr="00F914AD">
        <w:rPr>
          <w:rFonts w:eastAsiaTheme="minorEastAsia"/>
          <w:lang w:eastAsia="zh-CN"/>
        </w:rPr>
        <w:t>ased on the previous situation, the following proposal is provided</w:t>
      </w:r>
      <w:r w:rsidRPr="00F914AD">
        <w:rPr>
          <w:rFonts w:eastAsiaTheme="minorEastAsia" w:hint="eastAsia"/>
          <w:lang w:eastAsia="zh-CN"/>
        </w:rPr>
        <w:t>:</w:t>
      </w:r>
      <w:r w:rsidRPr="00F914AD">
        <w:rPr>
          <w:rFonts w:eastAsiaTheme="minorEastAsia"/>
          <w:lang w:eastAsia="zh-CN"/>
        </w:rPr>
        <w:t xml:space="preserve"> </w:t>
      </w:r>
    </w:p>
    <w:p w14:paraId="5D18A558" w14:textId="7C76858C" w:rsidR="00F914AD" w:rsidRPr="00F914AD" w:rsidRDefault="00F914AD" w:rsidP="0044362B">
      <w:pPr>
        <w:rPr>
          <w:rFonts w:eastAsiaTheme="minorEastAsia"/>
          <w:b/>
          <w:bCs/>
          <w:lang w:eastAsia="zh-CN"/>
        </w:rPr>
      </w:pPr>
      <w:r w:rsidRPr="00F914AD">
        <w:rPr>
          <w:rFonts w:eastAsiaTheme="minorEastAsia"/>
          <w:b/>
          <w:bCs/>
          <w:lang w:eastAsia="zh-CN"/>
        </w:rPr>
        <w:t>Proposal 1: Reply to RAN1 that RAN4 would consider defining requirements considering the agreements when 8Tx work start as a WI scope.</w:t>
      </w:r>
    </w:p>
    <w:p w14:paraId="0393959F" w14:textId="77777777" w:rsidR="00F914AD" w:rsidRDefault="00F914AD" w:rsidP="0044362B">
      <w:pPr>
        <w:rPr>
          <w:rFonts w:eastAsiaTheme="minorEastAsia"/>
          <w:lang w:eastAsia="zh-CN"/>
        </w:rPr>
      </w:pPr>
    </w:p>
    <w:p w14:paraId="690E020A" w14:textId="15A704BC" w:rsidR="00D6552E" w:rsidRDefault="00F914AD" w:rsidP="0044362B">
      <w:pPr>
        <w:rPr>
          <w:rFonts w:eastAsiaTheme="minorEastAsia"/>
          <w:lang w:eastAsia="zh-CN"/>
        </w:rPr>
      </w:pPr>
      <w:r>
        <w:rPr>
          <w:rFonts w:eastAsiaTheme="minorEastAsia" w:hint="eastAsia"/>
          <w:lang w:eastAsia="zh-CN"/>
        </w:rPr>
        <w:t>I</w:t>
      </w:r>
      <w:r>
        <w:rPr>
          <w:rFonts w:eastAsiaTheme="minorEastAsia"/>
          <w:lang w:eastAsia="zh-CN"/>
        </w:rPr>
        <w:t xml:space="preserve">n addition, for the following agreements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RAN</w:t>
      </w:r>
      <w:r>
        <w:rPr>
          <w:rFonts w:eastAsiaTheme="minorEastAsia"/>
          <w:lang w:eastAsia="zh-CN"/>
        </w:rPr>
        <w:t>1:</w:t>
      </w:r>
    </w:p>
    <w:p w14:paraId="412F7995" w14:textId="55582EE1" w:rsidR="00F914AD" w:rsidRPr="00F914AD" w:rsidRDefault="00F914AD" w:rsidP="00F914AD">
      <w:pPr>
        <w:ind w:leftChars="200" w:left="400"/>
        <w:rPr>
          <w:rFonts w:eastAsiaTheme="minorEastAsia"/>
          <w:i/>
          <w:iCs/>
          <w:lang w:eastAsia="zh-CN"/>
        </w:rPr>
      </w:pPr>
      <w:r w:rsidRPr="00F914AD">
        <w:rPr>
          <w:i/>
          <w:iCs/>
          <w:color w:val="FF0000"/>
        </w:rPr>
        <w:lastRenderedPageBreak/>
        <w:t xml:space="preserve">According to the configured </w:t>
      </w:r>
      <w:proofErr w:type="spellStart"/>
      <w:r w:rsidRPr="00F914AD">
        <w:rPr>
          <w:i/>
          <w:iCs/>
          <w:color w:val="FF0000"/>
        </w:rPr>
        <w:t>CodebookType</w:t>
      </w:r>
      <w:proofErr w:type="spellEnd"/>
      <w:r w:rsidRPr="00F914AD">
        <w:rPr>
          <w:i/>
          <w:iCs/>
          <w:color w:val="FF0000"/>
        </w:rPr>
        <w:t>, requirements for coherent UL MIMO in [38.101-1] and [38.101-2] apply within an antenna port group.</w:t>
      </w:r>
    </w:p>
    <w:p w14:paraId="55FCB00A" w14:textId="77777777" w:rsidR="00F914AD" w:rsidRDefault="00F914AD" w:rsidP="0044362B">
      <w:pPr>
        <w:rPr>
          <w:rFonts w:eastAsiaTheme="minorEastAsia"/>
          <w:lang w:eastAsia="zh-CN"/>
        </w:rPr>
      </w:pPr>
    </w:p>
    <w:p w14:paraId="2DBB439E" w14:textId="09954C5B" w:rsidR="00F914AD" w:rsidRDefault="00F914AD" w:rsidP="00F914AD">
      <w:pPr>
        <w:spacing w:afterLines="50" w:after="120"/>
        <w:rPr>
          <w:rFonts w:eastAsiaTheme="minorEastAsia"/>
          <w:lang w:eastAsia="zh-CN"/>
        </w:rPr>
      </w:pPr>
      <w:r>
        <w:rPr>
          <w:rFonts w:eastAsiaTheme="minorEastAsia" w:hint="eastAsia"/>
          <w:lang w:eastAsia="zh-CN"/>
        </w:rPr>
        <w:t>I</w:t>
      </w:r>
      <w:r>
        <w:rPr>
          <w:rFonts w:eastAsiaTheme="minorEastAsia"/>
          <w:lang w:eastAsia="zh-CN"/>
        </w:rPr>
        <w:t>t should be noted that the coherence requirements are only defined for FR1 in RAN4. The implementation and testing method are totally different for FR2</w:t>
      </w:r>
      <w:r w:rsidRPr="00F914AD">
        <w:rPr>
          <w:rFonts w:eastAsiaTheme="minorEastAsia"/>
          <w:lang w:eastAsia="zh-CN"/>
        </w:rPr>
        <w:t xml:space="preserve">, and </w:t>
      </w:r>
      <w:r>
        <w:rPr>
          <w:rFonts w:eastAsiaTheme="minorEastAsia"/>
          <w:lang w:eastAsia="zh-CN"/>
        </w:rPr>
        <w:t xml:space="preserve">RAN4 </w:t>
      </w:r>
      <w:r w:rsidRPr="00F914AD">
        <w:rPr>
          <w:rFonts w:eastAsiaTheme="minorEastAsia"/>
          <w:lang w:eastAsia="zh-CN"/>
        </w:rPr>
        <w:t>do</w:t>
      </w:r>
      <w:r w:rsidR="0084162F">
        <w:rPr>
          <w:rFonts w:eastAsiaTheme="minorEastAsia"/>
          <w:lang w:eastAsia="zh-CN"/>
        </w:rPr>
        <w:t>es</w:t>
      </w:r>
      <w:r w:rsidRPr="00F914AD">
        <w:rPr>
          <w:rFonts w:eastAsiaTheme="minorEastAsia"/>
          <w:lang w:eastAsia="zh-CN"/>
        </w:rPr>
        <w:t xml:space="preserve"> not have such requirements in 38.101-2 which is for FR2.</w:t>
      </w:r>
    </w:p>
    <w:p w14:paraId="0898DF33" w14:textId="4CC1F764" w:rsidR="00F914AD" w:rsidRPr="00F914AD" w:rsidRDefault="00F914AD" w:rsidP="00F914AD">
      <w:pPr>
        <w:spacing w:afterLines="50" w:after="120"/>
        <w:rPr>
          <w:rFonts w:eastAsiaTheme="minorEastAsia"/>
          <w:b/>
          <w:bCs/>
          <w:lang w:eastAsia="zh-CN"/>
        </w:rPr>
      </w:pPr>
      <w:r w:rsidRPr="00F914AD">
        <w:rPr>
          <w:rFonts w:eastAsiaTheme="minorEastAsia" w:hint="eastAsia"/>
          <w:b/>
          <w:bCs/>
          <w:lang w:eastAsia="zh-CN"/>
        </w:rPr>
        <w:t>O</w:t>
      </w:r>
      <w:r w:rsidRPr="00F914AD">
        <w:rPr>
          <w:rFonts w:eastAsiaTheme="minorEastAsia"/>
          <w:b/>
          <w:bCs/>
          <w:lang w:eastAsia="zh-CN"/>
        </w:rPr>
        <w:t>bservation 3: RAN4 only defined coherence requirements for FR1 which is in 38.101-1.</w:t>
      </w:r>
    </w:p>
    <w:p w14:paraId="607E6D0A" w14:textId="483C8E65" w:rsidR="00F914AD" w:rsidRPr="00F914AD" w:rsidRDefault="00F914AD" w:rsidP="00F914AD">
      <w:pPr>
        <w:spacing w:afterLines="50" w:after="120"/>
        <w:rPr>
          <w:rFonts w:eastAsiaTheme="minorEastAsia"/>
          <w:lang w:eastAsia="zh-CN"/>
        </w:rPr>
      </w:pPr>
      <w:r w:rsidRPr="00F914AD">
        <w:rPr>
          <w:rFonts w:eastAsiaTheme="minorEastAsia"/>
          <w:lang w:eastAsia="zh-CN"/>
        </w:rPr>
        <w:t xml:space="preserve">It is </w:t>
      </w:r>
      <w:r>
        <w:rPr>
          <w:rFonts w:eastAsiaTheme="minorEastAsia"/>
          <w:lang w:eastAsia="zh-CN"/>
        </w:rPr>
        <w:t xml:space="preserve">highly </w:t>
      </w:r>
      <w:r w:rsidRPr="00F914AD">
        <w:rPr>
          <w:rFonts w:eastAsiaTheme="minorEastAsia"/>
          <w:lang w:eastAsia="zh-CN"/>
        </w:rPr>
        <w:t xml:space="preserve">likely that 38.101-2 would </w:t>
      </w:r>
      <w:r>
        <w:rPr>
          <w:rFonts w:eastAsiaTheme="minorEastAsia"/>
          <w:lang w:eastAsia="zh-CN"/>
        </w:rPr>
        <w:t>still</w:t>
      </w:r>
      <w:r w:rsidRPr="00F914AD">
        <w:rPr>
          <w:rFonts w:eastAsiaTheme="minorEastAsia"/>
          <w:lang w:eastAsia="zh-CN"/>
        </w:rPr>
        <w:t xml:space="preserve"> not be impacted even if 8Tx requirements introduced, so it is proposed not to consider referencing 38.101-2 in RAN1 specification for this issue.</w:t>
      </w:r>
    </w:p>
    <w:p w14:paraId="59761C9F" w14:textId="3D2822FA" w:rsidR="00F914AD" w:rsidRPr="00F914AD" w:rsidRDefault="00F914AD" w:rsidP="0044362B">
      <w:pPr>
        <w:rPr>
          <w:rFonts w:eastAsiaTheme="minorEastAsia"/>
          <w:b/>
          <w:bCs/>
          <w:lang w:eastAsia="zh-CN"/>
        </w:rPr>
      </w:pPr>
      <w:r w:rsidRPr="00F914AD">
        <w:rPr>
          <w:rFonts w:eastAsiaTheme="minorEastAsia"/>
          <w:b/>
          <w:bCs/>
          <w:lang w:eastAsia="zh-CN"/>
        </w:rPr>
        <w:t>Proposal 2: Reply to RAN</w:t>
      </w:r>
      <w:r w:rsidR="0084162F">
        <w:rPr>
          <w:rFonts w:eastAsiaTheme="minorEastAsia"/>
          <w:b/>
          <w:bCs/>
          <w:lang w:eastAsia="zh-CN"/>
        </w:rPr>
        <w:t>1</w:t>
      </w:r>
      <w:r w:rsidRPr="00F914AD">
        <w:rPr>
          <w:rFonts w:eastAsiaTheme="minorEastAsia"/>
          <w:b/>
          <w:bCs/>
          <w:lang w:eastAsia="zh-CN"/>
        </w:rPr>
        <w:t xml:space="preserve"> that 38.101-2 is not likely to have this requirement.</w:t>
      </w:r>
    </w:p>
    <w:p w14:paraId="77EF5B55" w14:textId="77777777" w:rsidR="00C42B50" w:rsidRDefault="00C42B50" w:rsidP="00C42B50">
      <w:pPr>
        <w:rPr>
          <w:b/>
          <w:i/>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0AF02F2" w14:textId="6CE8D609" w:rsidR="00F914AD" w:rsidRDefault="007F0206" w:rsidP="007F0206">
      <w:pPr>
        <w:overflowPunct/>
        <w:autoSpaceDE/>
        <w:autoSpaceDN/>
        <w:adjustRightInd/>
        <w:jc w:val="both"/>
        <w:textAlignment w:val="auto"/>
        <w:rPr>
          <w:rFonts w:eastAsia="宋体"/>
          <w:lang w:val="en-US" w:eastAsia="zh-CN"/>
        </w:rPr>
      </w:pPr>
      <w:r>
        <w:rPr>
          <w:rFonts w:eastAsia="宋体"/>
          <w:lang w:eastAsia="zh-CN"/>
        </w:rPr>
        <w:t xml:space="preserve">In this paper, </w:t>
      </w:r>
      <w:r w:rsidR="00F914AD">
        <w:rPr>
          <w:rFonts w:eastAsia="宋体"/>
          <w:lang w:val="en-US" w:eastAsia="zh-CN"/>
        </w:rPr>
        <w:t>a brief analysis was provided</w:t>
      </w:r>
      <w:r w:rsidR="00F914AD">
        <w:rPr>
          <w:rFonts w:eastAsia="宋体" w:hint="eastAsia"/>
          <w:lang w:val="en-US" w:eastAsia="zh-CN"/>
        </w:rPr>
        <w:t>,</w:t>
      </w:r>
      <w:r w:rsidR="00F914AD">
        <w:rPr>
          <w:rFonts w:eastAsia="宋体"/>
          <w:lang w:val="en-US" w:eastAsia="zh-CN"/>
        </w:rPr>
        <w:t xml:space="preserve"> and the following observations and proposals are provided:</w:t>
      </w:r>
    </w:p>
    <w:p w14:paraId="0BABC3ED" w14:textId="77777777" w:rsidR="00F914AD" w:rsidRDefault="00F914AD" w:rsidP="007F0206">
      <w:pPr>
        <w:overflowPunct/>
        <w:autoSpaceDE/>
        <w:autoSpaceDN/>
        <w:adjustRightInd/>
        <w:jc w:val="both"/>
        <w:textAlignment w:val="auto"/>
        <w:rPr>
          <w:rFonts w:eastAsia="宋体"/>
          <w:lang w:val="en-US" w:eastAsia="zh-CN"/>
        </w:rPr>
      </w:pPr>
    </w:p>
    <w:p w14:paraId="33E527C5" w14:textId="77777777" w:rsidR="00F914AD" w:rsidRPr="00F914AD" w:rsidRDefault="00F914AD" w:rsidP="00F914AD">
      <w:pPr>
        <w:rPr>
          <w:rFonts w:eastAsiaTheme="minorEastAsia"/>
          <w:lang w:eastAsia="zh-CN"/>
        </w:rPr>
      </w:pPr>
      <w:r w:rsidRPr="00F914AD">
        <w:rPr>
          <w:rFonts w:eastAsiaTheme="minorEastAsia" w:hint="eastAsia"/>
          <w:b/>
          <w:bCs/>
          <w:lang w:eastAsia="zh-CN"/>
        </w:rPr>
        <w:t>O</w:t>
      </w:r>
      <w:r w:rsidRPr="00F914AD">
        <w:rPr>
          <w:rFonts w:eastAsiaTheme="minorEastAsia"/>
          <w:b/>
          <w:bCs/>
          <w:lang w:eastAsia="zh-CN"/>
        </w:rPr>
        <w:t>bservation</w:t>
      </w:r>
      <w:r>
        <w:rPr>
          <w:rFonts w:eastAsiaTheme="minorEastAsia"/>
          <w:b/>
          <w:bCs/>
          <w:lang w:eastAsia="zh-CN"/>
        </w:rPr>
        <w:t xml:space="preserve"> 1</w:t>
      </w:r>
      <w:r w:rsidRPr="00F914AD">
        <w:rPr>
          <w:rFonts w:eastAsiaTheme="minorEastAsia"/>
          <w:b/>
          <w:bCs/>
          <w:lang w:eastAsia="zh-CN"/>
        </w:rPr>
        <w:t xml:space="preserve">: </w:t>
      </w:r>
      <w:r w:rsidRPr="00F914AD">
        <w:rPr>
          <w:rFonts w:eastAsiaTheme="minorEastAsia"/>
          <w:lang w:eastAsia="zh-CN"/>
        </w:rPr>
        <w:t>The new agreements for 8Tx provide a clearer picture of the coherence/ partial coherence definitions compared to current implicit definition in RAN1.</w:t>
      </w:r>
    </w:p>
    <w:p w14:paraId="2922E6DC" w14:textId="40CE82BA" w:rsidR="00F914AD" w:rsidRPr="00F914AD" w:rsidRDefault="00F914AD" w:rsidP="00F914AD">
      <w:pPr>
        <w:rPr>
          <w:rFonts w:eastAsiaTheme="minorEastAsia"/>
          <w:lang w:eastAsia="zh-CN"/>
        </w:rPr>
      </w:pPr>
      <w:r w:rsidRPr="00F914AD">
        <w:rPr>
          <w:rFonts w:eastAsiaTheme="minorEastAsia"/>
          <w:b/>
          <w:bCs/>
          <w:lang w:eastAsia="zh-CN"/>
        </w:rPr>
        <w:t xml:space="preserve">Observation 2: </w:t>
      </w:r>
      <w:r w:rsidRPr="00F914AD">
        <w:rPr>
          <w:rFonts w:eastAsiaTheme="minorEastAsia"/>
          <w:lang w:eastAsia="zh-CN"/>
        </w:rPr>
        <w:t>RAN4 do</w:t>
      </w:r>
      <w:r w:rsidR="0084162F">
        <w:rPr>
          <w:rFonts w:eastAsiaTheme="minorEastAsia"/>
          <w:lang w:eastAsia="zh-CN"/>
        </w:rPr>
        <w:t>es</w:t>
      </w:r>
      <w:r w:rsidRPr="00F914AD">
        <w:rPr>
          <w:rFonts w:eastAsiaTheme="minorEastAsia"/>
          <w:lang w:eastAsia="zh-CN"/>
        </w:rPr>
        <w:t xml:space="preserve"> not have 8Tx requirements yet.</w:t>
      </w:r>
    </w:p>
    <w:p w14:paraId="2B97D0D9" w14:textId="77777777" w:rsidR="00F914AD" w:rsidRPr="00F914AD" w:rsidRDefault="00F914AD" w:rsidP="00F914AD">
      <w:pPr>
        <w:rPr>
          <w:rFonts w:eastAsiaTheme="minorEastAsia"/>
          <w:lang w:eastAsia="zh-CN"/>
        </w:rPr>
      </w:pPr>
      <w:r w:rsidRPr="00F914AD">
        <w:rPr>
          <w:rFonts w:eastAsiaTheme="minorEastAsia"/>
          <w:b/>
          <w:bCs/>
          <w:lang w:eastAsia="zh-CN"/>
        </w:rPr>
        <w:t xml:space="preserve">Proposal 1: </w:t>
      </w:r>
      <w:r w:rsidRPr="00F914AD">
        <w:rPr>
          <w:rFonts w:eastAsiaTheme="minorEastAsia"/>
          <w:lang w:eastAsia="zh-CN"/>
        </w:rPr>
        <w:t>Reply to RAN1 that RAN4 would consider defining requirements considering the agreements when 8Tx work start as a WI scope.</w:t>
      </w:r>
    </w:p>
    <w:p w14:paraId="6EF8B63E" w14:textId="77777777" w:rsidR="00F914AD" w:rsidRPr="00F914AD" w:rsidRDefault="00F914AD" w:rsidP="007F0206">
      <w:pPr>
        <w:overflowPunct/>
        <w:autoSpaceDE/>
        <w:autoSpaceDN/>
        <w:adjustRightInd/>
        <w:jc w:val="both"/>
        <w:textAlignment w:val="auto"/>
        <w:rPr>
          <w:rFonts w:eastAsia="宋体"/>
          <w:lang w:eastAsia="zh-CN"/>
        </w:rPr>
      </w:pPr>
    </w:p>
    <w:p w14:paraId="7A68DC58" w14:textId="77777777" w:rsidR="00F914AD" w:rsidRPr="00F914AD" w:rsidRDefault="00F914AD" w:rsidP="00F914AD">
      <w:pPr>
        <w:spacing w:afterLines="50" w:after="120"/>
        <w:rPr>
          <w:rFonts w:eastAsiaTheme="minorEastAsia"/>
          <w:lang w:eastAsia="zh-CN"/>
        </w:rPr>
      </w:pPr>
      <w:r w:rsidRPr="00F914AD">
        <w:rPr>
          <w:rFonts w:eastAsiaTheme="minorEastAsia" w:hint="eastAsia"/>
          <w:b/>
          <w:bCs/>
          <w:lang w:eastAsia="zh-CN"/>
        </w:rPr>
        <w:t>O</w:t>
      </w:r>
      <w:r w:rsidRPr="00F914AD">
        <w:rPr>
          <w:rFonts w:eastAsiaTheme="minorEastAsia"/>
          <w:b/>
          <w:bCs/>
          <w:lang w:eastAsia="zh-CN"/>
        </w:rPr>
        <w:t>bservation 3:</w:t>
      </w:r>
      <w:r w:rsidRPr="00F914AD">
        <w:rPr>
          <w:rFonts w:eastAsiaTheme="minorEastAsia"/>
          <w:lang w:eastAsia="zh-CN"/>
        </w:rPr>
        <w:t xml:space="preserve"> RAN4 only defined coherence requirements for FR1 which is in 38.101-1.</w:t>
      </w:r>
    </w:p>
    <w:p w14:paraId="23DA2550" w14:textId="47D2A9D6" w:rsidR="00F914AD" w:rsidRPr="00F914AD" w:rsidRDefault="00F914AD" w:rsidP="00F914AD">
      <w:pPr>
        <w:rPr>
          <w:rFonts w:eastAsiaTheme="minorEastAsia"/>
          <w:b/>
          <w:bCs/>
          <w:lang w:eastAsia="zh-CN"/>
        </w:rPr>
      </w:pPr>
      <w:r w:rsidRPr="00F914AD">
        <w:rPr>
          <w:rFonts w:eastAsiaTheme="minorEastAsia"/>
          <w:b/>
          <w:bCs/>
          <w:lang w:eastAsia="zh-CN"/>
        </w:rPr>
        <w:t xml:space="preserve">Proposal 2: </w:t>
      </w:r>
      <w:r w:rsidRPr="00F914AD">
        <w:rPr>
          <w:rFonts w:eastAsiaTheme="minorEastAsia"/>
          <w:lang w:eastAsia="zh-CN"/>
        </w:rPr>
        <w:t>Reply to RAN</w:t>
      </w:r>
      <w:r w:rsidR="0084162F">
        <w:rPr>
          <w:rFonts w:eastAsiaTheme="minorEastAsia"/>
          <w:lang w:eastAsia="zh-CN"/>
        </w:rPr>
        <w:t>1</w:t>
      </w:r>
      <w:r w:rsidRPr="00F914AD">
        <w:rPr>
          <w:rFonts w:eastAsiaTheme="minorEastAsia"/>
          <w:lang w:eastAsia="zh-CN"/>
        </w:rPr>
        <w:t xml:space="preserve"> that 38.101-2 is not likely to have this requirement.</w:t>
      </w:r>
    </w:p>
    <w:p w14:paraId="49F6C3EC" w14:textId="77777777" w:rsidR="00F914AD" w:rsidRPr="00F914AD" w:rsidRDefault="00F914AD" w:rsidP="007F0206">
      <w:pPr>
        <w:overflowPunct/>
        <w:autoSpaceDE/>
        <w:autoSpaceDN/>
        <w:adjustRightInd/>
        <w:jc w:val="both"/>
        <w:textAlignment w:val="auto"/>
        <w:rPr>
          <w:rFonts w:eastAsia="宋体"/>
          <w:lang w:eastAsia="zh-CN"/>
        </w:rPr>
      </w:pPr>
    </w:p>
    <w:p w14:paraId="2E158FFC" w14:textId="39952CCE" w:rsidR="00647130" w:rsidRPr="00F914AD" w:rsidRDefault="00F914AD" w:rsidP="00F914AD">
      <w:pPr>
        <w:overflowPunct/>
        <w:autoSpaceDE/>
        <w:autoSpaceDN/>
        <w:adjustRightInd/>
        <w:jc w:val="both"/>
        <w:textAlignment w:val="auto"/>
        <w:rPr>
          <w:rFonts w:eastAsiaTheme="minorEastAsia"/>
          <w:b/>
          <w:u w:val="single"/>
          <w:lang w:eastAsia="zh-CN"/>
        </w:rPr>
      </w:pPr>
      <w:r w:rsidRPr="00F914AD">
        <w:rPr>
          <w:rFonts w:eastAsia="宋体"/>
          <w:u w:val="single"/>
          <w:lang w:val="en-US" w:eastAsia="zh-CN"/>
        </w:rPr>
        <w:t>A draft LS reply has been provided in [3].</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187A3725" w14:textId="18E00BB5" w:rsidR="000B75D3" w:rsidRPr="004C7D5A" w:rsidRDefault="00112571" w:rsidP="004C7D5A">
      <w:pPr>
        <w:rPr>
          <w:rFonts w:ascii="Arial" w:hAnsi="Arial" w:cs="Arial"/>
          <w:b/>
          <w:sz w:val="24"/>
        </w:rPr>
      </w:pPr>
      <w:r>
        <w:rPr>
          <w:rFonts w:eastAsia="宋体" w:hint="eastAsia"/>
          <w:lang w:val="en-US" w:eastAsia="zh-CN"/>
        </w:rPr>
        <w:t>[</w:t>
      </w:r>
      <w:r>
        <w:rPr>
          <w:rFonts w:eastAsia="宋体"/>
          <w:lang w:val="en-US" w:eastAsia="zh-CN"/>
        </w:rPr>
        <w:t xml:space="preserve">1] </w:t>
      </w:r>
      <w:r w:rsidR="00D6552E" w:rsidRPr="00D6552E">
        <w:t>R4-2400008</w:t>
      </w:r>
      <w:r w:rsidR="004C7D5A">
        <w:rPr>
          <w:rFonts w:eastAsia="宋体"/>
          <w:lang w:val="en-US" w:eastAsia="zh-CN"/>
        </w:rPr>
        <w:t xml:space="preserve">, </w:t>
      </w:r>
      <w:r w:rsidR="00D6552E" w:rsidRPr="00D6552E">
        <w:rPr>
          <w:rFonts w:eastAsia="宋体"/>
          <w:lang w:val="en-US" w:eastAsia="zh-CN"/>
        </w:rPr>
        <w:t>LS On Relative Phase/Power Error Requirements within Port Groups for 8TX UE</w:t>
      </w:r>
      <w:r w:rsidR="000B75D3" w:rsidRPr="000B75D3">
        <w:rPr>
          <w:rFonts w:eastAsia="宋体"/>
          <w:lang w:val="en-US" w:eastAsia="zh-CN"/>
        </w:rPr>
        <w:t xml:space="preserve">, </w:t>
      </w:r>
      <w:r w:rsidR="00D6552E">
        <w:rPr>
          <w:rFonts w:eastAsia="宋体"/>
          <w:lang w:val="en-US" w:eastAsia="zh-CN"/>
        </w:rPr>
        <w:t>RAN1</w:t>
      </w:r>
      <w:r w:rsidR="000B75D3" w:rsidRPr="00112571">
        <w:rPr>
          <w:rFonts w:eastAsia="宋体"/>
          <w:lang w:val="en-US" w:eastAsia="zh-CN"/>
        </w:rPr>
        <w:t>, RAN4#1</w:t>
      </w:r>
      <w:r w:rsidR="00D6552E">
        <w:rPr>
          <w:rFonts w:eastAsia="宋体"/>
          <w:lang w:val="en-US" w:eastAsia="zh-CN"/>
        </w:rPr>
        <w:t>10</w:t>
      </w:r>
    </w:p>
    <w:p w14:paraId="65736570" w14:textId="230D4741" w:rsidR="003665A8" w:rsidRDefault="005F2351" w:rsidP="00D6552E">
      <w:pPr>
        <w:pStyle w:val="25"/>
        <w:ind w:leftChars="-10" w:left="264"/>
        <w:rPr>
          <w:rFonts w:eastAsia="宋体"/>
          <w:lang w:val="en-US" w:eastAsia="zh-CN"/>
        </w:rPr>
      </w:pPr>
      <w:r w:rsidRPr="005F2351">
        <w:rPr>
          <w:rFonts w:eastAsia="宋体"/>
          <w:lang w:val="en-US" w:eastAsia="zh-CN"/>
        </w:rPr>
        <w:t xml:space="preserve">[2] </w:t>
      </w:r>
      <w:r w:rsidR="00D6552E">
        <w:rPr>
          <w:rFonts w:eastAsia="宋体"/>
          <w:lang w:val="en-US" w:eastAsia="zh-CN"/>
        </w:rPr>
        <w:t>TS 38.211</w:t>
      </w:r>
    </w:p>
    <w:p w14:paraId="7B024DEF" w14:textId="360D9839" w:rsidR="00D6552E" w:rsidRDefault="00D6552E" w:rsidP="00D6552E">
      <w:pPr>
        <w:pStyle w:val="25"/>
        <w:ind w:leftChars="-10" w:left="264"/>
        <w:rPr>
          <w:rFonts w:eastAsia="宋体"/>
          <w:lang w:val="en-US" w:eastAsia="zh-CN"/>
        </w:rPr>
      </w:pPr>
      <w:r w:rsidRPr="00AE070C">
        <w:rPr>
          <w:rFonts w:eastAsia="宋体" w:hint="eastAsia"/>
          <w:lang w:val="en-US" w:eastAsia="zh-CN"/>
        </w:rPr>
        <w:t>[</w:t>
      </w:r>
      <w:r w:rsidRPr="00AE070C">
        <w:rPr>
          <w:rFonts w:eastAsia="宋体"/>
          <w:lang w:val="en-US" w:eastAsia="zh-CN"/>
        </w:rPr>
        <w:t>3]</w:t>
      </w:r>
      <w:r w:rsidRPr="00AE070C">
        <w:t xml:space="preserve"> </w:t>
      </w:r>
      <w:hyperlink r:id="rId11" w:history="1">
        <w:r w:rsidRPr="00AE070C">
          <w:rPr>
            <w:rFonts w:eastAsia="宋体"/>
            <w:lang w:val="en-US" w:eastAsia="zh-CN"/>
          </w:rPr>
          <w:t>R4-240</w:t>
        </w:r>
        <w:r w:rsidR="00AE070C" w:rsidRPr="00AE070C">
          <w:rPr>
            <w:rFonts w:eastAsia="宋体"/>
            <w:lang w:val="en-US" w:eastAsia="zh-CN"/>
          </w:rPr>
          <w:t>1522</w:t>
        </w:r>
      </w:hyperlink>
      <w:r>
        <w:rPr>
          <w:rFonts w:eastAsia="宋体"/>
          <w:lang w:val="en-US" w:eastAsia="zh-CN"/>
        </w:rPr>
        <w:t xml:space="preserve">, </w:t>
      </w:r>
      <w:r w:rsidRPr="00D6552E">
        <w:rPr>
          <w:rFonts w:eastAsia="宋体"/>
          <w:lang w:val="en-US" w:eastAsia="zh-CN"/>
        </w:rPr>
        <w:t>[Draft] Reply LS on Relative Phase/Power Error Requirements within Port Groups for 8TX UE</w:t>
      </w:r>
      <w:r w:rsidRPr="000B75D3">
        <w:rPr>
          <w:rFonts w:eastAsia="宋体"/>
          <w:lang w:val="en-US" w:eastAsia="zh-CN"/>
        </w:rPr>
        <w:t xml:space="preserve">, </w:t>
      </w:r>
      <w:r>
        <w:rPr>
          <w:rFonts w:eastAsia="宋体"/>
          <w:lang w:val="en-US" w:eastAsia="zh-CN"/>
        </w:rPr>
        <w:t>vivo</w:t>
      </w:r>
      <w:r w:rsidRPr="00112571">
        <w:rPr>
          <w:rFonts w:eastAsia="宋体"/>
          <w:lang w:val="en-US" w:eastAsia="zh-CN"/>
        </w:rPr>
        <w:t>, RAN4#1</w:t>
      </w:r>
      <w:r>
        <w:rPr>
          <w:rFonts w:eastAsia="宋体"/>
          <w:lang w:val="en-US" w:eastAsia="zh-CN"/>
        </w:rPr>
        <w:t>10</w:t>
      </w:r>
    </w:p>
    <w:sectPr w:rsidR="00D6552E" w:rsidSect="00AB0345">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99F3A" w14:textId="77777777" w:rsidR="00AB0345" w:rsidRDefault="00AB0345">
      <w:r>
        <w:separator/>
      </w:r>
    </w:p>
  </w:endnote>
  <w:endnote w:type="continuationSeparator" w:id="0">
    <w:p w14:paraId="61BE6149" w14:textId="77777777" w:rsidR="00AB0345" w:rsidRDefault="00AB0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52065" w14:textId="77777777" w:rsidR="00AB0345" w:rsidRDefault="00AB0345">
      <w:r>
        <w:separator/>
      </w:r>
    </w:p>
  </w:footnote>
  <w:footnote w:type="continuationSeparator" w:id="0">
    <w:p w14:paraId="268C4F2C" w14:textId="77777777" w:rsidR="00AB0345" w:rsidRDefault="00AB0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1565013">
    <w:abstractNumId w:val="8"/>
  </w:num>
  <w:num w:numId="2" w16cid:durableId="1008942062">
    <w:abstractNumId w:val="16"/>
  </w:num>
  <w:num w:numId="3" w16cid:durableId="1928876941">
    <w:abstractNumId w:val="17"/>
  </w:num>
  <w:num w:numId="4" w16cid:durableId="608926178">
    <w:abstractNumId w:val="32"/>
  </w:num>
  <w:num w:numId="5" w16cid:durableId="55015041">
    <w:abstractNumId w:val="13"/>
  </w:num>
  <w:num w:numId="6" w16cid:durableId="1341396472">
    <w:abstractNumId w:val="4"/>
  </w:num>
  <w:num w:numId="7" w16cid:durableId="736317004">
    <w:abstractNumId w:val="18"/>
  </w:num>
  <w:num w:numId="8" w16cid:durableId="2083718182">
    <w:abstractNumId w:val="0"/>
  </w:num>
  <w:num w:numId="9" w16cid:durableId="305554015">
    <w:abstractNumId w:val="1"/>
  </w:num>
  <w:num w:numId="10" w16cid:durableId="350493683">
    <w:abstractNumId w:val="31"/>
  </w:num>
  <w:num w:numId="11" w16cid:durableId="857347850">
    <w:abstractNumId w:val="11"/>
  </w:num>
  <w:num w:numId="12" w16cid:durableId="498543277">
    <w:abstractNumId w:val="22"/>
  </w:num>
  <w:num w:numId="13" w16cid:durableId="1162426544">
    <w:abstractNumId w:val="28"/>
  </w:num>
  <w:num w:numId="14" w16cid:durableId="306784417">
    <w:abstractNumId w:val="6"/>
  </w:num>
  <w:num w:numId="15" w16cid:durableId="1165589691">
    <w:abstractNumId w:val="26"/>
  </w:num>
  <w:num w:numId="16" w16cid:durableId="292904938">
    <w:abstractNumId w:val="15"/>
  </w:num>
  <w:num w:numId="17" w16cid:durableId="1128086868">
    <w:abstractNumId w:val="29"/>
  </w:num>
  <w:num w:numId="18" w16cid:durableId="1381368135">
    <w:abstractNumId w:val="30"/>
  </w:num>
  <w:num w:numId="19" w16cid:durableId="1952664001">
    <w:abstractNumId w:val="2"/>
  </w:num>
  <w:num w:numId="20" w16cid:durableId="1503664823">
    <w:abstractNumId w:val="5"/>
  </w:num>
  <w:num w:numId="21" w16cid:durableId="1253776492">
    <w:abstractNumId w:val="20"/>
  </w:num>
  <w:num w:numId="22" w16cid:durableId="262496372">
    <w:abstractNumId w:val="27"/>
  </w:num>
  <w:num w:numId="23" w16cid:durableId="480583912">
    <w:abstractNumId w:val="3"/>
  </w:num>
  <w:num w:numId="24" w16cid:durableId="299582414">
    <w:abstractNumId w:val="18"/>
  </w:num>
  <w:num w:numId="25" w16cid:durableId="344208580">
    <w:abstractNumId w:val="24"/>
  </w:num>
  <w:num w:numId="26" w16cid:durableId="1468813980">
    <w:abstractNumId w:val="19"/>
  </w:num>
  <w:num w:numId="27" w16cid:durableId="723717034">
    <w:abstractNumId w:val="9"/>
  </w:num>
  <w:num w:numId="28" w16cid:durableId="540702901">
    <w:abstractNumId w:val="12"/>
  </w:num>
  <w:num w:numId="29" w16cid:durableId="1977905451">
    <w:abstractNumId w:val="10"/>
  </w:num>
  <w:num w:numId="30" w16cid:durableId="1664241486">
    <w:abstractNumId w:val="23"/>
  </w:num>
  <w:num w:numId="31" w16cid:durableId="513498160">
    <w:abstractNumId w:val="21"/>
  </w:num>
  <w:num w:numId="32" w16cid:durableId="724304359">
    <w:abstractNumId w:val="14"/>
  </w:num>
  <w:num w:numId="33" w16cid:durableId="355010712">
    <w:abstractNumId w:val="7"/>
  </w:num>
  <w:num w:numId="34" w16cid:durableId="69129638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62F"/>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1078"/>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345"/>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0C"/>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55F"/>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14A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8bis\Docs\R4-2317604.zip"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0C886-1505-45E3-A868-04D2E3291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969</Words>
  <Characters>5527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6484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cp:revision>
  <cp:lastPrinted>2010-01-07T02:23:00Z</cp:lastPrinted>
  <dcterms:created xsi:type="dcterms:W3CDTF">2024-02-05T06:14:00Z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