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08408CA" w:rsidR="009A5D49" w:rsidRPr="004A029C" w:rsidRDefault="009A5D49" w:rsidP="009A5D49">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Pr="004A029C">
        <w:rPr>
          <w:rFonts w:cs="Arial"/>
          <w:sz w:val="24"/>
          <w:szCs w:val="24"/>
        </w:rPr>
        <w:t>GPP TSG-RAN WG4 Meeting #</w:t>
      </w:r>
      <w:r w:rsidRPr="004A029C">
        <w:rPr>
          <w:rFonts w:cs="Arial"/>
        </w:rPr>
        <w:t xml:space="preserve"> </w:t>
      </w:r>
      <w:r w:rsidR="00510B14">
        <w:rPr>
          <w:rFonts w:cs="Arial"/>
          <w:sz w:val="24"/>
          <w:szCs w:val="24"/>
        </w:rPr>
        <w:t>110</w:t>
      </w:r>
      <w:r w:rsidRPr="004A029C">
        <w:rPr>
          <w:rFonts w:cs="Arial"/>
          <w:sz w:val="24"/>
          <w:szCs w:val="24"/>
        </w:rPr>
        <w:tab/>
      </w:r>
      <w:r w:rsidR="00336857" w:rsidRPr="00336857">
        <w:rPr>
          <w:rFonts w:cs="Arial"/>
          <w:sz w:val="24"/>
          <w:szCs w:val="24"/>
        </w:rPr>
        <w:t>R4-2401331</w:t>
      </w:r>
      <w:bookmarkStart w:id="0" w:name="_GoBack"/>
      <w:bookmarkEnd w:id="0"/>
    </w:p>
    <w:p w14:paraId="565454F3" w14:textId="77777777" w:rsidR="00510B14" w:rsidRPr="006D409C" w:rsidRDefault="00510B14" w:rsidP="00510B14">
      <w:pPr>
        <w:pStyle w:val="Header"/>
        <w:tabs>
          <w:tab w:val="right" w:pos="9781"/>
          <w:tab w:val="right" w:pos="13323"/>
        </w:tabs>
        <w:spacing w:before="60" w:after="60"/>
        <w:outlineLvl w:val="0"/>
        <w:rPr>
          <w:rFonts w:eastAsia="宋体" w:cs="Arial"/>
          <w:b w:val="0"/>
          <w:sz w:val="24"/>
          <w:szCs w:val="24"/>
          <w:lang w:eastAsia="zh-CN"/>
        </w:rPr>
      </w:pPr>
      <w:r w:rsidRPr="006D409C">
        <w:rPr>
          <w:rFonts w:eastAsia="宋体" w:cs="Arial"/>
          <w:sz w:val="24"/>
          <w:szCs w:val="24"/>
          <w:lang w:eastAsia="zh-CN"/>
        </w:rPr>
        <w:t>Athens, GR, 26 Feb – 01 Mar, 2024</w:t>
      </w:r>
    </w:p>
    <w:p w14:paraId="2C45F865" w14:textId="77777777" w:rsidR="00425CA6" w:rsidRDefault="00425CA6" w:rsidP="00DF0231">
      <w:pPr>
        <w:tabs>
          <w:tab w:val="left" w:pos="1985"/>
        </w:tabs>
        <w:rPr>
          <w:rFonts w:ascii="Arial" w:hAnsi="Arial"/>
          <w:b/>
          <w:sz w:val="24"/>
          <w:lang w:val="en-US"/>
        </w:rPr>
      </w:pPr>
    </w:p>
    <w:p w14:paraId="7F9FBBE7" w14:textId="69244CA6"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25CA6">
        <w:rPr>
          <w:rFonts w:ascii="Arial" w:hAnsi="Arial"/>
          <w:sz w:val="24"/>
          <w:lang w:val="en-US"/>
        </w:rPr>
        <w:t>8</w:t>
      </w:r>
      <w:r w:rsidR="000B4FB5" w:rsidRPr="000B4FB5">
        <w:rPr>
          <w:rFonts w:ascii="Arial" w:hAnsi="Arial"/>
          <w:sz w:val="24"/>
          <w:lang w:val="en-US"/>
        </w:rPr>
        <w:t>.</w:t>
      </w:r>
      <w:r w:rsidR="00510B14">
        <w:rPr>
          <w:rFonts w:ascii="Arial" w:hAnsi="Arial"/>
          <w:sz w:val="24"/>
          <w:lang w:val="en-US"/>
        </w:rPr>
        <w:t>9.6</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0042A5E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5564" w:rsidRPr="00635564">
        <w:rPr>
          <w:rFonts w:ascii="Arial" w:hAnsi="Arial"/>
          <w:sz w:val="24"/>
          <w:lang w:val="en-US"/>
        </w:rPr>
        <w:t>Discussion on core requirements maintenance for ATG</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0F70E53F" w14:textId="7268517F" w:rsidR="000B4FB5" w:rsidRDefault="00133934" w:rsidP="000B4FB5">
      <w:pPr>
        <w:jc w:val="both"/>
        <w:rPr>
          <w:rFonts w:eastAsiaTheme="minorEastAsia"/>
          <w:lang w:val="en-US" w:eastAsia="zh-CN"/>
        </w:rPr>
      </w:pPr>
      <w:bookmarkStart w:id="1" w:name="_Hlk131426020"/>
      <w:r>
        <w:rPr>
          <w:rFonts w:eastAsiaTheme="minorEastAsia"/>
          <w:lang w:val="en-US" w:eastAsia="zh-CN"/>
        </w:rPr>
        <w:t>The core requirements for ATG were completed in previous meetings. The remaining issues for maintenance are summarized in [1]. In last meeting, the discussion is mainly focusing on feature lists. In this paper, we provide our views on remaining issues for TCI state switching requirements.</w:t>
      </w:r>
    </w:p>
    <w:bookmarkEnd w:id="1"/>
    <w:p w14:paraId="2EBB39AE" w14:textId="0555C125" w:rsidR="00DF0231" w:rsidRDefault="00DF0231" w:rsidP="00DF0231">
      <w:pPr>
        <w:pStyle w:val="Heading1"/>
        <w:numPr>
          <w:ilvl w:val="0"/>
          <w:numId w:val="1"/>
        </w:numPr>
        <w:rPr>
          <w:lang w:val="en-US"/>
        </w:rPr>
      </w:pPr>
      <w:r w:rsidRPr="002D2977">
        <w:rPr>
          <w:lang w:val="en-US"/>
        </w:rPr>
        <w:t>Discussion</w:t>
      </w:r>
    </w:p>
    <w:p w14:paraId="14BE8644" w14:textId="24EF441B" w:rsidR="00133934" w:rsidRPr="00133934" w:rsidRDefault="00133934" w:rsidP="007D53F7">
      <w:pPr>
        <w:jc w:val="both"/>
        <w:rPr>
          <w:lang w:eastAsia="zh-CN"/>
        </w:rPr>
      </w:pPr>
      <w:r w:rsidRPr="00133934">
        <w:rPr>
          <w:lang w:eastAsia="zh-CN"/>
        </w:rPr>
        <w:t>Regarding the TCI state switching requirements, the current specification is shown as follows:</w:t>
      </w:r>
    </w:p>
    <w:tbl>
      <w:tblPr>
        <w:tblStyle w:val="TableGrid"/>
        <w:tblW w:w="0" w:type="auto"/>
        <w:tblLook w:val="04A0" w:firstRow="1" w:lastRow="0" w:firstColumn="1" w:lastColumn="0" w:noHBand="0" w:noVBand="1"/>
      </w:tblPr>
      <w:tblGrid>
        <w:gridCol w:w="9562"/>
      </w:tblGrid>
      <w:tr w:rsidR="00133934" w14:paraId="4399BB45" w14:textId="77777777" w:rsidTr="00133934">
        <w:tc>
          <w:tcPr>
            <w:tcW w:w="9562" w:type="dxa"/>
          </w:tcPr>
          <w:p w14:paraId="571D7EBC" w14:textId="77777777" w:rsidR="00133934" w:rsidRDefault="00133934" w:rsidP="00133934">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2193E1B8" w14:textId="77777777" w:rsidR="00133934" w:rsidRDefault="00133934" w:rsidP="00133934">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1041B3C1" w14:textId="5CE9CBDD" w:rsidR="00133934" w:rsidRPr="00133934" w:rsidRDefault="00133934" w:rsidP="00133934">
            <w:pPr>
              <w:pStyle w:val="NO"/>
              <w:rPr>
                <w:i/>
                <w:iCs/>
                <w:lang w:val="en-US" w:eastAsia="zh-CN"/>
              </w:rPr>
            </w:pPr>
            <w:r w:rsidRPr="00634E8D">
              <w:rPr>
                <w:i/>
                <w:iCs/>
                <w:lang w:val="en-US" w:eastAsia="zh-CN"/>
              </w:rPr>
              <w:t xml:space="preserve">Editor notes: the </w:t>
            </w:r>
            <w:proofErr w:type="spellStart"/>
            <w:r w:rsidRPr="00634E8D">
              <w:rPr>
                <w:i/>
                <w:iCs/>
                <w:lang w:val="en-US" w:eastAsia="zh-CN"/>
              </w:rPr>
              <w:t>requiremnts</w:t>
            </w:r>
            <w:proofErr w:type="spellEnd"/>
            <w:r w:rsidRPr="00634E8D">
              <w:rPr>
                <w:i/>
                <w:iCs/>
                <w:lang w:val="en-US" w:eastAsia="zh-CN"/>
              </w:rPr>
              <w:t xml:space="preserve"> in </w:t>
            </w:r>
            <w:proofErr w:type="spellStart"/>
            <w:r w:rsidRPr="00634E8D">
              <w:rPr>
                <w:i/>
                <w:iCs/>
                <w:lang w:val="en-US" w:eastAsia="zh-CN"/>
              </w:rPr>
              <w:t>clasue</w:t>
            </w:r>
            <w:proofErr w:type="spellEnd"/>
            <w:r w:rsidRPr="00634E8D">
              <w:rPr>
                <w:i/>
                <w:iCs/>
                <w:lang w:val="en-US" w:eastAsia="zh-CN"/>
              </w:rPr>
              <w:t xml:space="preserve"> 8.10D is assumed that UE does not support [antenna arrays] in FR1. FFS the requirements for UE supporting [antenna arrays] in FR1.</w:t>
            </w:r>
          </w:p>
        </w:tc>
      </w:tr>
    </w:tbl>
    <w:p w14:paraId="4B36680E" w14:textId="77777777" w:rsidR="00133934" w:rsidRPr="00133934" w:rsidRDefault="00133934" w:rsidP="007D53F7">
      <w:pPr>
        <w:jc w:val="both"/>
        <w:rPr>
          <w:lang w:eastAsia="zh-CN"/>
        </w:rPr>
      </w:pPr>
    </w:p>
    <w:p w14:paraId="4590B712" w14:textId="2B3B369A" w:rsidR="00133934" w:rsidRDefault="00133934" w:rsidP="007D53F7">
      <w:pPr>
        <w:jc w:val="both"/>
        <w:rPr>
          <w:lang w:eastAsia="zh-CN"/>
        </w:rPr>
      </w:pPr>
      <w:r>
        <w:rPr>
          <w:lang w:eastAsia="zh-CN"/>
        </w:rPr>
        <w:t>One missing point is the requirements for UE supporting antenna array in FR1. The controversial part is whether to consider beam refining time when QCL type-D is involved. Different from the beam management in FR2, it was agreed in previous RAN4 meeting that UE can steer the beam towards serving cell without beam sweeping. The corresponding agreements are shown as follows:</w:t>
      </w:r>
    </w:p>
    <w:tbl>
      <w:tblPr>
        <w:tblStyle w:val="TableGrid"/>
        <w:tblW w:w="0" w:type="auto"/>
        <w:tblLook w:val="04A0" w:firstRow="1" w:lastRow="0" w:firstColumn="1" w:lastColumn="0" w:noHBand="0" w:noVBand="1"/>
      </w:tblPr>
      <w:tblGrid>
        <w:gridCol w:w="9562"/>
      </w:tblGrid>
      <w:tr w:rsidR="00133934" w14:paraId="7136A517" w14:textId="77777777" w:rsidTr="00133934">
        <w:tc>
          <w:tcPr>
            <w:tcW w:w="9562" w:type="dxa"/>
          </w:tcPr>
          <w:p w14:paraId="70574CEA" w14:textId="77777777" w:rsidR="00133934" w:rsidRDefault="00133934" w:rsidP="00133934">
            <w:pPr>
              <w:rPr>
                <w:b/>
                <w:highlight w:val="yellow"/>
                <w:u w:val="single"/>
                <w:lang w:eastAsia="ko-KR"/>
              </w:rPr>
            </w:pPr>
            <w:r w:rsidRPr="00D6109A">
              <w:rPr>
                <w:rFonts w:hint="eastAsia"/>
                <w:b/>
                <w:u w:val="single"/>
                <w:lang w:eastAsia="ko-KR"/>
              </w:rPr>
              <w:t>Issue 4-1-2: Phase antenna array impact for L1</w:t>
            </w:r>
            <w:r>
              <w:rPr>
                <w:b/>
                <w:strike/>
                <w:u w:val="single"/>
                <w:lang w:eastAsia="ko-KR"/>
              </w:rPr>
              <w:t xml:space="preserve"> </w:t>
            </w:r>
            <w:r w:rsidRPr="00D6109A">
              <w:rPr>
                <w:rFonts w:hint="eastAsia"/>
                <w:b/>
                <w:u w:val="single"/>
                <w:lang w:eastAsia="ko-KR"/>
              </w:rPr>
              <w:t>measurements</w:t>
            </w:r>
          </w:p>
          <w:p w14:paraId="602E9455" w14:textId="77777777" w:rsidR="00133934" w:rsidRPr="00350954" w:rsidRDefault="00133934" w:rsidP="00133934">
            <w:pPr>
              <w:pStyle w:val="ListParagraph"/>
              <w:numPr>
                <w:ilvl w:val="0"/>
                <w:numId w:val="8"/>
              </w:numPr>
              <w:spacing w:after="0"/>
              <w:ind w:firstLineChars="0"/>
              <w:rPr>
                <w:rFonts w:eastAsia="宋体"/>
              </w:rPr>
            </w:pPr>
            <w:r w:rsidRPr="00350954">
              <w:rPr>
                <w:rFonts w:eastAsia="宋体" w:hint="eastAsia"/>
              </w:rPr>
              <w:t>Option 1: Do not introduce scaling factor N. Existing measurement requirements can be reused, provided that beam steering based on the positioning is capable for the ATG UE.</w:t>
            </w:r>
          </w:p>
          <w:p w14:paraId="75FD6D4C" w14:textId="77777777" w:rsidR="00133934" w:rsidRDefault="00133934" w:rsidP="00133934">
            <w:pPr>
              <w:pStyle w:val="ListParagraph"/>
              <w:numPr>
                <w:ilvl w:val="0"/>
                <w:numId w:val="8"/>
              </w:numPr>
              <w:spacing w:after="0"/>
              <w:ind w:firstLineChars="0"/>
              <w:rPr>
                <w:rFonts w:eastAsia="宋体"/>
              </w:rPr>
            </w:pPr>
            <w:r>
              <w:rPr>
                <w:rFonts w:eastAsia="宋体" w:hint="eastAsia"/>
              </w:rPr>
              <w:t>Option 2: Introduc</w:t>
            </w:r>
            <w:r w:rsidRPr="0075547D">
              <w:rPr>
                <w:rFonts w:eastAsia="宋体" w:hint="eastAsia"/>
              </w:rPr>
              <w:t>e</w:t>
            </w:r>
            <w:r w:rsidRPr="0075547D">
              <w:rPr>
                <w:rFonts w:eastAsia="宋体"/>
              </w:rPr>
              <w:t xml:space="preserve"> </w:t>
            </w:r>
            <w:r w:rsidRPr="0075547D">
              <w:rPr>
                <w:rFonts w:eastAsia="宋体" w:hint="eastAsia"/>
              </w:rPr>
              <w:t>scaling factor</w:t>
            </w:r>
            <w:r w:rsidRPr="0075547D">
              <w:rPr>
                <w:rFonts w:eastAsia="宋体" w:hint="eastAsia"/>
                <w:strike/>
              </w:rPr>
              <w:t>.</w:t>
            </w:r>
          </w:p>
          <w:p w14:paraId="1656F672" w14:textId="77777777" w:rsidR="00133934" w:rsidRDefault="00133934" w:rsidP="00133934">
            <w:pPr>
              <w:pStyle w:val="ListParagraph"/>
              <w:numPr>
                <w:ilvl w:val="1"/>
                <w:numId w:val="8"/>
              </w:numPr>
              <w:spacing w:after="0"/>
              <w:ind w:firstLineChars="0"/>
              <w:rPr>
                <w:rFonts w:eastAsia="宋体"/>
              </w:rPr>
            </w:pPr>
            <w:r>
              <w:rPr>
                <w:rFonts w:eastAsia="宋体" w:hint="eastAsia"/>
              </w:rPr>
              <w:t>Option 2-1:</w:t>
            </w:r>
          </w:p>
          <w:p w14:paraId="21393461" w14:textId="77777777" w:rsidR="00133934" w:rsidRDefault="00133934" w:rsidP="00133934">
            <w:pPr>
              <w:pStyle w:val="ListParagraph"/>
              <w:numPr>
                <w:ilvl w:val="2"/>
                <w:numId w:val="8"/>
              </w:numPr>
              <w:spacing w:after="0"/>
              <w:ind w:firstLineChars="0"/>
              <w:rPr>
                <w:rFonts w:eastAsia="宋体"/>
              </w:rPr>
            </w:pPr>
            <w:r>
              <w:rPr>
                <w:rFonts w:eastAsia="宋体" w:hint="eastAsia"/>
              </w:rPr>
              <w:t xml:space="preserve">For FR1 ATG UE with phase array antenna, </w:t>
            </w:r>
            <w:r w:rsidRPr="0075547D">
              <w:rPr>
                <w:rFonts w:eastAsia="宋体" w:hint="eastAsia"/>
              </w:rPr>
              <w:t>scaling factor</w:t>
            </w:r>
            <w:r>
              <w:rPr>
                <w:rFonts w:eastAsia="宋体"/>
                <w:strike/>
              </w:rPr>
              <w:t xml:space="preserve"> </w:t>
            </w:r>
            <w:r>
              <w:rPr>
                <w:rFonts w:eastAsia="宋体" w:hint="eastAsia"/>
              </w:rPr>
              <w:t>’</w:t>
            </w:r>
            <w:r>
              <w:rPr>
                <w:rFonts w:eastAsia="宋体" w:hint="eastAsia"/>
              </w:rPr>
              <w:t>P</w:t>
            </w:r>
            <w:r>
              <w:rPr>
                <w:rFonts w:eastAsia="宋体" w:hint="eastAsia"/>
              </w:rPr>
              <w:t>’</w:t>
            </w:r>
            <w:r>
              <w:rPr>
                <w:rFonts w:eastAsia="宋体" w:hint="eastAsia"/>
              </w:rPr>
              <w:t xml:space="preserve"> for L1 serving cell measurement, L3 neighbouring cell intra-frequency measurement without MG and inter-frequency measurement without MG should be introduced. The impacted requirements including:</w:t>
            </w:r>
          </w:p>
          <w:p w14:paraId="2A9B3339" w14:textId="77777777" w:rsidR="00133934" w:rsidRDefault="00133934" w:rsidP="00133934">
            <w:pPr>
              <w:pStyle w:val="ListParagraph"/>
              <w:numPr>
                <w:ilvl w:val="3"/>
                <w:numId w:val="8"/>
              </w:numPr>
              <w:spacing w:after="0"/>
              <w:ind w:firstLineChars="0"/>
              <w:rPr>
                <w:rFonts w:eastAsia="宋体"/>
              </w:rPr>
            </w:pPr>
            <w:r>
              <w:rPr>
                <w:rFonts w:eastAsia="宋体" w:hint="eastAsia"/>
              </w:rPr>
              <w:t>Radio link monitoring</w:t>
            </w:r>
          </w:p>
          <w:p w14:paraId="1F08DE36" w14:textId="77777777" w:rsidR="00133934" w:rsidRDefault="00133934" w:rsidP="00133934">
            <w:pPr>
              <w:pStyle w:val="ListParagraph"/>
              <w:numPr>
                <w:ilvl w:val="3"/>
                <w:numId w:val="8"/>
              </w:numPr>
              <w:spacing w:after="0"/>
              <w:ind w:firstLineChars="0"/>
              <w:rPr>
                <w:rFonts w:eastAsia="宋体"/>
              </w:rPr>
            </w:pPr>
            <w:r>
              <w:rPr>
                <w:rFonts w:eastAsia="宋体" w:hint="eastAsia"/>
              </w:rPr>
              <w:t>Link recovery procedures</w:t>
            </w:r>
          </w:p>
          <w:p w14:paraId="3241828D" w14:textId="77777777" w:rsidR="00133934" w:rsidRDefault="00133934" w:rsidP="00133934">
            <w:pPr>
              <w:pStyle w:val="ListParagraph"/>
              <w:numPr>
                <w:ilvl w:val="3"/>
                <w:numId w:val="8"/>
              </w:numPr>
              <w:spacing w:after="0"/>
              <w:ind w:firstLineChars="0"/>
              <w:rPr>
                <w:rFonts w:eastAsia="宋体"/>
              </w:rPr>
            </w:pPr>
            <w:r>
              <w:rPr>
                <w:rFonts w:eastAsia="宋体" w:hint="eastAsia"/>
              </w:rPr>
              <w:t>L1-RSRP/SINR measurements for Reporting</w:t>
            </w:r>
          </w:p>
          <w:p w14:paraId="163A3943" w14:textId="77777777" w:rsidR="00133934" w:rsidRDefault="00133934" w:rsidP="00133934">
            <w:pPr>
              <w:pStyle w:val="ListParagraph"/>
              <w:numPr>
                <w:ilvl w:val="3"/>
                <w:numId w:val="8"/>
              </w:numPr>
              <w:spacing w:after="0"/>
              <w:ind w:firstLineChars="0"/>
              <w:rPr>
                <w:rFonts w:eastAsia="宋体"/>
              </w:rPr>
            </w:pPr>
            <w:r>
              <w:rPr>
                <w:rFonts w:eastAsia="宋体" w:hint="eastAsia"/>
              </w:rPr>
              <w:t>intra-frequency measurements without measurement gaps for ATG</w:t>
            </w:r>
          </w:p>
          <w:p w14:paraId="52B3713E" w14:textId="77777777" w:rsidR="00133934" w:rsidRDefault="00133934" w:rsidP="00133934">
            <w:pPr>
              <w:pStyle w:val="ListParagraph"/>
              <w:numPr>
                <w:ilvl w:val="3"/>
                <w:numId w:val="8"/>
              </w:numPr>
              <w:spacing w:after="0"/>
              <w:ind w:firstLineChars="0"/>
              <w:rPr>
                <w:rFonts w:eastAsia="宋体"/>
              </w:rPr>
            </w:pPr>
            <w:r>
              <w:rPr>
                <w:rFonts w:eastAsia="宋体" w:hint="eastAsia"/>
              </w:rPr>
              <w:t>Inter frequency measurements without measurement gaps for ATG</w:t>
            </w:r>
          </w:p>
          <w:p w14:paraId="490C3050" w14:textId="77777777" w:rsidR="00133934" w:rsidRDefault="00133934" w:rsidP="00133934">
            <w:pPr>
              <w:pStyle w:val="ListParagraph"/>
              <w:numPr>
                <w:ilvl w:val="3"/>
                <w:numId w:val="8"/>
              </w:numPr>
              <w:spacing w:after="0"/>
              <w:ind w:firstLineChars="0"/>
              <w:rPr>
                <w:rFonts w:eastAsia="宋体"/>
              </w:rPr>
            </w:pPr>
            <w:r>
              <w:rPr>
                <w:rFonts w:eastAsia="宋体" w:hint="eastAsia"/>
              </w:rPr>
              <w:t>CSI-RS based intra-frequency measurements</w:t>
            </w:r>
          </w:p>
          <w:p w14:paraId="73A65044" w14:textId="77777777" w:rsidR="00133934" w:rsidRPr="00C7675C" w:rsidRDefault="00133934" w:rsidP="00133934">
            <w:pPr>
              <w:rPr>
                <w:rFonts w:eastAsia="宋体"/>
                <w:color w:val="FF0000"/>
              </w:rPr>
            </w:pPr>
          </w:p>
          <w:p w14:paraId="351E9493" w14:textId="277577A8" w:rsidR="00133934" w:rsidRPr="00133934" w:rsidRDefault="00133934" w:rsidP="00133934">
            <w:pPr>
              <w:rPr>
                <w:rFonts w:eastAsiaTheme="minorEastAsia"/>
                <w:b/>
                <w:u w:val="single"/>
              </w:rPr>
            </w:pPr>
            <w:r w:rsidRPr="002F5724">
              <w:rPr>
                <w:rFonts w:eastAsiaTheme="minorEastAsia"/>
                <w:b/>
                <w:u w:val="single"/>
              </w:rPr>
              <w:t>Agreement: Option 1</w:t>
            </w:r>
          </w:p>
        </w:tc>
      </w:tr>
    </w:tbl>
    <w:p w14:paraId="555EA70B" w14:textId="77777777" w:rsidR="00133934" w:rsidRPr="00133934" w:rsidRDefault="00133934" w:rsidP="007D53F7">
      <w:pPr>
        <w:jc w:val="both"/>
        <w:rPr>
          <w:lang w:eastAsia="zh-CN"/>
        </w:rPr>
      </w:pPr>
    </w:p>
    <w:p w14:paraId="3EBF54D7" w14:textId="5279466C" w:rsidR="00133934" w:rsidRDefault="00133934" w:rsidP="007D53F7">
      <w:pPr>
        <w:jc w:val="both"/>
        <w:rPr>
          <w:rFonts w:eastAsia="宋体"/>
        </w:rPr>
      </w:pPr>
      <w:r w:rsidRPr="00133934">
        <w:rPr>
          <w:rFonts w:eastAsia="宋体"/>
        </w:rPr>
        <w:lastRenderedPageBreak/>
        <w:t xml:space="preserve">Thus, it means for UE capable of antenna array, </w:t>
      </w:r>
      <w:r>
        <w:rPr>
          <w:rFonts w:eastAsia="宋体"/>
        </w:rPr>
        <w:t xml:space="preserve">the Rx beam is determined based on position regardless of the TCI configuration (i.e. QCL </w:t>
      </w:r>
      <w:proofErr w:type="spellStart"/>
      <w:r>
        <w:rPr>
          <w:rFonts w:eastAsia="宋体"/>
        </w:rPr>
        <w:t>typeD</w:t>
      </w:r>
      <w:proofErr w:type="spellEnd"/>
      <w:r>
        <w:rPr>
          <w:rFonts w:eastAsia="宋体"/>
        </w:rPr>
        <w:t>).</w:t>
      </w:r>
    </w:p>
    <w:p w14:paraId="1297C7A0" w14:textId="0ADBCADE" w:rsidR="00133934" w:rsidRPr="00133934" w:rsidRDefault="00133934" w:rsidP="00133934">
      <w:pPr>
        <w:jc w:val="both"/>
        <w:rPr>
          <w:rFonts w:eastAsia="宋体"/>
          <w:b/>
        </w:rPr>
      </w:pPr>
      <w:r w:rsidRPr="00133934">
        <w:rPr>
          <w:rFonts w:eastAsia="宋体"/>
          <w:b/>
        </w:rPr>
        <w:t xml:space="preserve">Observation 1: For UE capable of antenna array, the Rx beam is determined based on position regardless of the TCI configuration (i.e. QCL </w:t>
      </w:r>
      <w:proofErr w:type="spellStart"/>
      <w:r w:rsidRPr="00133934">
        <w:rPr>
          <w:rFonts w:eastAsia="宋体"/>
          <w:b/>
        </w:rPr>
        <w:t>typeD</w:t>
      </w:r>
      <w:proofErr w:type="spellEnd"/>
      <w:r w:rsidRPr="00133934">
        <w:rPr>
          <w:rFonts w:eastAsia="宋体"/>
          <w:b/>
        </w:rPr>
        <w:t>).</w:t>
      </w:r>
    </w:p>
    <w:p w14:paraId="118F87DC" w14:textId="0BA7A3F2" w:rsidR="00133934" w:rsidRDefault="00133934" w:rsidP="007D53F7">
      <w:pPr>
        <w:jc w:val="both"/>
        <w:rPr>
          <w:rFonts w:eastAsia="宋体"/>
        </w:rPr>
      </w:pPr>
      <w:r>
        <w:rPr>
          <w:rFonts w:eastAsia="宋体"/>
        </w:rPr>
        <w:t>Thus, Current requirements for TCI state switching can apply to both UE type</w:t>
      </w:r>
      <w:r w:rsidR="00F67503">
        <w:rPr>
          <w:rFonts w:eastAsia="宋体"/>
        </w:rPr>
        <w:t>s: UE with antenna array and UE with omni-direction antenna.</w:t>
      </w:r>
    </w:p>
    <w:p w14:paraId="394921F4" w14:textId="3203411A" w:rsidR="00F67503" w:rsidRPr="00F67503" w:rsidRDefault="00F67503" w:rsidP="007D53F7">
      <w:pPr>
        <w:jc w:val="both"/>
        <w:rPr>
          <w:rFonts w:eastAsia="宋体"/>
          <w:b/>
        </w:rPr>
      </w:pPr>
      <w:r w:rsidRPr="00F67503">
        <w:rPr>
          <w:rFonts w:eastAsia="宋体"/>
          <w:b/>
        </w:rPr>
        <w:t>Proposal 1: TCI state requirements apply to both UE types: UE with antenna array and UE with omni-direction antenna.</w:t>
      </w:r>
    </w:p>
    <w:p w14:paraId="24120099" w14:textId="77777777" w:rsidR="00386BEA" w:rsidRPr="00386BEA" w:rsidRDefault="00DF0231" w:rsidP="00A86270">
      <w:pPr>
        <w:pStyle w:val="Heading1"/>
        <w:numPr>
          <w:ilvl w:val="0"/>
          <w:numId w:val="1"/>
        </w:numPr>
        <w:rPr>
          <w:lang w:val="en-US"/>
        </w:rPr>
      </w:pPr>
      <w:r w:rsidRPr="002D2977">
        <w:rPr>
          <w:lang w:val="en-US"/>
        </w:rPr>
        <w:t>Conclusions</w:t>
      </w:r>
    </w:p>
    <w:p w14:paraId="0A37FEF5" w14:textId="77777777" w:rsidR="00F67503" w:rsidRPr="00133934" w:rsidRDefault="00F67503" w:rsidP="00F67503">
      <w:pPr>
        <w:jc w:val="both"/>
        <w:rPr>
          <w:rFonts w:eastAsia="宋体"/>
          <w:b/>
        </w:rPr>
      </w:pPr>
      <w:r w:rsidRPr="00133934">
        <w:rPr>
          <w:rFonts w:eastAsia="宋体"/>
          <w:b/>
        </w:rPr>
        <w:t xml:space="preserve">Observation 1: For UE capable of antenna array, the Rx beam is determined based on position regardless of the TCI configuration (i.e. QCL </w:t>
      </w:r>
      <w:proofErr w:type="spellStart"/>
      <w:r w:rsidRPr="00133934">
        <w:rPr>
          <w:rFonts w:eastAsia="宋体"/>
          <w:b/>
        </w:rPr>
        <w:t>typeD</w:t>
      </w:r>
      <w:proofErr w:type="spellEnd"/>
      <w:r w:rsidRPr="00133934">
        <w:rPr>
          <w:rFonts w:eastAsia="宋体"/>
          <w:b/>
        </w:rPr>
        <w:t>).</w:t>
      </w:r>
    </w:p>
    <w:p w14:paraId="213CAB63" w14:textId="77777777" w:rsidR="00F67503" w:rsidRPr="00F67503" w:rsidRDefault="00F67503" w:rsidP="00F67503">
      <w:pPr>
        <w:jc w:val="both"/>
        <w:rPr>
          <w:rFonts w:eastAsia="宋体"/>
          <w:b/>
        </w:rPr>
      </w:pPr>
      <w:r w:rsidRPr="00F67503">
        <w:rPr>
          <w:rFonts w:eastAsia="宋体"/>
          <w:b/>
        </w:rPr>
        <w:t>Proposal 1: TCI state requirements apply to both UE types: UE with antenna array and UE with omni-direction antenna.</w:t>
      </w:r>
    </w:p>
    <w:p w14:paraId="4936EC9F" w14:textId="77777777" w:rsidR="00F67503" w:rsidRPr="00037600" w:rsidRDefault="00F67503" w:rsidP="00037600">
      <w:pPr>
        <w:jc w:val="both"/>
        <w:rPr>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67A1CD2B" w:rsidR="00B221C2" w:rsidRDefault="00B221C2" w:rsidP="00637A49">
      <w:pPr>
        <w:rPr>
          <w:rFonts w:eastAsiaTheme="minorEastAsia"/>
          <w:lang w:eastAsia="zh-CN"/>
        </w:rPr>
      </w:pPr>
      <w:bookmarkStart w:id="2" w:name="_Hlk131426048"/>
      <w:r>
        <w:rPr>
          <w:rFonts w:eastAsiaTheme="minorEastAsia"/>
          <w:lang w:eastAsia="zh-CN"/>
        </w:rPr>
        <w:t xml:space="preserve">[1] </w:t>
      </w:r>
      <w:r w:rsidR="0033684A" w:rsidRPr="0033684A">
        <w:rPr>
          <w:rFonts w:eastAsiaTheme="minorEastAsia"/>
          <w:lang w:eastAsia="zh-CN"/>
        </w:rPr>
        <w:t>R4-2321608</w:t>
      </w:r>
      <w:r w:rsidR="0033684A">
        <w:rPr>
          <w:rFonts w:eastAsiaTheme="minorEastAsia"/>
          <w:lang w:eastAsia="zh-CN"/>
        </w:rPr>
        <w:t xml:space="preserve"> </w:t>
      </w:r>
      <w:r w:rsidR="000B4FB5" w:rsidRPr="000B4FB5">
        <w:rPr>
          <w:rFonts w:eastAsiaTheme="minorEastAsia"/>
          <w:lang w:eastAsia="zh-CN"/>
        </w:rPr>
        <w:t>WF on NR ATG RRM requirements</w:t>
      </w:r>
    </w:p>
    <w:bookmarkEnd w:id="2"/>
    <w:p w14:paraId="4CBC55A2" w14:textId="77777777" w:rsidR="007E1DD2" w:rsidRPr="00AC17B5" w:rsidRDefault="007E1DD2">
      <w:pPr>
        <w:rPr>
          <w:rFonts w:eastAsiaTheme="minorEastAsia"/>
          <w:lang w:eastAsia="zh-CN"/>
        </w:rPr>
      </w:pPr>
    </w:p>
    <w:sectPr w:rsidR="007E1DD2"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1BFA5" w14:textId="77777777" w:rsidR="00F25F46" w:rsidRDefault="00F25F46">
      <w:pPr>
        <w:spacing w:after="0"/>
      </w:pPr>
      <w:r>
        <w:separator/>
      </w:r>
    </w:p>
  </w:endnote>
  <w:endnote w:type="continuationSeparator" w:id="0">
    <w:p w14:paraId="3E69DEC2" w14:textId="77777777" w:rsidR="00F25F46" w:rsidRDefault="00F25F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85DE4" w14:textId="77777777" w:rsidR="00F25F46" w:rsidRDefault="00F25F46">
      <w:pPr>
        <w:spacing w:after="0"/>
      </w:pPr>
      <w:r>
        <w:separator/>
      </w:r>
    </w:p>
  </w:footnote>
  <w:footnote w:type="continuationSeparator" w:id="0">
    <w:p w14:paraId="36CA25E1" w14:textId="77777777" w:rsidR="00F25F46" w:rsidRDefault="00F25F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657E76"/>
    <w:multiLevelType w:val="hybridMultilevel"/>
    <w:tmpl w:val="6C128B2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8FB6A45"/>
    <w:multiLevelType w:val="hybridMultilevel"/>
    <w:tmpl w:val="4E581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5" w15:restartNumberingAfterBreak="0">
    <w:nsid w:val="67091242"/>
    <w:multiLevelType w:val="hybridMultilevel"/>
    <w:tmpl w:val="55EA7D0E"/>
    <w:lvl w:ilvl="0" w:tplc="723CD7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04468"/>
    <w:multiLevelType w:val="hybridMultilevel"/>
    <w:tmpl w:val="04162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8"/>
  </w:num>
  <w:num w:numId="3">
    <w:abstractNumId w:val="19"/>
  </w:num>
  <w:num w:numId="4">
    <w:abstractNumId w:val="15"/>
  </w:num>
  <w:num w:numId="5">
    <w:abstractNumId w:val="16"/>
  </w:num>
  <w:num w:numId="6">
    <w:abstractNumId w:val="4"/>
  </w:num>
  <w:num w:numId="7">
    <w:abstractNumId w:val="2"/>
  </w:num>
  <w:num w:numId="8">
    <w:abstractNumId w:val="21"/>
  </w:num>
  <w:num w:numId="9">
    <w:abstractNumId w:val="10"/>
  </w:num>
  <w:num w:numId="10">
    <w:abstractNumId w:val="24"/>
  </w:num>
  <w:num w:numId="11">
    <w:abstractNumId w:val="29"/>
  </w:num>
  <w:num w:numId="12">
    <w:abstractNumId w:val="0"/>
  </w:num>
  <w:num w:numId="13">
    <w:abstractNumId w:val="6"/>
  </w:num>
  <w:num w:numId="14">
    <w:abstractNumId w:val="1"/>
  </w:num>
  <w:num w:numId="15">
    <w:abstractNumId w:val="27"/>
  </w:num>
  <w:num w:numId="16">
    <w:abstractNumId w:val="22"/>
  </w:num>
  <w:num w:numId="17">
    <w:abstractNumId w:val="13"/>
  </w:num>
  <w:num w:numId="18">
    <w:abstractNumId w:val="26"/>
  </w:num>
  <w:num w:numId="19">
    <w:abstractNumId w:val="14"/>
  </w:num>
  <w:num w:numId="20">
    <w:abstractNumId w:val="23"/>
  </w:num>
  <w:num w:numId="21">
    <w:abstractNumId w:val="8"/>
  </w:num>
  <w:num w:numId="22">
    <w:abstractNumId w:val="20"/>
  </w:num>
  <w:num w:numId="23">
    <w:abstractNumId w:val="30"/>
  </w:num>
  <w:num w:numId="24">
    <w:abstractNumId w:val="3"/>
  </w:num>
  <w:num w:numId="25">
    <w:abstractNumId w:val="12"/>
  </w:num>
  <w:num w:numId="26">
    <w:abstractNumId w:val="5"/>
  </w:num>
  <w:num w:numId="27">
    <w:abstractNumId w:val="18"/>
  </w:num>
  <w:num w:numId="28">
    <w:abstractNumId w:val="9"/>
  </w:num>
  <w:num w:numId="29">
    <w:abstractNumId w:val="25"/>
  </w:num>
  <w:num w:numId="30">
    <w:abstractNumId w:val="11"/>
  </w:num>
  <w:num w:numId="31">
    <w:abstractNumId w:val="7"/>
  </w:num>
  <w:num w:numId="32">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15BFC"/>
    <w:rsid w:val="00021717"/>
    <w:rsid w:val="00025036"/>
    <w:rsid w:val="00027AF7"/>
    <w:rsid w:val="0003406E"/>
    <w:rsid w:val="00034B30"/>
    <w:rsid w:val="00035B7C"/>
    <w:rsid w:val="00035D42"/>
    <w:rsid w:val="00037600"/>
    <w:rsid w:val="00040779"/>
    <w:rsid w:val="0004356B"/>
    <w:rsid w:val="0004558E"/>
    <w:rsid w:val="00046496"/>
    <w:rsid w:val="00046547"/>
    <w:rsid w:val="00053904"/>
    <w:rsid w:val="00055B5D"/>
    <w:rsid w:val="000578AF"/>
    <w:rsid w:val="000635C9"/>
    <w:rsid w:val="00063B55"/>
    <w:rsid w:val="00063E08"/>
    <w:rsid w:val="00066D98"/>
    <w:rsid w:val="000676A1"/>
    <w:rsid w:val="00067A48"/>
    <w:rsid w:val="00067B89"/>
    <w:rsid w:val="00071833"/>
    <w:rsid w:val="000731A5"/>
    <w:rsid w:val="00076C0A"/>
    <w:rsid w:val="00077D4B"/>
    <w:rsid w:val="0008165F"/>
    <w:rsid w:val="00086874"/>
    <w:rsid w:val="00087858"/>
    <w:rsid w:val="000903D2"/>
    <w:rsid w:val="00092907"/>
    <w:rsid w:val="00095431"/>
    <w:rsid w:val="00096503"/>
    <w:rsid w:val="000971F3"/>
    <w:rsid w:val="00097E39"/>
    <w:rsid w:val="000A0B33"/>
    <w:rsid w:val="000A12FD"/>
    <w:rsid w:val="000A16F5"/>
    <w:rsid w:val="000A1878"/>
    <w:rsid w:val="000A2ED7"/>
    <w:rsid w:val="000A4BCB"/>
    <w:rsid w:val="000A5097"/>
    <w:rsid w:val="000A7A19"/>
    <w:rsid w:val="000B0883"/>
    <w:rsid w:val="000B1439"/>
    <w:rsid w:val="000B15EC"/>
    <w:rsid w:val="000B2A9A"/>
    <w:rsid w:val="000B4FB5"/>
    <w:rsid w:val="000C2147"/>
    <w:rsid w:val="000C2641"/>
    <w:rsid w:val="000C3428"/>
    <w:rsid w:val="000C3708"/>
    <w:rsid w:val="000D0053"/>
    <w:rsid w:val="000D2930"/>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7EDD"/>
    <w:rsid w:val="001314A1"/>
    <w:rsid w:val="001328F2"/>
    <w:rsid w:val="00132B63"/>
    <w:rsid w:val="00133934"/>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992"/>
    <w:rsid w:val="0016691F"/>
    <w:rsid w:val="001734E7"/>
    <w:rsid w:val="00174EF2"/>
    <w:rsid w:val="00175B04"/>
    <w:rsid w:val="0017747E"/>
    <w:rsid w:val="0018314E"/>
    <w:rsid w:val="00184719"/>
    <w:rsid w:val="00184811"/>
    <w:rsid w:val="00186B3D"/>
    <w:rsid w:val="00187EB1"/>
    <w:rsid w:val="00191CB9"/>
    <w:rsid w:val="0019343D"/>
    <w:rsid w:val="00194432"/>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6CF4"/>
    <w:rsid w:val="0020000C"/>
    <w:rsid w:val="0020033A"/>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1BF2"/>
    <w:rsid w:val="00282D3C"/>
    <w:rsid w:val="00285F00"/>
    <w:rsid w:val="00287055"/>
    <w:rsid w:val="00290B5F"/>
    <w:rsid w:val="00294B79"/>
    <w:rsid w:val="00295C83"/>
    <w:rsid w:val="002978A7"/>
    <w:rsid w:val="002A0BB1"/>
    <w:rsid w:val="002A0F1F"/>
    <w:rsid w:val="002A1F07"/>
    <w:rsid w:val="002A235C"/>
    <w:rsid w:val="002A23E5"/>
    <w:rsid w:val="002A2EDB"/>
    <w:rsid w:val="002A2EF8"/>
    <w:rsid w:val="002A5E54"/>
    <w:rsid w:val="002A677B"/>
    <w:rsid w:val="002A68E7"/>
    <w:rsid w:val="002A6D92"/>
    <w:rsid w:val="002B05C8"/>
    <w:rsid w:val="002B1318"/>
    <w:rsid w:val="002B3AA3"/>
    <w:rsid w:val="002B45C3"/>
    <w:rsid w:val="002B5D5D"/>
    <w:rsid w:val="002B6FD5"/>
    <w:rsid w:val="002C2688"/>
    <w:rsid w:val="002C2693"/>
    <w:rsid w:val="002C33C3"/>
    <w:rsid w:val="002C3EF1"/>
    <w:rsid w:val="002C45D3"/>
    <w:rsid w:val="002C78B7"/>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84A"/>
    <w:rsid w:val="00336857"/>
    <w:rsid w:val="00336939"/>
    <w:rsid w:val="00337DCD"/>
    <w:rsid w:val="00341AD6"/>
    <w:rsid w:val="003422A4"/>
    <w:rsid w:val="0035144E"/>
    <w:rsid w:val="00352697"/>
    <w:rsid w:val="00353609"/>
    <w:rsid w:val="003548B1"/>
    <w:rsid w:val="003567C2"/>
    <w:rsid w:val="00356FB6"/>
    <w:rsid w:val="003622B2"/>
    <w:rsid w:val="00362F43"/>
    <w:rsid w:val="00363C96"/>
    <w:rsid w:val="003664ED"/>
    <w:rsid w:val="00367552"/>
    <w:rsid w:val="00374751"/>
    <w:rsid w:val="00376522"/>
    <w:rsid w:val="003765FB"/>
    <w:rsid w:val="00377D59"/>
    <w:rsid w:val="0038131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70E8"/>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1CE4"/>
    <w:rsid w:val="00411911"/>
    <w:rsid w:val="00412C4D"/>
    <w:rsid w:val="00415933"/>
    <w:rsid w:val="00420459"/>
    <w:rsid w:val="00423683"/>
    <w:rsid w:val="00423FB0"/>
    <w:rsid w:val="00425CA6"/>
    <w:rsid w:val="004273E7"/>
    <w:rsid w:val="00427AAF"/>
    <w:rsid w:val="00430F24"/>
    <w:rsid w:val="00433560"/>
    <w:rsid w:val="00435D65"/>
    <w:rsid w:val="00435EBD"/>
    <w:rsid w:val="0043678E"/>
    <w:rsid w:val="00451B80"/>
    <w:rsid w:val="0045581F"/>
    <w:rsid w:val="00455FD0"/>
    <w:rsid w:val="004569BB"/>
    <w:rsid w:val="00463743"/>
    <w:rsid w:val="00466D02"/>
    <w:rsid w:val="00471E01"/>
    <w:rsid w:val="00473815"/>
    <w:rsid w:val="004753AC"/>
    <w:rsid w:val="00477263"/>
    <w:rsid w:val="004800B2"/>
    <w:rsid w:val="00485549"/>
    <w:rsid w:val="00485B29"/>
    <w:rsid w:val="00485D88"/>
    <w:rsid w:val="00493850"/>
    <w:rsid w:val="00494BF2"/>
    <w:rsid w:val="0049501A"/>
    <w:rsid w:val="004A0F19"/>
    <w:rsid w:val="004A29B2"/>
    <w:rsid w:val="004A40D0"/>
    <w:rsid w:val="004A4DC4"/>
    <w:rsid w:val="004A678E"/>
    <w:rsid w:val="004A7CF2"/>
    <w:rsid w:val="004A7F44"/>
    <w:rsid w:val="004B01A6"/>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0B14"/>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2C11"/>
    <w:rsid w:val="00554525"/>
    <w:rsid w:val="005546D8"/>
    <w:rsid w:val="00554728"/>
    <w:rsid w:val="005567E5"/>
    <w:rsid w:val="00556A51"/>
    <w:rsid w:val="00557527"/>
    <w:rsid w:val="00561171"/>
    <w:rsid w:val="0056748A"/>
    <w:rsid w:val="00571CD2"/>
    <w:rsid w:val="00573C6F"/>
    <w:rsid w:val="00575156"/>
    <w:rsid w:val="005755A4"/>
    <w:rsid w:val="005763DF"/>
    <w:rsid w:val="00576E1C"/>
    <w:rsid w:val="00582652"/>
    <w:rsid w:val="005906DB"/>
    <w:rsid w:val="005A2A55"/>
    <w:rsid w:val="005A2C70"/>
    <w:rsid w:val="005A456B"/>
    <w:rsid w:val="005A59E0"/>
    <w:rsid w:val="005A6C6C"/>
    <w:rsid w:val="005A6EF7"/>
    <w:rsid w:val="005B0D68"/>
    <w:rsid w:val="005B1B37"/>
    <w:rsid w:val="005B1E97"/>
    <w:rsid w:val="005B6053"/>
    <w:rsid w:val="005C337F"/>
    <w:rsid w:val="005C64C1"/>
    <w:rsid w:val="005D15A2"/>
    <w:rsid w:val="005D1EA8"/>
    <w:rsid w:val="005D231A"/>
    <w:rsid w:val="005D34FC"/>
    <w:rsid w:val="005D3DC0"/>
    <w:rsid w:val="005D4AB0"/>
    <w:rsid w:val="005D66B9"/>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6123"/>
    <w:rsid w:val="0061679F"/>
    <w:rsid w:val="00622EBC"/>
    <w:rsid w:val="00622FBA"/>
    <w:rsid w:val="00625728"/>
    <w:rsid w:val="00635564"/>
    <w:rsid w:val="00637A49"/>
    <w:rsid w:val="006420CE"/>
    <w:rsid w:val="00651B4A"/>
    <w:rsid w:val="006538FE"/>
    <w:rsid w:val="006539F1"/>
    <w:rsid w:val="0065634B"/>
    <w:rsid w:val="006617B8"/>
    <w:rsid w:val="0066186B"/>
    <w:rsid w:val="00661AFF"/>
    <w:rsid w:val="00664D04"/>
    <w:rsid w:val="00671047"/>
    <w:rsid w:val="0067134A"/>
    <w:rsid w:val="0067220D"/>
    <w:rsid w:val="00672FCE"/>
    <w:rsid w:val="006769A2"/>
    <w:rsid w:val="006770FF"/>
    <w:rsid w:val="00677991"/>
    <w:rsid w:val="00681F59"/>
    <w:rsid w:val="00685908"/>
    <w:rsid w:val="0068610B"/>
    <w:rsid w:val="006901CA"/>
    <w:rsid w:val="006916D6"/>
    <w:rsid w:val="00696A74"/>
    <w:rsid w:val="006A1B1F"/>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3F12"/>
    <w:rsid w:val="00734B34"/>
    <w:rsid w:val="00736D84"/>
    <w:rsid w:val="007405BE"/>
    <w:rsid w:val="00744C8A"/>
    <w:rsid w:val="00745078"/>
    <w:rsid w:val="007469EA"/>
    <w:rsid w:val="00747C34"/>
    <w:rsid w:val="00751E52"/>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C7B39"/>
    <w:rsid w:val="007D0DF7"/>
    <w:rsid w:val="007D20ED"/>
    <w:rsid w:val="007D2DFC"/>
    <w:rsid w:val="007D3409"/>
    <w:rsid w:val="007D53F7"/>
    <w:rsid w:val="007D58F5"/>
    <w:rsid w:val="007D7594"/>
    <w:rsid w:val="007E1DD2"/>
    <w:rsid w:val="007E2057"/>
    <w:rsid w:val="007E2E8A"/>
    <w:rsid w:val="007E423D"/>
    <w:rsid w:val="007E5F97"/>
    <w:rsid w:val="007E62E3"/>
    <w:rsid w:val="007E67EC"/>
    <w:rsid w:val="007F045C"/>
    <w:rsid w:val="007F2371"/>
    <w:rsid w:val="007F2E6A"/>
    <w:rsid w:val="007F7393"/>
    <w:rsid w:val="007F7CA2"/>
    <w:rsid w:val="007F7E14"/>
    <w:rsid w:val="008001CA"/>
    <w:rsid w:val="00801EB4"/>
    <w:rsid w:val="00804945"/>
    <w:rsid w:val="00806D16"/>
    <w:rsid w:val="00807F39"/>
    <w:rsid w:val="00813A56"/>
    <w:rsid w:val="00814B83"/>
    <w:rsid w:val="008176F7"/>
    <w:rsid w:val="0082014F"/>
    <w:rsid w:val="00821B76"/>
    <w:rsid w:val="008239D9"/>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71E"/>
    <w:rsid w:val="00874D51"/>
    <w:rsid w:val="008766C3"/>
    <w:rsid w:val="00882247"/>
    <w:rsid w:val="00882525"/>
    <w:rsid w:val="00883DD5"/>
    <w:rsid w:val="00885469"/>
    <w:rsid w:val="008921D4"/>
    <w:rsid w:val="008924AB"/>
    <w:rsid w:val="00892EAE"/>
    <w:rsid w:val="00893C66"/>
    <w:rsid w:val="00894FFF"/>
    <w:rsid w:val="00895188"/>
    <w:rsid w:val="00895225"/>
    <w:rsid w:val="008A1C4E"/>
    <w:rsid w:val="008A2B76"/>
    <w:rsid w:val="008A4FA1"/>
    <w:rsid w:val="008B3970"/>
    <w:rsid w:val="008B4408"/>
    <w:rsid w:val="008B4540"/>
    <w:rsid w:val="008B4A2C"/>
    <w:rsid w:val="008B4F73"/>
    <w:rsid w:val="008B54D6"/>
    <w:rsid w:val="008B7660"/>
    <w:rsid w:val="008C31D2"/>
    <w:rsid w:val="008C398B"/>
    <w:rsid w:val="008C7AA4"/>
    <w:rsid w:val="008D2D3D"/>
    <w:rsid w:val="008D55C5"/>
    <w:rsid w:val="008E2591"/>
    <w:rsid w:val="008E446A"/>
    <w:rsid w:val="008E4FF3"/>
    <w:rsid w:val="008E5C09"/>
    <w:rsid w:val="008E79C6"/>
    <w:rsid w:val="008E7BEF"/>
    <w:rsid w:val="008F368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33B5"/>
    <w:rsid w:val="00934E4B"/>
    <w:rsid w:val="009424B9"/>
    <w:rsid w:val="009450D8"/>
    <w:rsid w:val="00946BF6"/>
    <w:rsid w:val="009524AD"/>
    <w:rsid w:val="00953C87"/>
    <w:rsid w:val="00955634"/>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023"/>
    <w:rsid w:val="009E589D"/>
    <w:rsid w:val="009E6763"/>
    <w:rsid w:val="009E6DC8"/>
    <w:rsid w:val="009E7810"/>
    <w:rsid w:val="009F197E"/>
    <w:rsid w:val="009F583E"/>
    <w:rsid w:val="009F7F10"/>
    <w:rsid w:val="00A00597"/>
    <w:rsid w:val="00A0093B"/>
    <w:rsid w:val="00A0192C"/>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43610"/>
    <w:rsid w:val="00A4365F"/>
    <w:rsid w:val="00A54AE8"/>
    <w:rsid w:val="00A558AB"/>
    <w:rsid w:val="00A612F9"/>
    <w:rsid w:val="00A63AF5"/>
    <w:rsid w:val="00A657C7"/>
    <w:rsid w:val="00A725EA"/>
    <w:rsid w:val="00A74DCD"/>
    <w:rsid w:val="00A76175"/>
    <w:rsid w:val="00A7739E"/>
    <w:rsid w:val="00A777D8"/>
    <w:rsid w:val="00A848D0"/>
    <w:rsid w:val="00A85287"/>
    <w:rsid w:val="00A85781"/>
    <w:rsid w:val="00A86270"/>
    <w:rsid w:val="00A87084"/>
    <w:rsid w:val="00A93BF2"/>
    <w:rsid w:val="00A93E0D"/>
    <w:rsid w:val="00A97D55"/>
    <w:rsid w:val="00AA0886"/>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0A5E"/>
    <w:rsid w:val="00AF0A96"/>
    <w:rsid w:val="00AF2875"/>
    <w:rsid w:val="00AF5966"/>
    <w:rsid w:val="00B00EDB"/>
    <w:rsid w:val="00B02A13"/>
    <w:rsid w:val="00B0495D"/>
    <w:rsid w:val="00B07979"/>
    <w:rsid w:val="00B10C6E"/>
    <w:rsid w:val="00B1210E"/>
    <w:rsid w:val="00B1402B"/>
    <w:rsid w:val="00B154EE"/>
    <w:rsid w:val="00B22016"/>
    <w:rsid w:val="00B221C2"/>
    <w:rsid w:val="00B22563"/>
    <w:rsid w:val="00B23292"/>
    <w:rsid w:val="00B24CE8"/>
    <w:rsid w:val="00B26D02"/>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1AB5"/>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7AB"/>
    <w:rsid w:val="00BD0D7C"/>
    <w:rsid w:val="00BD13CF"/>
    <w:rsid w:val="00BD2AB1"/>
    <w:rsid w:val="00BD3A7F"/>
    <w:rsid w:val="00BD4275"/>
    <w:rsid w:val="00BD5170"/>
    <w:rsid w:val="00BE0530"/>
    <w:rsid w:val="00BE09C1"/>
    <w:rsid w:val="00BE194F"/>
    <w:rsid w:val="00BE197F"/>
    <w:rsid w:val="00BE1FD4"/>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A1729"/>
    <w:rsid w:val="00CA17E1"/>
    <w:rsid w:val="00CA1984"/>
    <w:rsid w:val="00CA1DAE"/>
    <w:rsid w:val="00CA234E"/>
    <w:rsid w:val="00CA2793"/>
    <w:rsid w:val="00CA4BFC"/>
    <w:rsid w:val="00CA7429"/>
    <w:rsid w:val="00CB0BE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2AE0"/>
    <w:rsid w:val="00D73373"/>
    <w:rsid w:val="00D74CA3"/>
    <w:rsid w:val="00D76666"/>
    <w:rsid w:val="00D828E1"/>
    <w:rsid w:val="00D8441F"/>
    <w:rsid w:val="00D850B9"/>
    <w:rsid w:val="00D92094"/>
    <w:rsid w:val="00D94E39"/>
    <w:rsid w:val="00D9789C"/>
    <w:rsid w:val="00DA2AEF"/>
    <w:rsid w:val="00DA7CE8"/>
    <w:rsid w:val="00DB10D2"/>
    <w:rsid w:val="00DB1DD4"/>
    <w:rsid w:val="00DB61B3"/>
    <w:rsid w:val="00DC3E47"/>
    <w:rsid w:val="00DC49A6"/>
    <w:rsid w:val="00DD0915"/>
    <w:rsid w:val="00DD1DFF"/>
    <w:rsid w:val="00DD33CF"/>
    <w:rsid w:val="00DE2EAB"/>
    <w:rsid w:val="00DE3896"/>
    <w:rsid w:val="00DE4435"/>
    <w:rsid w:val="00DF0231"/>
    <w:rsid w:val="00DF348D"/>
    <w:rsid w:val="00DF6E96"/>
    <w:rsid w:val="00E00899"/>
    <w:rsid w:val="00E008C7"/>
    <w:rsid w:val="00E035EA"/>
    <w:rsid w:val="00E04C43"/>
    <w:rsid w:val="00E11FA9"/>
    <w:rsid w:val="00E13E91"/>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243"/>
    <w:rsid w:val="00E406F2"/>
    <w:rsid w:val="00E41266"/>
    <w:rsid w:val="00E415BA"/>
    <w:rsid w:val="00E42C77"/>
    <w:rsid w:val="00E45AEB"/>
    <w:rsid w:val="00E470EC"/>
    <w:rsid w:val="00E5666B"/>
    <w:rsid w:val="00E577DD"/>
    <w:rsid w:val="00E60458"/>
    <w:rsid w:val="00E60540"/>
    <w:rsid w:val="00E60952"/>
    <w:rsid w:val="00E64AF8"/>
    <w:rsid w:val="00E706B8"/>
    <w:rsid w:val="00E72064"/>
    <w:rsid w:val="00E76A71"/>
    <w:rsid w:val="00E82ED7"/>
    <w:rsid w:val="00E83483"/>
    <w:rsid w:val="00E85BF2"/>
    <w:rsid w:val="00E91110"/>
    <w:rsid w:val="00E9184C"/>
    <w:rsid w:val="00E91E42"/>
    <w:rsid w:val="00E92AA7"/>
    <w:rsid w:val="00E94DD3"/>
    <w:rsid w:val="00EA127D"/>
    <w:rsid w:val="00EA2254"/>
    <w:rsid w:val="00EA49BA"/>
    <w:rsid w:val="00EA4E79"/>
    <w:rsid w:val="00EA5149"/>
    <w:rsid w:val="00EA5F3B"/>
    <w:rsid w:val="00EB02DF"/>
    <w:rsid w:val="00EB2795"/>
    <w:rsid w:val="00EB7895"/>
    <w:rsid w:val="00EC42A1"/>
    <w:rsid w:val="00EC7E66"/>
    <w:rsid w:val="00ED06AD"/>
    <w:rsid w:val="00ED06E2"/>
    <w:rsid w:val="00EE0C42"/>
    <w:rsid w:val="00EE1CF7"/>
    <w:rsid w:val="00EE22BF"/>
    <w:rsid w:val="00EE6F45"/>
    <w:rsid w:val="00EF0E38"/>
    <w:rsid w:val="00EF0E4A"/>
    <w:rsid w:val="00EF2DE4"/>
    <w:rsid w:val="00EF342C"/>
    <w:rsid w:val="00EF6165"/>
    <w:rsid w:val="00EF653C"/>
    <w:rsid w:val="00EF66B2"/>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5F46"/>
    <w:rsid w:val="00F27688"/>
    <w:rsid w:val="00F303F4"/>
    <w:rsid w:val="00F31FA7"/>
    <w:rsid w:val="00F33D01"/>
    <w:rsid w:val="00F34526"/>
    <w:rsid w:val="00F3511E"/>
    <w:rsid w:val="00F40DB6"/>
    <w:rsid w:val="00F413E7"/>
    <w:rsid w:val="00F42BFC"/>
    <w:rsid w:val="00F45711"/>
    <w:rsid w:val="00F4766A"/>
    <w:rsid w:val="00F52FBD"/>
    <w:rsid w:val="00F52FE8"/>
    <w:rsid w:val="00F543C6"/>
    <w:rsid w:val="00F559F3"/>
    <w:rsid w:val="00F5790A"/>
    <w:rsid w:val="00F608B2"/>
    <w:rsid w:val="00F609CD"/>
    <w:rsid w:val="00F61DAD"/>
    <w:rsid w:val="00F628EA"/>
    <w:rsid w:val="00F66108"/>
    <w:rsid w:val="00F663BC"/>
    <w:rsid w:val="00F67503"/>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D1CDD"/>
    <w:rsid w:val="00FD406F"/>
    <w:rsid w:val="00FD518E"/>
    <w:rsid w:val="00FD53F1"/>
    <w:rsid w:val="00FD7EED"/>
    <w:rsid w:val="00FE0CB7"/>
    <w:rsid w:val="00FE1A35"/>
    <w:rsid w:val="00FE2B35"/>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E198E66F-B4B4-4473-97A9-B92EAE679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33934"/>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133934"/>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6903E-D3FA-4F17-BD2D-CFAA91277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10096</TotalTime>
  <Pages>2</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cp:revision>
  <dcterms:created xsi:type="dcterms:W3CDTF">2022-09-19T08:46:00Z</dcterms:created>
  <dcterms:modified xsi:type="dcterms:W3CDTF">2024-02-19T08:14:00Z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(3)V38DKy544zYaiRUV19lcZ2BPsOnHbpEumgJuavj4K/MtjMHJ4ERWnHnX7Fa+PzfCMzA93tMs
hBu5RwX9FLdqk0b8zNetGvesC4gnfIyUxXktS/A7/mblHW3TqF7DCRlGE8s/Tqd5ln5lAEhC
xqZhvaa5gVQkp7tVG9F8OLYjTVWydnrpsRiYFLxkrOvGFPK+fKR8fw65f1Zx0Ncf+jq7m2+d
NVT6eXiEC04gFPwCq1</vt:lpwstr>
  </property>
  <property fmtid="{D5CDD505-2E9C-101B-9397-08002B2CF9AE}" pid="3" name="_2015_ms_pID_7253431">
    <vt:lpwstr>mqIRZzf6vRbC3Sycv/PEe56j2siptSn7HH3WGrfzMdKdWFnxI9rmKu
VhiLcS4sMnLvnFu0YSmbdwobvwaJN+V4FK3F8PraLjKSrghH1t/DSJHfzFZTw/mH94hRz1bR
FzZucwzIq4cR7xkFxVvFrCiq/ee7OwpE3r0/JnAGQBX+fR8AnmjJFqbeavc0xtF51vJ8W/wW
S2L05/kQfcDw0C8erzGyZkGZmOrB2aLyBCdb</vt:lpwstr>
  </property>
  <property fmtid="{D5CDD505-2E9C-101B-9397-08002B2CF9AE}" pid="4" name="_2015_ms_pID_7253432">
    <vt:lpwst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1707386572</vt:lpwstr>
  </property>
</Properties>
</file>