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781"/>
          <w:tab w:val="right" w:pos="13323"/>
        </w:tabs>
        <w:spacing w:before="60" w:after="60"/>
        <w:outlineLvl w:val="0"/>
        <w:rPr>
          <w:rFonts w:hint="default" w:ascii="Arial" w:hAnsi="Arial" w:eastAsia="宋体" w:cs="Arial"/>
          <w:b/>
          <w:sz w:val="24"/>
          <w:szCs w:val="24"/>
          <w:lang w:val="en-US" w:eastAsia="zh-CN" w:bidi="ar-SA"/>
        </w:rPr>
      </w:pPr>
      <w:bookmarkStart w:id="0" w:name="Title"/>
      <w:bookmarkEnd w:id="0"/>
      <w:bookmarkStart w:id="1" w:name="DocumentFor"/>
      <w:bookmarkEnd w:id="1"/>
      <w:r>
        <w:rPr>
          <w:rFonts w:ascii="Arial" w:hAnsi="Arial" w:eastAsia="宋体" w:cs="Arial"/>
          <w:b/>
          <w:sz w:val="24"/>
          <w:szCs w:val="24"/>
          <w:lang w:val="en-GB" w:eastAsia="zh-CN" w:bidi="ar-SA"/>
        </w:rPr>
        <w:t>3GPP TSG-RAN WG4 Meeting #110</w:t>
      </w:r>
      <w:r>
        <w:rPr>
          <w:rFonts w:hint="eastAsia" w:ascii="Arial" w:hAnsi="Arial" w:eastAsia="宋体" w:cs="Arial"/>
          <w:b/>
          <w:sz w:val="24"/>
          <w:szCs w:val="24"/>
          <w:lang w:val="en-US" w:eastAsia="zh-CN" w:bidi="ar-SA"/>
        </w:rPr>
        <w:t xml:space="preserve">                                     </w:t>
      </w:r>
      <w:r>
        <w:rPr>
          <w:rFonts w:hint="eastAsia" w:ascii="Arial" w:hAnsi="Arial" w:eastAsia="宋体" w:cs="Arial"/>
          <w:b/>
          <w:sz w:val="24"/>
          <w:szCs w:val="24"/>
          <w:lang w:val="en-GB" w:eastAsia="zh-CN" w:bidi="ar-SA"/>
        </w:rPr>
        <w:t>R4-2400822</w:t>
      </w:r>
    </w:p>
    <w:p>
      <w:pPr>
        <w:widowControl w:val="0"/>
        <w:tabs>
          <w:tab w:val="right" w:pos="9781"/>
          <w:tab w:val="right" w:pos="13323"/>
        </w:tabs>
        <w:spacing w:before="60" w:after="60"/>
        <w:outlineLvl w:val="0"/>
        <w:rPr>
          <w:rFonts w:ascii="Arial" w:hAnsi="Arial" w:eastAsia="宋体" w:cs="Arial"/>
          <w:b/>
          <w:sz w:val="24"/>
          <w:szCs w:val="24"/>
          <w:lang w:val="en-GB" w:eastAsia="zh-CN" w:bidi="ar-SA"/>
        </w:rPr>
      </w:pPr>
      <w:r>
        <w:rPr>
          <w:rFonts w:ascii="Arial" w:hAnsi="Arial" w:eastAsia="宋体" w:cs="Arial"/>
          <w:b/>
          <w:sz w:val="24"/>
          <w:szCs w:val="24"/>
          <w:lang w:val="en-GB" w:eastAsia="zh-CN" w:bidi="ar-SA"/>
        </w:rPr>
        <w:t>Athens, GR, 26 Feb – 01 Mar,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6.3.1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receiver requirements for 2Rx non-REDCAP XR device</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numPr>
          <w:ilvl w:val="0"/>
          <w:numId w:val="0"/>
        </w:numPr>
        <w:spacing w:after="180"/>
        <w:ind w:leftChars="0"/>
        <w:rPr>
          <w:rFonts w:ascii="Times New Roman" w:hAnsi="Times New Roman"/>
          <w:sz w:val="20"/>
        </w:rPr>
      </w:pPr>
      <w:r>
        <w:rPr>
          <w:rFonts w:hint="eastAsia" w:ascii="Times New Roman" w:hAnsi="Times New Roman" w:cs="Times New Roman"/>
          <w:b w:val="0"/>
          <w:bCs w:val="0"/>
          <w:sz w:val="20"/>
          <w:szCs w:val="20"/>
          <w:lang w:val="en-US" w:eastAsia="zh-CN"/>
        </w:rPr>
        <w:t xml:space="preserve">In RAN #101 and #102 meetings, following WF was approved to progress matters on 2Rx XR devices, </w:t>
      </w:r>
      <w: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0" w:line="280" w:lineRule="atLeast"/>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RP-232657</w:t>
            </w:r>
          </w:p>
          <w:p>
            <w:pPr>
              <w:spacing w:before="120" w:after="0" w:line="280" w:lineRule="atLeast"/>
              <w:rPr>
                <w:rFonts w:hint="default" w:ascii="Times New Roman" w:hAnsi="Times New Roman" w:cs="Times New Roman"/>
                <w:sz w:val="20"/>
                <w:szCs w:val="20"/>
              </w:rPr>
            </w:pPr>
            <w:r>
              <w:rPr>
                <w:rFonts w:hint="default" w:ascii="Times New Roman" w:hAnsi="Times New Roman" w:cs="Times New Roman"/>
                <w:b/>
                <w:bCs/>
                <w:sz w:val="20"/>
                <w:szCs w:val="20"/>
                <w:u w:val="single"/>
              </w:rPr>
              <w:t>Proposed resolution for Step-1</w:t>
            </w:r>
            <w:r>
              <w:rPr>
                <w:rFonts w:hint="default" w:ascii="Times New Roman" w:hAnsi="Times New Roman" w:cs="Times New Roman"/>
                <w:sz w:val="20"/>
                <w:szCs w:val="20"/>
              </w:rPr>
              <w:t xml:space="preserve"> for the purpose of continuing discussions to Step-2:</w:t>
            </w:r>
          </w:p>
          <w:p>
            <w:pPr>
              <w:pStyle w:val="25"/>
              <w:numPr>
                <w:ilvl w:val="0"/>
                <w:numId w:val="1"/>
              </w:numPr>
              <w:spacing w:before="120" w:after="0" w:line="280" w:lineRule="atLeast"/>
              <w:rPr>
                <w:rFonts w:hint="default" w:ascii="Times New Roman" w:hAnsi="Times New Roman" w:cs="Times New Roman"/>
                <w:i/>
                <w:iCs/>
                <w:color w:val="212121"/>
                <w:sz w:val="20"/>
                <w:szCs w:val="20"/>
              </w:rPr>
            </w:pPr>
            <w:r>
              <w:rPr>
                <w:rFonts w:hint="default" w:ascii="Times New Roman" w:hAnsi="Times New Roman" w:cs="Times New Roman"/>
                <w:i/>
                <w:iCs/>
                <w:sz w:val="20"/>
                <w:szCs w:val="20"/>
              </w:rPr>
              <w:t xml:space="preserve">Handheld </w:t>
            </w:r>
            <w:r>
              <w:rPr>
                <w:rFonts w:hint="eastAsia" w:ascii="Times New Roman" w:hAnsi="Times New Roman" w:cs="Times New Roman"/>
                <w:i/>
                <w:iCs/>
                <w:sz w:val="20"/>
                <w:szCs w:val="20"/>
                <w:lang w:eastAsia="zh-CN"/>
              </w:rPr>
              <w:t>handheld</w:t>
            </w:r>
            <w:r>
              <w:rPr>
                <w:rFonts w:hint="default" w:ascii="Times New Roman" w:hAnsi="Times New Roman" w:cs="Times New Roman"/>
                <w:i/>
                <w:iCs/>
                <w:sz w:val="20"/>
                <w:szCs w:val="20"/>
              </w:rPr>
              <w:t xml:space="preserve"> UEs are excluded from any 2Rx relaxation for XR wearables.</w:t>
            </w:r>
          </w:p>
          <w:p>
            <w:pPr>
              <w:pStyle w:val="25"/>
              <w:spacing w:before="120" w:after="0" w:line="280" w:lineRule="atLeast"/>
              <w:rPr>
                <w:rFonts w:hint="default" w:ascii="Times New Roman" w:hAnsi="Times New Roman" w:cs="Times New Roman"/>
                <w:i/>
                <w:iCs/>
                <w:color w:val="212121"/>
                <w:sz w:val="20"/>
                <w:szCs w:val="20"/>
              </w:rPr>
            </w:pPr>
            <w:r>
              <w:rPr>
                <w:rFonts w:hint="default" w:ascii="Times New Roman" w:hAnsi="Times New Roman" w:cs="Times New Roman"/>
                <w:i/>
                <w:iCs/>
                <w:color w:val="212121"/>
                <w:sz w:val="20"/>
                <w:szCs w:val="20"/>
              </w:rPr>
              <w:t>The default for non-RedCap XR-wearable UEs is 4Rx (for frequency bands where 4Rx is mandated).</w:t>
            </w:r>
          </w:p>
          <w:p>
            <w:pPr>
              <w:pStyle w:val="25"/>
              <w:spacing w:before="120" w:after="0" w:line="280" w:lineRule="atLeast"/>
              <w:rPr>
                <w:rFonts w:hint="default" w:ascii="Times New Roman" w:hAnsi="Times New Roman" w:cs="Times New Roman"/>
                <w:i/>
                <w:iCs/>
                <w:color w:val="212121"/>
                <w:sz w:val="20"/>
                <w:szCs w:val="20"/>
              </w:rPr>
            </w:pPr>
            <w:r>
              <w:rPr>
                <w:rFonts w:hint="default" w:ascii="Times New Roman" w:hAnsi="Times New Roman" w:cs="Times New Roman"/>
                <w:i/>
                <w:iCs/>
                <w:color w:val="212121"/>
                <w:sz w:val="20"/>
                <w:szCs w:val="20"/>
              </w:rPr>
              <w:t xml:space="preserve">A non-RedCap XR-wearable UE can be considered for 2Rx relaxation (for frequency bands where 4Rx is mandated) if and only if: </w:t>
            </w:r>
          </w:p>
          <w:p>
            <w:pPr>
              <w:pStyle w:val="25"/>
              <w:numPr>
                <w:ilvl w:val="0"/>
                <w:numId w:val="2"/>
              </w:numPr>
              <w:spacing w:before="120" w:after="0" w:line="280" w:lineRule="atLeast"/>
              <w:rPr>
                <w:rFonts w:hint="default" w:ascii="Times New Roman" w:hAnsi="Times New Roman" w:cs="Times New Roman"/>
                <w:i/>
                <w:iCs/>
                <w:color w:val="212121"/>
                <w:sz w:val="20"/>
                <w:szCs w:val="20"/>
              </w:rPr>
            </w:pPr>
            <w:r>
              <w:rPr>
                <w:rFonts w:hint="default" w:ascii="Times New Roman" w:hAnsi="Times New Roman" w:cs="Times New Roman"/>
                <w:i/>
                <w:iCs/>
                <w:color w:val="212121"/>
                <w:sz w:val="20"/>
                <w:szCs w:val="20"/>
              </w:rPr>
              <w:t>Intended to be worn on the human head;</w:t>
            </w:r>
          </w:p>
          <w:p>
            <w:pPr>
              <w:pStyle w:val="25"/>
              <w:numPr>
                <w:ilvl w:val="0"/>
                <w:numId w:val="2"/>
              </w:numPr>
              <w:spacing w:before="120" w:after="0" w:line="280" w:lineRule="atLeast"/>
              <w:rPr>
                <w:rFonts w:hint="default" w:ascii="Times New Roman" w:hAnsi="Times New Roman" w:cs="Times New Roman"/>
                <w:sz w:val="20"/>
                <w:szCs w:val="20"/>
              </w:rPr>
            </w:pPr>
            <w:r>
              <w:rPr>
                <w:rFonts w:hint="default" w:ascii="Times New Roman" w:hAnsi="Times New Roman" w:cs="Times New Roman"/>
                <w:i/>
                <w:iCs/>
                <w:color w:val="212121"/>
                <w:sz w:val="20"/>
                <w:szCs w:val="20"/>
              </w:rPr>
              <w:t xml:space="preserve">When in use, is intended to be supported only by/behind the ears and by a nose-bridge resulting in a constrained form factor with limited volume available for Rx chains;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5"/>
              <w:keepNext w:val="0"/>
              <w:keepLines w:val="0"/>
              <w:pageBreakBefore w:val="0"/>
              <w:widowControl w:val="0"/>
              <w:numPr>
                <w:ilvl w:val="0"/>
                <w:numId w:val="0"/>
              </w:numPr>
              <w:kinsoku/>
              <w:wordWrap/>
              <w:overflowPunct/>
              <w:topLinePunct w:val="0"/>
              <w:autoSpaceDE/>
              <w:autoSpaceDN/>
              <w:bidi w:val="0"/>
              <w:adjustRightInd/>
              <w:snapToGrid/>
              <w:spacing w:before="120" w:line="280" w:lineRule="atLeast"/>
              <w:ind w:leftChars="0"/>
              <w:textAlignment w:val="auto"/>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RP-234015</w:t>
            </w:r>
          </w:p>
          <w:p>
            <w:pPr>
              <w:pStyle w:val="25"/>
              <w:keepNext w:val="0"/>
              <w:keepLines w:val="0"/>
              <w:pageBreakBefore w:val="0"/>
              <w:widowControl w:val="0"/>
              <w:numPr>
                <w:ilvl w:val="0"/>
                <w:numId w:val="3"/>
              </w:numPr>
              <w:kinsoku/>
              <w:wordWrap/>
              <w:overflowPunct/>
              <w:topLinePunct w:val="0"/>
              <w:autoSpaceDE/>
              <w:autoSpaceDN/>
              <w:bidi w:val="0"/>
              <w:adjustRightInd/>
              <w:snapToGrid/>
              <w:spacing w:before="120" w:line="280" w:lineRule="atLeast"/>
              <w:ind w:left="0" w:firstLine="0" w:firstLineChars="0"/>
              <w:textAlignment w:val="auto"/>
              <w:rPr>
                <w:rFonts w:hint="default" w:ascii="Times New Roman" w:hAnsi="Times New Roman" w:cs="Times New Roman"/>
                <w:sz w:val="20"/>
                <w:szCs w:val="20"/>
              </w:rPr>
            </w:pPr>
            <w:r>
              <w:rPr>
                <w:rFonts w:hint="default" w:ascii="Times New Roman" w:hAnsi="Times New Roman" w:cs="Times New Roman"/>
                <w:b/>
                <w:bCs/>
                <w:sz w:val="20"/>
                <w:szCs w:val="20"/>
                <w:u w:val="single"/>
              </w:rPr>
              <w:t>Task RAN4</w:t>
            </w:r>
            <w:r>
              <w:rPr>
                <w:rFonts w:hint="default" w:ascii="Times New Roman" w:hAnsi="Times New Roman" w:cs="Times New Roman"/>
                <w:sz w:val="20"/>
                <w:szCs w:val="20"/>
              </w:rPr>
              <w:t xml:space="preserve"> to develop Release-18 draft CR(s) to RAN#103 for ‘2Rx non-REDCAP XR devices’:</w:t>
            </w:r>
          </w:p>
          <w:p>
            <w:pPr>
              <w:pStyle w:val="25"/>
              <w:keepNext w:val="0"/>
              <w:keepLines w:val="0"/>
              <w:pageBreakBefore w:val="0"/>
              <w:widowControl w:val="0"/>
              <w:numPr>
                <w:ilvl w:val="0"/>
                <w:numId w:val="4"/>
              </w:numPr>
              <w:kinsoku/>
              <w:wordWrap/>
              <w:overflowPunct/>
              <w:topLinePunct w:val="0"/>
              <w:autoSpaceDE/>
              <w:autoSpaceDN/>
              <w:bidi w:val="0"/>
              <w:adjustRightInd/>
              <w:snapToGrid/>
              <w:spacing w:before="120" w:line="280" w:lineRule="atLeast"/>
              <w:ind w:left="0" w:firstLine="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Capture the definition of 2Rx non-REDCAP XR devices in [38.101-1] using the definition from RAN#101 (c.f. RP-232657)</w:t>
            </w:r>
          </w:p>
          <w:p>
            <w:pPr>
              <w:pStyle w:val="25"/>
              <w:keepNext w:val="0"/>
              <w:keepLines w:val="0"/>
              <w:pageBreakBefore w:val="0"/>
              <w:widowControl w:val="0"/>
              <w:numPr>
                <w:ilvl w:val="0"/>
                <w:numId w:val="4"/>
              </w:numPr>
              <w:kinsoku/>
              <w:wordWrap/>
              <w:overflowPunct/>
              <w:topLinePunct w:val="0"/>
              <w:autoSpaceDE/>
              <w:autoSpaceDN/>
              <w:bidi w:val="0"/>
              <w:adjustRightInd/>
              <w:snapToGrid/>
              <w:spacing w:before="120" w:line="280" w:lineRule="atLeast"/>
              <w:ind w:left="0" w:firstLine="0" w:firstLineChars="0"/>
              <w:textAlignment w:val="auto"/>
              <w:rPr>
                <w:rFonts w:hint="default" w:ascii="Times New Roman" w:hAnsi="Times New Roman" w:cs="Times New Roman"/>
                <w:sz w:val="20"/>
                <w:szCs w:val="20"/>
                <w:vertAlign w:val="baseline"/>
              </w:rPr>
            </w:pPr>
            <w:r>
              <w:rPr>
                <w:rFonts w:hint="default" w:ascii="Times New Roman" w:hAnsi="Times New Roman" w:cs="Times New Roman"/>
                <w:sz w:val="20"/>
                <w:szCs w:val="20"/>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tc>
      </w:tr>
    </w:tbl>
    <w:p>
      <w:pPr>
        <w:spacing w:after="180"/>
        <w:rPr>
          <w:rFonts w:hint="default" w:ascii="Times New Roman" w:hAnsi="Times New Roman" w:eastAsia="宋体"/>
          <w:sz w:val="20"/>
          <w:lang w:val="en-US" w:eastAsia="zh-CN"/>
        </w:rPr>
      </w:pPr>
      <w:r>
        <w:rPr>
          <w:rFonts w:hint="eastAsia" w:ascii="Times New Roman" w:hAnsi="Times New Roman"/>
          <w:sz w:val="20"/>
          <w:lang w:val="en-US" w:eastAsia="zh-CN"/>
        </w:rPr>
        <w:t>In this contribution, we focus on the discussion of feasibility of tightened 2Rx REFSENS requirements.</w:t>
      </w:r>
    </w:p>
    <w:p>
      <w:pPr>
        <w:keepNext/>
        <w:keepLines/>
        <w:widowControl/>
        <w:numPr>
          <w:ilvl w:val="0"/>
          <w:numId w:val="5"/>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numPr>
          <w:ilvl w:val="0"/>
          <w:numId w:val="6"/>
        </w:numPr>
        <w:spacing w:after="180"/>
        <w:ind w:left="420" w:leftChars="0" w:hanging="420" w:firstLineChars="0"/>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Conducted requirements:</w:t>
      </w:r>
      <w:r>
        <w:rPr>
          <w:rFonts w:hint="eastAsia" w:ascii="Times New Roman" w:hAnsi="Times New Roman"/>
          <w:b w:val="0"/>
          <w:bCs w:val="0"/>
          <w:sz w:val="20"/>
          <w:szCs w:val="20"/>
          <w:lang w:val="en-US" w:eastAsia="zh-CN"/>
        </w:rPr>
        <w:t xml:space="preserve"> </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b w:val="0"/>
          <w:bCs w:val="0"/>
          <w:sz w:val="20"/>
          <w:szCs w:val="20"/>
          <w:lang w:val="en-US" w:eastAsia="zh-CN"/>
        </w:rPr>
        <w:t>According to previous analysis in RAN plenary, UE vendors compare the antenna performance between 4Rx for handheld</w:t>
      </w:r>
      <w:r>
        <w:rPr>
          <w:rFonts w:hint="eastAsia" w:ascii="Times New Roman" w:hAnsi="Times New Roman" w:cs="Times New Roman"/>
          <w:b w:val="0"/>
          <w:bCs w:val="0"/>
          <w:sz w:val="20"/>
          <w:szCs w:val="20"/>
          <w:lang w:val="en-US" w:eastAsia="zh-CN"/>
        </w:rPr>
        <w:t xml:space="preserve"> and 2Rx for non-REDCAP XR devices[3][4]. Results show 2Rx for non-REDCAP XR devices naturally have advantages and could mitigate performance impact of 2Rx considering following aspects:</w:t>
      </w:r>
    </w:p>
    <w:p>
      <w:pPr>
        <w:numPr>
          <w:ilvl w:val="0"/>
          <w:numId w:val="7"/>
        </w:numPr>
        <w:spacing w:after="180"/>
        <w:ind w:left="420" w:leftChars="0" w:hanging="420" w:firstLineChars="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Considering the 3-D dimension and placement of 5G antennas on the </w:t>
      </w:r>
      <w:r>
        <w:rPr>
          <w:rFonts w:hint="eastAsia" w:ascii="Times New Roman" w:hAnsi="Times New Roman" w:cs="Times New Roman"/>
          <w:b w:val="0"/>
          <w:bCs w:val="0"/>
          <w:sz w:val="20"/>
          <w:szCs w:val="20"/>
          <w:lang w:val="en-US" w:eastAsia="zh-CN"/>
        </w:rPr>
        <w:t>non-REDCAP XR devices</w:t>
      </w:r>
    </w:p>
    <w:p>
      <w:pPr>
        <w:numPr>
          <w:ilvl w:val="1"/>
          <w:numId w:val="7"/>
        </w:numPr>
        <w:spacing w:after="180"/>
        <w:ind w:left="840" w:leftChars="0" w:hanging="420" w:firstLineChars="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the two antennas can be designed with better isolation and less leakage between them</w:t>
      </w:r>
      <w:r>
        <w:rPr>
          <w:rFonts w:hint="eastAsia" w:ascii="Times New Roman" w:hAnsi="Times New Roman" w:cs="Times New Roman"/>
          <w:b w:val="0"/>
          <w:bCs w:val="0"/>
          <w:sz w:val="20"/>
          <w:szCs w:val="20"/>
          <w:lang w:val="en-US" w:eastAsia="zh-CN"/>
        </w:rPr>
        <w:t xml:space="preserve"> which will</w:t>
      </w:r>
      <w:r>
        <w:rPr>
          <w:rFonts w:hint="default" w:ascii="Times New Roman" w:hAnsi="Times New Roman" w:cs="Times New Roman"/>
          <w:b w:val="0"/>
          <w:bCs w:val="0"/>
          <w:sz w:val="20"/>
          <w:szCs w:val="20"/>
          <w:lang w:val="en-US" w:eastAsia="zh-CN"/>
        </w:rPr>
        <w:t xml:space="preserve"> lead to lower </w:t>
      </w:r>
      <w:r>
        <w:rPr>
          <w:rFonts w:hint="eastAsia" w:ascii="Times New Roman" w:hAnsi="Times New Roman" w:cs="Times New Roman"/>
          <w:b w:val="0"/>
          <w:bCs w:val="0"/>
          <w:sz w:val="20"/>
          <w:szCs w:val="20"/>
          <w:lang w:val="en-US" w:eastAsia="zh-CN"/>
        </w:rPr>
        <w:t xml:space="preserve">antenna </w:t>
      </w:r>
      <w:r>
        <w:rPr>
          <w:rFonts w:hint="default" w:ascii="Times New Roman" w:hAnsi="Times New Roman" w:cs="Times New Roman"/>
          <w:b w:val="0"/>
          <w:bCs w:val="0"/>
          <w:sz w:val="20"/>
          <w:szCs w:val="20"/>
          <w:lang w:val="en-US" w:eastAsia="zh-CN"/>
        </w:rPr>
        <w:t xml:space="preserve">correlation </w:t>
      </w:r>
      <w:r>
        <w:rPr>
          <w:rFonts w:hint="eastAsia" w:ascii="Times New Roman" w:hAnsi="Times New Roman" w:cs="Times New Roman"/>
          <w:b w:val="0"/>
          <w:bCs w:val="0"/>
          <w:sz w:val="20"/>
          <w:szCs w:val="20"/>
          <w:lang w:val="en-US" w:eastAsia="zh-CN"/>
        </w:rPr>
        <w:t>and</w:t>
      </w:r>
      <w:r>
        <w:rPr>
          <w:rFonts w:hint="default" w:ascii="Times New Roman" w:hAnsi="Times New Roman" w:cs="Times New Roman"/>
          <w:b w:val="0"/>
          <w:bCs w:val="0"/>
          <w:sz w:val="20"/>
          <w:szCs w:val="20"/>
          <w:lang w:val="en-US" w:eastAsia="zh-CN"/>
        </w:rPr>
        <w:t xml:space="preserve"> provide</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substantial gains in spatial multiplexing capabilities. </w:t>
      </w:r>
    </w:p>
    <w:p>
      <w:pPr>
        <w:numPr>
          <w:ilvl w:val="1"/>
          <w:numId w:val="7"/>
        </w:numPr>
        <w:spacing w:after="180"/>
        <w:ind w:left="840" w:leftChars="0" w:hanging="420" w:firstLine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Less body loss/blockage for XR 2Rx antenna will have less impairment on the antenna efficiency</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1: Compared with 4Rx for handheld, 2Rx for non-REDCAP XR devices naturally have advantages of antenna performance, e.g. better antenna correlation and </w:t>
      </w:r>
      <w:bookmarkStart w:id="2" w:name="_GoBack"/>
      <w:bookmarkEnd w:id="2"/>
      <w:r>
        <w:rPr>
          <w:rFonts w:hint="eastAsia" w:ascii="Times New Roman" w:hAnsi="Times New Roman" w:cs="Times New Roman"/>
          <w:b/>
          <w:bCs/>
          <w:sz w:val="20"/>
          <w:szCs w:val="20"/>
          <w:lang w:val="en-US" w:eastAsia="zh-CN"/>
        </w:rPr>
        <w:t>antenna efficiency.</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In TR 38.838, XR coverage is evaluated based on agreed traffic model and two methodologies. According to the evaluation results, it is observed that for deployment scenarios of dense urban and urban macro, UL coverage is worse than DL coverage. But after carefully comparing the simulation results, it seems the coverage difference between DL and UL is little for dense urban scenario, e.g. less than 2dB as listed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jc w:val="both"/>
              <w:rPr>
                <w:rFonts w:hint="default" w:ascii="Times New Roman" w:hAnsi="Times New Roman" w:cs="Times New Roman"/>
                <w:highlight w:val="none"/>
              </w:rPr>
            </w:pPr>
            <w:r>
              <w:rPr>
                <w:rFonts w:hint="default" w:ascii="Times New Roman" w:hAnsi="Times New Roman" w:cs="Times New Roman"/>
                <w:highlight w:val="none"/>
              </w:rPr>
              <w:t>Based on the evaluation results in Table 9.3.1.1.1-1, the following observations can be made.</w:t>
            </w:r>
          </w:p>
          <w:p>
            <w:pPr>
              <w:spacing w:before="120" w:line="280" w:lineRule="atLeast"/>
              <w:rPr>
                <w:rFonts w:hint="default" w:ascii="Times New Roman" w:hAnsi="Times New Roman" w:cs="Times New Roman"/>
                <w:highlight w:val="none"/>
                <w:u w:val="single"/>
              </w:rPr>
            </w:pPr>
            <w:r>
              <w:rPr>
                <w:rFonts w:hint="default" w:ascii="Times New Roman" w:hAnsi="Times New Roman" w:cs="Times New Roman"/>
                <w:highlight w:val="none"/>
                <w:u w:val="single"/>
              </w:rPr>
              <w:t>Observations</w:t>
            </w:r>
          </w:p>
          <w:p>
            <w:pPr>
              <w:pStyle w:val="31"/>
              <w:spacing w:before="120" w:line="280" w:lineRule="atLeast"/>
              <w:rPr>
                <w:rFonts w:hint="default" w:ascii="Times New Roman" w:hAnsi="Times New Roman" w:eastAsia="等线" w:cs="Times New Roman"/>
                <w:highlight w:val="none"/>
              </w:rPr>
            </w:pPr>
            <w:r>
              <w:rPr>
                <w:rFonts w:hint="default" w:ascii="Times New Roman" w:hAnsi="Times New Roman" w:cs="Times New Roman"/>
                <w:highlight w:val="none"/>
              </w:rPr>
              <w:t>-</w:t>
            </w:r>
            <w:r>
              <w:rPr>
                <w:rFonts w:hint="default" w:ascii="Times New Roman" w:hAnsi="Times New Roman" w:cs="Times New Roman"/>
                <w:highlight w:val="none"/>
              </w:rPr>
              <w:tab/>
            </w:r>
            <w:r>
              <w:rPr>
                <w:rFonts w:hint="default" w:ascii="Times New Roman" w:hAnsi="Times New Roman" w:cs="Times New Roman"/>
                <w:highlight w:val="none"/>
              </w:rPr>
              <w:t xml:space="preserve">In Coverage Evaluation Method 1, FR1, DU, DL, VR/AR30, #UE/cell = Capacity (7~12), it is observed by Source 18, Source 20, Source 15, and Source 19 that mean DL coverage is </w:t>
            </w:r>
            <w:r>
              <w:rPr>
                <w:rFonts w:hint="default" w:ascii="Times New Roman" w:hAnsi="Times New Roman" w:cs="Times New Roman"/>
                <w:b/>
                <w:bCs/>
                <w:highlight w:val="none"/>
              </w:rPr>
              <w:t>-121.38dB</w:t>
            </w:r>
            <w:r>
              <w:rPr>
                <w:rFonts w:hint="default" w:ascii="Times New Roman" w:hAnsi="Times New Roman" w:cs="Times New Roman"/>
                <w:highlight w:val="none"/>
              </w:rPr>
              <w:t>.</w:t>
            </w:r>
          </w:p>
          <w:p>
            <w:pPr>
              <w:pStyle w:val="31"/>
              <w:spacing w:before="120" w:line="280" w:lineRule="atLeast"/>
              <w:rPr>
                <w:rFonts w:hint="default" w:ascii="Times New Roman" w:hAnsi="Times New Roman" w:eastAsia="等线" w:cs="Times New Roman"/>
                <w:highlight w:val="none"/>
              </w:rPr>
            </w:pPr>
            <w:r>
              <w:rPr>
                <w:rFonts w:hint="default" w:ascii="Times New Roman" w:hAnsi="Times New Roman" w:cs="Times New Roman"/>
                <w:highlight w:val="none"/>
              </w:rPr>
              <w:t>-</w:t>
            </w:r>
            <w:r>
              <w:rPr>
                <w:rFonts w:hint="default" w:ascii="Times New Roman" w:hAnsi="Times New Roman" w:cs="Times New Roman"/>
                <w:highlight w:val="none"/>
              </w:rPr>
              <w:tab/>
            </w:r>
            <w:r>
              <w:rPr>
                <w:rFonts w:hint="default" w:ascii="Times New Roman" w:hAnsi="Times New Roman" w:cs="Times New Roman"/>
                <w:highlight w:val="none"/>
              </w:rPr>
              <w:t xml:space="preserve">In Coverage Evaluation Method 1, FR1, DU, UL, Pose, #UE/cell = 25, it is observed by Source 20 that mean UL coverage is </w:t>
            </w:r>
            <w:r>
              <w:rPr>
                <w:rFonts w:hint="default" w:ascii="Times New Roman" w:hAnsi="Times New Roman" w:cs="Times New Roman"/>
                <w:b/>
                <w:bCs/>
                <w:highlight w:val="none"/>
              </w:rPr>
              <w:t>-119.72dB</w:t>
            </w:r>
            <w:r>
              <w:rPr>
                <w:rFonts w:hint="default" w:ascii="Times New Roman" w:hAnsi="Times New Roman" w:cs="Times New Roman"/>
                <w:highlight w:val="none"/>
              </w:rPr>
              <w:t>.</w:t>
            </w:r>
          </w:p>
          <w:p>
            <w:pPr>
              <w:spacing w:before="120" w:line="280" w:lineRule="atLeast"/>
              <w:rPr>
                <w:rFonts w:hint="default" w:ascii="Times New Roman" w:hAnsi="Times New Roman" w:cs="Times New Roman"/>
                <w:highlight w:val="none"/>
                <w:u w:val="single"/>
              </w:rPr>
            </w:pPr>
            <w:r>
              <w:rPr>
                <w:rFonts w:hint="default" w:ascii="Times New Roman" w:hAnsi="Times New Roman" w:cs="Times New Roman"/>
                <w:highlight w:val="none"/>
                <w:u w:val="single"/>
              </w:rPr>
              <w:t>Observations</w:t>
            </w:r>
          </w:p>
          <w:p>
            <w:pPr>
              <w:pStyle w:val="31"/>
              <w:spacing w:before="120" w:line="280" w:lineRule="atLeast"/>
              <w:rPr>
                <w:rFonts w:hint="default" w:ascii="Times New Roman" w:hAnsi="Times New Roman" w:eastAsia="等线" w:cs="Times New Roman"/>
                <w:highlight w:val="none"/>
              </w:rPr>
            </w:pPr>
            <w:r>
              <w:rPr>
                <w:rFonts w:hint="default" w:ascii="Times New Roman" w:hAnsi="Times New Roman" w:cs="Times New Roman"/>
                <w:highlight w:val="none"/>
              </w:rPr>
              <w:t>-</w:t>
            </w:r>
            <w:r>
              <w:rPr>
                <w:rFonts w:hint="default" w:ascii="Times New Roman" w:hAnsi="Times New Roman" w:cs="Times New Roman"/>
                <w:highlight w:val="none"/>
              </w:rPr>
              <w:tab/>
            </w:r>
            <w:r>
              <w:rPr>
                <w:rFonts w:hint="default" w:ascii="Times New Roman" w:hAnsi="Times New Roman" w:cs="Times New Roman"/>
                <w:highlight w:val="none"/>
              </w:rPr>
              <w:t xml:space="preserve">In Coverage Evaluation Method 1, FR1, DU, DL, VR/AR30, # UE/cell =1, it is observed by Source 18, Source 15, Source 7, Source 19, and Source </w:t>
            </w:r>
            <w:r>
              <w:rPr>
                <w:rFonts w:hint="default" w:ascii="Times New Roman" w:hAnsi="Times New Roman" w:eastAsia="宋体" w:cs="Times New Roman"/>
                <w:highlight w:val="none"/>
                <w:lang w:eastAsia="zh-CN"/>
              </w:rPr>
              <w:t xml:space="preserve">3 </w:t>
            </w:r>
            <w:r>
              <w:rPr>
                <w:rFonts w:hint="default" w:ascii="Times New Roman" w:hAnsi="Times New Roman" w:cs="Times New Roman"/>
                <w:highlight w:val="none"/>
              </w:rPr>
              <w:t xml:space="preserve">that mean DL coverage is </w:t>
            </w:r>
            <w:r>
              <w:rPr>
                <w:rFonts w:hint="default" w:ascii="Times New Roman" w:hAnsi="Times New Roman" w:cs="Times New Roman"/>
                <w:b/>
                <w:bCs/>
                <w:highlight w:val="none"/>
              </w:rPr>
              <w:t>-120.80dB</w:t>
            </w:r>
            <w:r>
              <w:rPr>
                <w:rFonts w:hint="default" w:ascii="Times New Roman" w:hAnsi="Times New Roman" w:cs="Times New Roman"/>
                <w:highlight w:val="none"/>
              </w:rPr>
              <w:t>.</w:t>
            </w:r>
          </w:p>
          <w:p>
            <w:pPr>
              <w:pStyle w:val="31"/>
              <w:spacing w:before="120" w:line="280" w:lineRule="atLeast"/>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highlight w:val="none"/>
              </w:rPr>
              <w:t>-</w:t>
            </w:r>
            <w:r>
              <w:rPr>
                <w:rFonts w:hint="default" w:ascii="Times New Roman" w:hAnsi="Times New Roman" w:cs="Times New Roman"/>
                <w:highlight w:val="none"/>
              </w:rPr>
              <w:tab/>
            </w:r>
            <w:r>
              <w:rPr>
                <w:rFonts w:hint="default" w:ascii="Times New Roman" w:hAnsi="Times New Roman" w:cs="Times New Roman"/>
                <w:highlight w:val="none"/>
              </w:rPr>
              <w:t xml:space="preserve">In Coverage Evaluation Method 1, FR1, DU, UL, Pose, #UE/cell =1, it is observed by Source 7 that mean UL coverage is </w:t>
            </w:r>
            <w:r>
              <w:rPr>
                <w:rFonts w:hint="default" w:ascii="Times New Roman" w:hAnsi="Times New Roman" w:cs="Times New Roman"/>
                <w:b/>
                <w:bCs/>
                <w:highlight w:val="none"/>
              </w:rPr>
              <w:t>-119dB</w:t>
            </w:r>
            <w:r>
              <w:rPr>
                <w:rFonts w:hint="default" w:ascii="Times New Roman" w:hAnsi="Times New Roman" w:cs="Times New Roman"/>
                <w:highlight w:val="none"/>
              </w:rPr>
              <w:t>.</w:t>
            </w:r>
          </w:p>
        </w:tc>
      </w:tr>
    </w:tbl>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2: for dense urban scenario, UL coverage is worse than DL but the coverage difference is little. DL coverage is also very essential.  </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The REFSENSE difference between 2Rx and 4Rx handheld UE is from 2.2dB to 2.7dB for different form factor and operation bands as listed in following table. Reusing the same 2Rx REFSENSE of handheld UE will reduce the DL c</w:t>
      </w:r>
      <w:r>
        <w:rPr>
          <w:rFonts w:hint="eastAsia" w:ascii="Times New Roman" w:hAnsi="Times New Roman" w:cs="Times New Roman"/>
          <w:b w:val="0"/>
          <w:bCs w:val="0"/>
          <w:sz w:val="20"/>
          <w:szCs w:val="20"/>
          <w:highlight w:val="none"/>
          <w:lang w:val="en-US" w:eastAsia="zh-CN"/>
        </w:rPr>
        <w:t>overage especially for the bands that 4Rx is mandatory for handheld UE. Considering 2Rx non-REDCAP XR device could have better antenna correlation and antenna efficiency performance which will contribute to less IM and better diversity gain for REFSENSE requirement,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better to define better REFSENSE requirements than that of 2Rx handheld UE.</w:t>
      </w:r>
    </w:p>
    <w:p>
      <w:pPr>
        <w:pStyle w:val="51"/>
        <w:rPr>
          <w:bCs/>
          <w:vertAlign w:val="subscript"/>
        </w:rPr>
      </w:pPr>
      <w:r>
        <w:t>Table 7.3.2-2: Four antenna port reference sensitivity allowance ΔR</w:t>
      </w:r>
      <w:r>
        <w:rPr>
          <w:bCs/>
          <w:vertAlign w:val="subscript"/>
        </w:rPr>
        <w:t>IB,4R</w:t>
      </w:r>
    </w:p>
    <w:tbl>
      <w:tblPr>
        <w:tblStyle w:val="16"/>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27"/>
            </w:pPr>
            <w:r>
              <w:t>Operating band</w:t>
            </w:r>
          </w:p>
        </w:tc>
        <w:tc>
          <w:tcPr>
            <w:tcW w:w="2970" w:type="dxa"/>
          </w:tcPr>
          <w:p>
            <w:pPr>
              <w:pStyle w:val="27"/>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29"/>
            </w:pPr>
            <w:r>
              <w:rPr>
                <w:rFonts w:hint="eastAsia" w:eastAsia="宋体"/>
                <w:lang w:val="en-US" w:eastAsia="zh-CN"/>
              </w:rPr>
              <w:t xml:space="preserve">n5, </w:t>
            </w:r>
            <w:r>
              <w:rPr>
                <w:rFonts w:hint="eastAsia" w:eastAsia="等线"/>
                <w:lang w:eastAsia="zh-TW"/>
              </w:rPr>
              <w:t xml:space="preserve">n8, </w:t>
            </w:r>
            <w:r>
              <w:rPr>
                <w:rFonts w:hint="eastAsia" w:eastAsia="等线"/>
                <w:lang w:val="en-US" w:eastAsia="zh-CN"/>
              </w:rPr>
              <w:t xml:space="preserve">n13, </w:t>
            </w:r>
            <w:r>
              <w:rPr>
                <w:rFonts w:eastAsia="等线"/>
              </w:rPr>
              <w:t xml:space="preserve">n28, n71, </w:t>
            </w:r>
            <w:r>
              <w:rPr>
                <w:rFonts w:hint="eastAsia" w:eastAsia="宋体"/>
                <w:lang w:val="en-US" w:eastAsia="zh-CN"/>
              </w:rPr>
              <w:t xml:space="preserve">n85, </w:t>
            </w:r>
            <w:r>
              <w:rPr>
                <w:rFonts w:eastAsia="等线"/>
              </w:rPr>
              <w:t>n105</w:t>
            </w:r>
          </w:p>
        </w:tc>
        <w:tc>
          <w:tcPr>
            <w:tcW w:w="2970" w:type="dxa"/>
            <w:vAlign w:val="center"/>
          </w:tcPr>
          <w:p>
            <w:pPr>
              <w:pStyle w:val="28"/>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29"/>
            </w:pPr>
            <w:r>
              <w:rPr>
                <w:rFonts w:eastAsia="宋体"/>
                <w:lang w:val="en-US" w:eastAsia="zh-CN"/>
              </w:rPr>
              <w:t>n5, n8, n28, n71, n20, n26</w:t>
            </w:r>
          </w:p>
        </w:tc>
        <w:tc>
          <w:tcPr>
            <w:tcW w:w="2970" w:type="dxa"/>
            <w:vAlign w:val="center"/>
          </w:tcPr>
          <w:p>
            <w:pPr>
              <w:pStyle w:val="28"/>
            </w:pPr>
            <w:r>
              <w:rPr>
                <w:rFonts w:hint="eastAsia"/>
                <w:lang w:eastAsia="zh-CN"/>
              </w:rPr>
              <w:t>-</w:t>
            </w: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29"/>
            </w:pPr>
            <w:r>
              <w:t xml:space="preserve">n1, n2, n3, </w:t>
            </w:r>
            <w:r>
              <w:rPr>
                <w:rFonts w:hint="eastAsia" w:eastAsia="宋体"/>
                <w:lang w:val="en-US" w:eastAsia="zh-CN"/>
              </w:rPr>
              <w:t xml:space="preserve">n25, </w:t>
            </w:r>
            <w:r>
              <w:t>n30, n40, n7,</w:t>
            </w:r>
            <w:r>
              <w:rPr>
                <w:rFonts w:eastAsia="Calibri"/>
              </w:rPr>
              <w:t xml:space="preserve"> n34, n38, n39, n41, n66, n70</w:t>
            </w:r>
          </w:p>
        </w:tc>
        <w:tc>
          <w:tcPr>
            <w:tcW w:w="2970" w:type="dxa"/>
            <w:vAlign w:val="center"/>
          </w:tcPr>
          <w:p>
            <w:pPr>
              <w:pStyle w:val="28"/>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29"/>
              <w:rPr>
                <w:rFonts w:eastAsia="Calibri"/>
              </w:rPr>
            </w:pPr>
            <w:r>
              <w:rPr>
                <w:rFonts w:eastAsia="Calibri"/>
              </w:rPr>
              <w:t>n48, n77, n78, n79, n104</w:t>
            </w:r>
          </w:p>
        </w:tc>
        <w:tc>
          <w:tcPr>
            <w:tcW w:w="2970" w:type="dxa"/>
            <w:vAlign w:val="center"/>
          </w:tcPr>
          <w:p>
            <w:pPr>
              <w:pStyle w:val="28"/>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54"/>
            </w:pPr>
            <w:r>
              <w:t>NOTE 1:</w:t>
            </w:r>
            <w:r>
              <w:tab/>
            </w:r>
            <w:r>
              <w:t>When 4 Rx operation is supported by FWA form factor</w:t>
            </w:r>
          </w:p>
          <w:p>
            <w:pPr>
              <w:pStyle w:val="54"/>
            </w:pPr>
            <w:r>
              <w:t>NOTE 2:</w:t>
            </w:r>
            <w:r>
              <w:tab/>
            </w:r>
            <w:r>
              <w:t>When 4Rx operation is supported by handheld UE.</w:t>
            </w:r>
          </w:p>
        </w:tc>
      </w:tr>
    </w:tbl>
    <w:p>
      <w:pPr>
        <w:numPr>
          <w:ilvl w:val="0"/>
          <w:numId w:val="0"/>
        </w:numPr>
        <w:spacing w:after="180"/>
        <w:ind w:leftChars="0"/>
        <w:rPr>
          <w:rFonts w:hint="eastAsia" w:ascii="Times New Roman" w:hAnsi="Times New Roman" w:cs="Times New Roman"/>
          <w:b/>
          <w:bCs/>
          <w:sz w:val="18"/>
          <w:szCs w:val="18"/>
          <w:lang w:val="en-US" w:eastAsia="zh-CN"/>
        </w:rPr>
      </w:pPr>
      <w:r>
        <w:rPr>
          <w:rFonts w:hint="eastAsia" w:ascii="Times New Roman" w:hAnsi="Times New Roman" w:cs="Times New Roman"/>
          <w:b/>
          <w:bCs/>
          <w:sz w:val="18"/>
          <w:szCs w:val="18"/>
          <w:lang w:val="en-US" w:eastAsia="zh-CN"/>
        </w:rPr>
        <w:t>Proposal 1: for 2Rx non-REDCAP XR UE, it</w:t>
      </w:r>
      <w:r>
        <w:rPr>
          <w:rFonts w:hint="default" w:ascii="Times New Roman" w:hAnsi="Times New Roman" w:cs="Times New Roman"/>
          <w:b/>
          <w:bCs/>
          <w:sz w:val="18"/>
          <w:szCs w:val="18"/>
          <w:lang w:val="en-US" w:eastAsia="zh-CN"/>
        </w:rPr>
        <w:t>’</w:t>
      </w:r>
      <w:r>
        <w:rPr>
          <w:rFonts w:hint="eastAsia" w:ascii="Times New Roman" w:hAnsi="Times New Roman" w:cs="Times New Roman"/>
          <w:b/>
          <w:bCs/>
          <w:sz w:val="18"/>
          <w:szCs w:val="18"/>
          <w:lang w:val="en-US" w:eastAsia="zh-CN"/>
        </w:rPr>
        <w:t>s better to define better REFSENSE requirements than that of 2Rx handheld UE.</w:t>
      </w:r>
    </w:p>
    <w:p>
      <w:pPr>
        <w:numPr>
          <w:ilvl w:val="0"/>
          <w:numId w:val="8"/>
        </w:numPr>
        <w:spacing w:after="180"/>
        <w:ind w:left="420" w:leftChars="0" w:hanging="420" w:firstLineChars="0"/>
        <w:rPr>
          <w:rFonts w:hint="eastAsia" w:ascii="Times New Roman" w:hAnsi="Times New Roman" w:cs="Times New Roman"/>
          <w:b/>
          <w:bCs/>
          <w:sz w:val="20"/>
          <w:szCs w:val="20"/>
          <w:lang w:val="en-US" w:eastAsia="zh-CN"/>
        </w:rPr>
      </w:pPr>
      <w:r>
        <w:rPr>
          <w:rFonts w:hint="eastAsia" w:ascii="Times New Roman" w:hAnsi="Times New Roman"/>
          <w:b/>
          <w:bCs/>
          <w:sz w:val="20"/>
          <w:szCs w:val="20"/>
          <w:lang w:val="en-US" w:eastAsia="zh-CN"/>
        </w:rPr>
        <w:t>OTA requirements:</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According to latest TS 38.161, RAN4 only specified TRS/TRP requirements for band n28, n41, n78 and n79 based on mass commercial UE testing data. the TRP/TRS WID starts from R17 and after two years, only four operation bands have been finished. One reason is the requirement has to be based on massive testing of commercial UE with several strict rules. Defining OTA requirements for 2Rx non-REDCAP XR device is hard considering there is limited commercial devices. During RAN plenary discussion, the common understanding from vendors is that non-REDCAP XR device could have better OTA performance.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s better to reuse the same OTA requirements as handheld UE to reduce testing workload. </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better to reuse the same OTA requirements as handheld UE for 2Rx non-REDCAP XR device.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lang w:val="en-US" w:eastAsia="zh-CN"/>
        </w:rPr>
        <w:t>feasibility of tightened 2Rx REFSENS requirements</w:t>
      </w:r>
      <w:r>
        <w:rPr>
          <w:rFonts w:hint="eastAsia" w:ascii="Times New Roman" w:hAnsi="Times New Roman"/>
          <w:sz w:val="20"/>
          <w:szCs w:val="20"/>
          <w:lang w:val="en-US" w:eastAsia="zh-CN"/>
        </w:rPr>
        <w:t xml:space="preserve"> are discussed with following observations and proposals.</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Compared with 4Rx for handheld UE, 2Rx for non-REDCAP XR devices naturally have advantages of antenna performance, e.g. better antenna correlation and antenna efficiency.</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2: for dense urban scenario, UL coverage is worse than DL but the coverage difference is little. DL coverage is also very essential.  </w:t>
      </w:r>
    </w:p>
    <w:p>
      <w:pPr>
        <w:numPr>
          <w:ilvl w:val="0"/>
          <w:numId w:val="0"/>
        </w:numPr>
        <w:spacing w:after="180"/>
        <w:ind w:leftChars="0"/>
        <w:rPr>
          <w:rFonts w:hint="eastAsia" w:ascii="Times New Roman" w:hAnsi="Times New Roman" w:cs="Times New Roman"/>
          <w:b/>
          <w:bCs/>
          <w:sz w:val="18"/>
          <w:szCs w:val="18"/>
          <w:lang w:val="en-US" w:eastAsia="zh-CN"/>
        </w:rPr>
      </w:pPr>
      <w:r>
        <w:rPr>
          <w:rFonts w:hint="eastAsia" w:ascii="Times New Roman" w:hAnsi="Times New Roman" w:cs="Times New Roman"/>
          <w:b/>
          <w:bCs/>
          <w:sz w:val="18"/>
          <w:szCs w:val="18"/>
          <w:lang w:val="en-US" w:eastAsia="zh-CN"/>
        </w:rPr>
        <w:t>Proposal 1: for 2Rx non-REDCAP XR device, it</w:t>
      </w:r>
      <w:r>
        <w:rPr>
          <w:rFonts w:hint="default" w:ascii="Times New Roman" w:hAnsi="Times New Roman" w:cs="Times New Roman"/>
          <w:b/>
          <w:bCs/>
          <w:sz w:val="18"/>
          <w:szCs w:val="18"/>
          <w:lang w:val="en-US" w:eastAsia="zh-CN"/>
        </w:rPr>
        <w:t>’</w:t>
      </w:r>
      <w:r>
        <w:rPr>
          <w:rFonts w:hint="eastAsia" w:ascii="Times New Roman" w:hAnsi="Times New Roman" w:cs="Times New Roman"/>
          <w:b/>
          <w:bCs/>
          <w:sz w:val="18"/>
          <w:szCs w:val="18"/>
          <w:lang w:val="en-US" w:eastAsia="zh-CN"/>
        </w:rPr>
        <w:t>s better to define better REFSENSE requirements than that of 2Rx handheld UE.</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better to reuse the same OTA requirements as handheld UE for 2Rx non-REDCAP XR device.</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9"/>
        </w:numPr>
        <w:tabs>
          <w:tab w:val="right" w:pos="10440"/>
          <w:tab w:val="right" w:pos="13323"/>
        </w:tabs>
        <w:spacing w:after="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RP-232657,</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rPr>
        <w:t>Summary of offline session on 2Rx for XR, Offline session moderator (Nokia).</w:t>
      </w:r>
    </w:p>
    <w:p>
      <w:pPr>
        <w:numPr>
          <w:ilvl w:val="0"/>
          <w:numId w:val="9"/>
        </w:numPr>
        <w:tabs>
          <w:tab w:val="right" w:pos="10440"/>
          <w:tab w:val="right" w:pos="13323"/>
        </w:tabs>
        <w:spacing w:after="0"/>
        <w:jc w:val="left"/>
        <w:rPr>
          <w:rFonts w:hint="default" w:ascii="Times New Roman" w:hAnsi="Times New Roman" w:cs="Times New Roman"/>
          <w:b w:val="0"/>
          <w:sz w:val="20"/>
          <w:szCs w:val="20"/>
          <w:highlight w:val="none"/>
        </w:rPr>
      </w:pPr>
      <w:r>
        <w:rPr>
          <w:rFonts w:hint="default" w:ascii="Times New Roman" w:hAnsi="Times New Roman" w:cs="Times New Roman"/>
          <w:b w:val="0"/>
          <w:sz w:val="20"/>
          <w:szCs w:val="20"/>
          <w:highlight w:val="none"/>
          <w:u w:val="none"/>
          <w:lang w:val="en-US" w:eastAsia="zh-CN"/>
        </w:rPr>
        <w:t>RP-234015, Summary of offline session on 2Rx for XR</w:t>
      </w:r>
      <w:r>
        <w:rPr>
          <w:rFonts w:hint="eastAsia" w:ascii="Times New Roman" w:hAnsi="Times New Roman" w:cs="Times New Roman"/>
          <w:b w:val="0"/>
          <w:sz w:val="20"/>
          <w:szCs w:val="20"/>
          <w:highlight w:val="none"/>
          <w:u w:val="none"/>
          <w:lang w:val="en-US" w:eastAsia="zh-CN"/>
        </w:rPr>
        <w:t>, Offline session moderator (Nokia).</w:t>
      </w:r>
    </w:p>
    <w:p>
      <w:pPr>
        <w:numPr>
          <w:ilvl w:val="0"/>
          <w:numId w:val="9"/>
        </w:numPr>
        <w:tabs>
          <w:tab w:val="right" w:pos="10440"/>
          <w:tab w:val="right" w:pos="13323"/>
        </w:tabs>
        <w:spacing w:after="0"/>
        <w:jc w:val="left"/>
        <w:rPr>
          <w:rFonts w:hint="default" w:ascii="Times New Roman" w:hAnsi="Times New Roman" w:cs="Times New Roman"/>
          <w:b w:val="0"/>
          <w:sz w:val="20"/>
          <w:szCs w:val="20"/>
          <w:highlight w:val="none"/>
        </w:rPr>
      </w:pPr>
      <w:r>
        <w:rPr>
          <w:rFonts w:hint="eastAsia" w:ascii="Times New Roman" w:hAnsi="Times New Roman"/>
          <w:b w:val="0"/>
          <w:bCs w:val="0"/>
          <w:sz w:val="20"/>
          <w:szCs w:val="20"/>
          <w:lang w:val="en-US" w:eastAsia="zh-CN"/>
        </w:rPr>
        <w:t>RP-233515, Views on support of XR with 2Rx, Qualcomm</w:t>
      </w:r>
    </w:p>
    <w:p>
      <w:pPr>
        <w:numPr>
          <w:ilvl w:val="0"/>
          <w:numId w:val="9"/>
        </w:numPr>
        <w:tabs>
          <w:tab w:val="right" w:pos="10440"/>
          <w:tab w:val="right" w:pos="13323"/>
        </w:tabs>
        <w:spacing w:after="0"/>
        <w:jc w:val="left"/>
        <w:rPr>
          <w:rFonts w:hint="default" w:ascii="Times New Roman" w:hAnsi="Times New Roman" w:cs="Times New Roman"/>
          <w:b w:val="0"/>
          <w:sz w:val="20"/>
          <w:szCs w:val="20"/>
          <w:highlight w:val="none"/>
        </w:rPr>
      </w:pPr>
      <w:r>
        <w:rPr>
          <w:rFonts w:hint="default" w:ascii="Times New Roman" w:hAnsi="Times New Roman" w:cs="Times New Roman"/>
          <w:b w:val="0"/>
          <w:sz w:val="20"/>
          <w:szCs w:val="20"/>
          <w:highlight w:val="none"/>
        </w:rPr>
        <w:t>RP-233555</w:t>
      </w:r>
      <w:r>
        <w:rPr>
          <w:rFonts w:hint="eastAsia" w:ascii="Times New Roman" w:hAnsi="Times New Roman" w:cs="Times New Roman"/>
          <w:b w:val="0"/>
          <w:sz w:val="20"/>
          <w:szCs w:val="20"/>
          <w:highlight w:val="none"/>
          <w:lang w:val="en-US" w:eastAsia="zh-CN"/>
        </w:rPr>
        <w:t>, Views on 2Rx for XR Wearables, Meta USA</w:t>
      </w:r>
    </w:p>
    <w:p>
      <w:pPr>
        <w:widowControl/>
        <w:overflowPunct w:val="0"/>
        <w:autoSpaceDE w:val="0"/>
        <w:autoSpaceDN w:val="0"/>
        <w:adjustRightInd w:val="0"/>
        <w:spacing w:after="180"/>
        <w:jc w:val="left"/>
        <w:textAlignment w:val="baseline"/>
        <w:rPr>
          <w:rFonts w:hint="default" w:ascii="Times New Roman" w:hAnsi="Times New Roman" w:eastAsia="宋体"/>
          <w:sz w:val="20"/>
          <w:szCs w:val="20"/>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BE39B"/>
    <w:multiLevelType w:val="singleLevel"/>
    <w:tmpl w:val="BBFBE39B"/>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05759DDB"/>
    <w:multiLevelType w:val="singleLevel"/>
    <w:tmpl w:val="05759DDB"/>
    <w:lvl w:ilvl="0" w:tentative="0">
      <w:start w:val="1"/>
      <w:numFmt w:val="bullet"/>
      <w:lvlText w:val=""/>
      <w:lvlJc w:val="left"/>
      <w:pPr>
        <w:ind w:left="420" w:hanging="420"/>
      </w:pPr>
      <w:rPr>
        <w:rFonts w:hint="default" w:ascii="Wingdings" w:hAnsi="Wingdings"/>
      </w:rPr>
    </w:lvl>
  </w:abstractNum>
  <w:abstractNum w:abstractNumId="4">
    <w:nsid w:val="0ACB5256"/>
    <w:multiLevelType w:val="multilevel"/>
    <w:tmpl w:val="0ACB525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8633435"/>
    <w:multiLevelType w:val="multilevel"/>
    <w:tmpl w:val="48633435"/>
    <w:lvl w:ilvl="0" w:tentative="0">
      <w:start w:val="1"/>
      <w:numFmt w:val="bullet"/>
      <w:lvlText w:val="-"/>
      <w:lvlJc w:val="left"/>
      <w:pPr>
        <w:ind w:left="1440" w:hanging="360"/>
      </w:pPr>
      <w:rPr>
        <w:rFonts w:hint="default" w:ascii="Calibri" w:hAnsi="Calibri" w:cs="Calibri" w:eastAsiaTheme="minorHAnsi"/>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
    <w:nsid w:val="4CCA235A"/>
    <w:multiLevelType w:val="multilevel"/>
    <w:tmpl w:val="4CCA235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6A0E6583"/>
    <w:multiLevelType w:val="multilevel"/>
    <w:tmpl w:val="6A0E6583"/>
    <w:lvl w:ilvl="0" w:tentative="0">
      <w:start w:val="29"/>
      <w:numFmt w:val="bullet"/>
      <w:lvlText w:val="-"/>
      <w:lvlJc w:val="left"/>
      <w:pPr>
        <w:ind w:left="720" w:hanging="360"/>
      </w:pPr>
      <w:rPr>
        <w:rFonts w:hint="default" w:ascii="Calibri" w:hAnsi="Calibri" w:cs="Calibri" w:eastAsiaTheme="minorHAnsi"/>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206422"/>
    <w:multiLevelType w:val="multilevel"/>
    <w:tmpl w:val="77206422"/>
    <w:lvl w:ilvl="0" w:tentative="0">
      <w:start w:val="3"/>
      <w:numFmt w:val="bullet"/>
      <w:lvlText w:val="-"/>
      <w:lvlJc w:val="left"/>
      <w:pPr>
        <w:ind w:left="1080" w:hanging="360"/>
      </w:pPr>
      <w:rPr>
        <w:rFonts w:hint="default" w:ascii="Calibri" w:hAnsi="Calibri" w:cs="Calibri" w:eastAsiaTheme="minorHAns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7"/>
  </w:num>
  <w:num w:numId="2">
    <w:abstractNumId w:val="5"/>
  </w:num>
  <w:num w:numId="3">
    <w:abstractNumId w:val="4"/>
  </w:num>
  <w:num w:numId="4">
    <w:abstractNumId w:val="8"/>
  </w:num>
  <w:num w:numId="5">
    <w:abstractNumId w:val="2"/>
  </w:num>
  <w:num w:numId="6">
    <w:abstractNumId w:val="3"/>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970CA"/>
    <w:rsid w:val="025A4E22"/>
    <w:rsid w:val="028E1852"/>
    <w:rsid w:val="02C81B1F"/>
    <w:rsid w:val="035967B1"/>
    <w:rsid w:val="035D4591"/>
    <w:rsid w:val="03631D1E"/>
    <w:rsid w:val="03E26584"/>
    <w:rsid w:val="04492C16"/>
    <w:rsid w:val="04B527F1"/>
    <w:rsid w:val="05026E46"/>
    <w:rsid w:val="053C405B"/>
    <w:rsid w:val="056F5AD7"/>
    <w:rsid w:val="059E10D1"/>
    <w:rsid w:val="05A012C8"/>
    <w:rsid w:val="05BF54F8"/>
    <w:rsid w:val="06305334"/>
    <w:rsid w:val="06434355"/>
    <w:rsid w:val="06CC0A35"/>
    <w:rsid w:val="0769686A"/>
    <w:rsid w:val="076E27BD"/>
    <w:rsid w:val="0770402F"/>
    <w:rsid w:val="078E5270"/>
    <w:rsid w:val="07B42F31"/>
    <w:rsid w:val="07CA6B66"/>
    <w:rsid w:val="07F15671"/>
    <w:rsid w:val="08973524"/>
    <w:rsid w:val="08A65D3D"/>
    <w:rsid w:val="0900762B"/>
    <w:rsid w:val="09626007"/>
    <w:rsid w:val="09993AB5"/>
    <w:rsid w:val="09F66D51"/>
    <w:rsid w:val="0A0219DF"/>
    <w:rsid w:val="0AA20101"/>
    <w:rsid w:val="0ABA1F25"/>
    <w:rsid w:val="0ADD2F10"/>
    <w:rsid w:val="0AE113D2"/>
    <w:rsid w:val="0AF67B8B"/>
    <w:rsid w:val="0B0758A7"/>
    <w:rsid w:val="0B1B4548"/>
    <w:rsid w:val="0BE65845"/>
    <w:rsid w:val="0BF0521B"/>
    <w:rsid w:val="0BF7455D"/>
    <w:rsid w:val="0BFE4B3A"/>
    <w:rsid w:val="0C8D3125"/>
    <w:rsid w:val="0D545798"/>
    <w:rsid w:val="0D624402"/>
    <w:rsid w:val="0E037D57"/>
    <w:rsid w:val="0E1D4B35"/>
    <w:rsid w:val="0E5F68A3"/>
    <w:rsid w:val="0E7813A9"/>
    <w:rsid w:val="0EBE690E"/>
    <w:rsid w:val="0F1A117A"/>
    <w:rsid w:val="0F5116AE"/>
    <w:rsid w:val="0F596ABB"/>
    <w:rsid w:val="0F5F4247"/>
    <w:rsid w:val="0F6273CA"/>
    <w:rsid w:val="0F7D4B34"/>
    <w:rsid w:val="0FC419ED"/>
    <w:rsid w:val="0FD9288C"/>
    <w:rsid w:val="0FEE6FAE"/>
    <w:rsid w:val="0FF20B73"/>
    <w:rsid w:val="10003991"/>
    <w:rsid w:val="107B7E97"/>
    <w:rsid w:val="109C57D8"/>
    <w:rsid w:val="10EF7E56"/>
    <w:rsid w:val="1155307D"/>
    <w:rsid w:val="117C38F8"/>
    <w:rsid w:val="11B5219D"/>
    <w:rsid w:val="11DF67EB"/>
    <w:rsid w:val="122946DB"/>
    <w:rsid w:val="12750F57"/>
    <w:rsid w:val="12E83AF4"/>
    <w:rsid w:val="13771DFE"/>
    <w:rsid w:val="14245767"/>
    <w:rsid w:val="145C23B3"/>
    <w:rsid w:val="15350710"/>
    <w:rsid w:val="155F416A"/>
    <w:rsid w:val="156354FD"/>
    <w:rsid w:val="156C0FB4"/>
    <w:rsid w:val="157A51BC"/>
    <w:rsid w:val="159557BE"/>
    <w:rsid w:val="15CD7D54"/>
    <w:rsid w:val="15D00CD9"/>
    <w:rsid w:val="15E450B5"/>
    <w:rsid w:val="16371982"/>
    <w:rsid w:val="163D388B"/>
    <w:rsid w:val="168B5B89"/>
    <w:rsid w:val="175862BF"/>
    <w:rsid w:val="17F52BDC"/>
    <w:rsid w:val="180D2D20"/>
    <w:rsid w:val="18642373"/>
    <w:rsid w:val="18834ED9"/>
    <w:rsid w:val="18E26C79"/>
    <w:rsid w:val="18FE0AB6"/>
    <w:rsid w:val="19813C3F"/>
    <w:rsid w:val="19B263B5"/>
    <w:rsid w:val="19DF2D99"/>
    <w:rsid w:val="19EA686E"/>
    <w:rsid w:val="1A8670A6"/>
    <w:rsid w:val="1AFD11C6"/>
    <w:rsid w:val="1B00542F"/>
    <w:rsid w:val="1B2F42F1"/>
    <w:rsid w:val="1B3F3E40"/>
    <w:rsid w:val="1B7C00B3"/>
    <w:rsid w:val="1B7C0EA4"/>
    <w:rsid w:val="1BF509C2"/>
    <w:rsid w:val="1BF95FEE"/>
    <w:rsid w:val="1C700838"/>
    <w:rsid w:val="1CFC261A"/>
    <w:rsid w:val="1D0432AA"/>
    <w:rsid w:val="1D0A4412"/>
    <w:rsid w:val="1D1D5776"/>
    <w:rsid w:val="1D2753AE"/>
    <w:rsid w:val="1D3E218A"/>
    <w:rsid w:val="1D6D7456"/>
    <w:rsid w:val="1D7879E5"/>
    <w:rsid w:val="1D867707"/>
    <w:rsid w:val="1E3D0B9B"/>
    <w:rsid w:val="1E884DB6"/>
    <w:rsid w:val="1EFE1319"/>
    <w:rsid w:val="1F0D1045"/>
    <w:rsid w:val="1F1F489E"/>
    <w:rsid w:val="1F2F076D"/>
    <w:rsid w:val="1FFB17BC"/>
    <w:rsid w:val="201828B7"/>
    <w:rsid w:val="203D39F0"/>
    <w:rsid w:val="20817033"/>
    <w:rsid w:val="20990887"/>
    <w:rsid w:val="20EA2C10"/>
    <w:rsid w:val="216C01F4"/>
    <w:rsid w:val="21D70408"/>
    <w:rsid w:val="221E7789"/>
    <w:rsid w:val="228B3B2E"/>
    <w:rsid w:val="22E84C54"/>
    <w:rsid w:val="235E2230"/>
    <w:rsid w:val="2370600B"/>
    <w:rsid w:val="241B0EB4"/>
    <w:rsid w:val="24513BF6"/>
    <w:rsid w:val="24683E4B"/>
    <w:rsid w:val="246C2851"/>
    <w:rsid w:val="24841763"/>
    <w:rsid w:val="2488042D"/>
    <w:rsid w:val="24C36C6D"/>
    <w:rsid w:val="254E0ABD"/>
    <w:rsid w:val="258A21E5"/>
    <w:rsid w:val="25A10883"/>
    <w:rsid w:val="25D729E7"/>
    <w:rsid w:val="26382DB8"/>
    <w:rsid w:val="26644B8A"/>
    <w:rsid w:val="268A1547"/>
    <w:rsid w:val="268B3CAF"/>
    <w:rsid w:val="26A73075"/>
    <w:rsid w:val="26F853FE"/>
    <w:rsid w:val="274B1605"/>
    <w:rsid w:val="278B3C06"/>
    <w:rsid w:val="27E33F9B"/>
    <w:rsid w:val="2805016B"/>
    <w:rsid w:val="286036CB"/>
    <w:rsid w:val="28AA4C8A"/>
    <w:rsid w:val="294A494E"/>
    <w:rsid w:val="29560760"/>
    <w:rsid w:val="2975343F"/>
    <w:rsid w:val="29C71D19"/>
    <w:rsid w:val="2A144016"/>
    <w:rsid w:val="2A24682F"/>
    <w:rsid w:val="2A2C74BF"/>
    <w:rsid w:val="2A53737E"/>
    <w:rsid w:val="2AC70C94"/>
    <w:rsid w:val="2B2A3B5F"/>
    <w:rsid w:val="2C0547C6"/>
    <w:rsid w:val="2C401128"/>
    <w:rsid w:val="2C8A2F49"/>
    <w:rsid w:val="2C9F3BCE"/>
    <w:rsid w:val="2CA64350"/>
    <w:rsid w:val="2D4D51B1"/>
    <w:rsid w:val="2D4D79AC"/>
    <w:rsid w:val="2DB7418D"/>
    <w:rsid w:val="2DD5373D"/>
    <w:rsid w:val="2E9C0F87"/>
    <w:rsid w:val="2EB7077F"/>
    <w:rsid w:val="2EB8044F"/>
    <w:rsid w:val="2EC16B9C"/>
    <w:rsid w:val="2EDF426C"/>
    <w:rsid w:val="2EEC4E92"/>
    <w:rsid w:val="2F1C0982"/>
    <w:rsid w:val="2F5B00C1"/>
    <w:rsid w:val="2F747966"/>
    <w:rsid w:val="2FCB6344"/>
    <w:rsid w:val="2FEC1523"/>
    <w:rsid w:val="30524DF2"/>
    <w:rsid w:val="306B7868"/>
    <w:rsid w:val="3099089E"/>
    <w:rsid w:val="31490DA5"/>
    <w:rsid w:val="315F5D75"/>
    <w:rsid w:val="31E91E87"/>
    <w:rsid w:val="320E2E8D"/>
    <w:rsid w:val="3243059C"/>
    <w:rsid w:val="32697D44"/>
    <w:rsid w:val="326D0948"/>
    <w:rsid w:val="328A5CFA"/>
    <w:rsid w:val="32C835E0"/>
    <w:rsid w:val="32DF7982"/>
    <w:rsid w:val="331537CD"/>
    <w:rsid w:val="331E4E70"/>
    <w:rsid w:val="336E17F0"/>
    <w:rsid w:val="33E2230D"/>
    <w:rsid w:val="33FB26D9"/>
    <w:rsid w:val="34291F23"/>
    <w:rsid w:val="345C5BF5"/>
    <w:rsid w:val="348103B3"/>
    <w:rsid w:val="35962F2D"/>
    <w:rsid w:val="35B629AE"/>
    <w:rsid w:val="35B71496"/>
    <w:rsid w:val="35B8262E"/>
    <w:rsid w:val="35CC12CF"/>
    <w:rsid w:val="35D319E6"/>
    <w:rsid w:val="35D72EE3"/>
    <w:rsid w:val="35E768F5"/>
    <w:rsid w:val="35F559C7"/>
    <w:rsid w:val="36075C31"/>
    <w:rsid w:val="36510879"/>
    <w:rsid w:val="37036DCD"/>
    <w:rsid w:val="372F46A7"/>
    <w:rsid w:val="37726C9D"/>
    <w:rsid w:val="379A1E22"/>
    <w:rsid w:val="37BD6848"/>
    <w:rsid w:val="37CC6816"/>
    <w:rsid w:val="37DE6907"/>
    <w:rsid w:val="37E810A7"/>
    <w:rsid w:val="380E1C87"/>
    <w:rsid w:val="38A9437C"/>
    <w:rsid w:val="38C2712E"/>
    <w:rsid w:val="38D16127"/>
    <w:rsid w:val="393C0FF6"/>
    <w:rsid w:val="398E1CFA"/>
    <w:rsid w:val="39B62EBE"/>
    <w:rsid w:val="3A436689"/>
    <w:rsid w:val="3A675260"/>
    <w:rsid w:val="3AAC45FF"/>
    <w:rsid w:val="3AC37B79"/>
    <w:rsid w:val="3AE070A1"/>
    <w:rsid w:val="3B617677"/>
    <w:rsid w:val="3B757B5E"/>
    <w:rsid w:val="3BA65BED"/>
    <w:rsid w:val="3BDB4DC2"/>
    <w:rsid w:val="3C09240E"/>
    <w:rsid w:val="3C146221"/>
    <w:rsid w:val="3CC365B8"/>
    <w:rsid w:val="3CD51844"/>
    <w:rsid w:val="3D08452F"/>
    <w:rsid w:val="3D5001A7"/>
    <w:rsid w:val="3D55441E"/>
    <w:rsid w:val="3D713555"/>
    <w:rsid w:val="3D741DEE"/>
    <w:rsid w:val="3D9C3FFF"/>
    <w:rsid w:val="3E0B0DB0"/>
    <w:rsid w:val="3E116F60"/>
    <w:rsid w:val="3E572F58"/>
    <w:rsid w:val="3E872DEF"/>
    <w:rsid w:val="3E962A3C"/>
    <w:rsid w:val="3E9704BE"/>
    <w:rsid w:val="3F043070"/>
    <w:rsid w:val="3F1D2CEE"/>
    <w:rsid w:val="3F8B424E"/>
    <w:rsid w:val="3F934EDE"/>
    <w:rsid w:val="3FCE6ABE"/>
    <w:rsid w:val="401776B5"/>
    <w:rsid w:val="403501D5"/>
    <w:rsid w:val="40516596"/>
    <w:rsid w:val="40C60753"/>
    <w:rsid w:val="410113A2"/>
    <w:rsid w:val="41880811"/>
    <w:rsid w:val="41C60C56"/>
    <w:rsid w:val="41E9727E"/>
    <w:rsid w:val="41F50509"/>
    <w:rsid w:val="42375131"/>
    <w:rsid w:val="42610172"/>
    <w:rsid w:val="426339F7"/>
    <w:rsid w:val="42733C91"/>
    <w:rsid w:val="428C76CE"/>
    <w:rsid w:val="42916AC5"/>
    <w:rsid w:val="436807A8"/>
    <w:rsid w:val="439901E8"/>
    <w:rsid w:val="43EC12FF"/>
    <w:rsid w:val="43F11B33"/>
    <w:rsid w:val="43F17986"/>
    <w:rsid w:val="444678CE"/>
    <w:rsid w:val="44565A46"/>
    <w:rsid w:val="447E086E"/>
    <w:rsid w:val="44B454C5"/>
    <w:rsid w:val="44C125DD"/>
    <w:rsid w:val="44DD6689"/>
    <w:rsid w:val="44E7774D"/>
    <w:rsid w:val="45127C50"/>
    <w:rsid w:val="454416D4"/>
    <w:rsid w:val="455E7EDC"/>
    <w:rsid w:val="45830A1B"/>
    <w:rsid w:val="458D51A8"/>
    <w:rsid w:val="459B4244"/>
    <w:rsid w:val="45A33E4B"/>
    <w:rsid w:val="45A94422"/>
    <w:rsid w:val="45B253E8"/>
    <w:rsid w:val="45CC5F92"/>
    <w:rsid w:val="465C2D4B"/>
    <w:rsid w:val="465C457C"/>
    <w:rsid w:val="46E67A01"/>
    <w:rsid w:val="47262D4B"/>
    <w:rsid w:val="47670737"/>
    <w:rsid w:val="47F00216"/>
    <w:rsid w:val="480F5247"/>
    <w:rsid w:val="4839608B"/>
    <w:rsid w:val="483A3F41"/>
    <w:rsid w:val="48FF25D1"/>
    <w:rsid w:val="49281A93"/>
    <w:rsid w:val="492F313E"/>
    <w:rsid w:val="495010D7"/>
    <w:rsid w:val="4955555E"/>
    <w:rsid w:val="49E453DD"/>
    <w:rsid w:val="49EE4458"/>
    <w:rsid w:val="4A521971"/>
    <w:rsid w:val="4A880DD3"/>
    <w:rsid w:val="4A9C4E28"/>
    <w:rsid w:val="4AFF7B18"/>
    <w:rsid w:val="4B254325"/>
    <w:rsid w:val="4B2941E0"/>
    <w:rsid w:val="4BFF2F3E"/>
    <w:rsid w:val="4C261BDE"/>
    <w:rsid w:val="4C660668"/>
    <w:rsid w:val="4C816990"/>
    <w:rsid w:val="4D1B40EF"/>
    <w:rsid w:val="4D2079EB"/>
    <w:rsid w:val="4D570F71"/>
    <w:rsid w:val="4DF036EE"/>
    <w:rsid w:val="4DF30DF0"/>
    <w:rsid w:val="4DFC16FF"/>
    <w:rsid w:val="4E03108A"/>
    <w:rsid w:val="4E2822B5"/>
    <w:rsid w:val="4E5A1A99"/>
    <w:rsid w:val="4E723844"/>
    <w:rsid w:val="4E85035F"/>
    <w:rsid w:val="4EB95335"/>
    <w:rsid w:val="4ED33CE1"/>
    <w:rsid w:val="4F01352B"/>
    <w:rsid w:val="4F13254C"/>
    <w:rsid w:val="4FBF6DE2"/>
    <w:rsid w:val="502D7993"/>
    <w:rsid w:val="504273BB"/>
    <w:rsid w:val="505605DA"/>
    <w:rsid w:val="50941CF8"/>
    <w:rsid w:val="509636E2"/>
    <w:rsid w:val="50B13272"/>
    <w:rsid w:val="50B6710F"/>
    <w:rsid w:val="50BC2F96"/>
    <w:rsid w:val="50DE7239"/>
    <w:rsid w:val="51A227FA"/>
    <w:rsid w:val="51A57002"/>
    <w:rsid w:val="51F65583"/>
    <w:rsid w:val="52E03A67"/>
    <w:rsid w:val="52FC46EA"/>
    <w:rsid w:val="534D042C"/>
    <w:rsid w:val="5350703E"/>
    <w:rsid w:val="538C361F"/>
    <w:rsid w:val="53A46AC8"/>
    <w:rsid w:val="53A54549"/>
    <w:rsid w:val="53F47B4C"/>
    <w:rsid w:val="5403314B"/>
    <w:rsid w:val="544A4CD7"/>
    <w:rsid w:val="545309AA"/>
    <w:rsid w:val="552827AD"/>
    <w:rsid w:val="55584783"/>
    <w:rsid w:val="55835CD9"/>
    <w:rsid w:val="558E2FA7"/>
    <w:rsid w:val="55B464A8"/>
    <w:rsid w:val="55B7742C"/>
    <w:rsid w:val="55BD2802"/>
    <w:rsid w:val="55F969E7"/>
    <w:rsid w:val="56024028"/>
    <w:rsid w:val="5616190A"/>
    <w:rsid w:val="56941399"/>
    <w:rsid w:val="569F71AC"/>
    <w:rsid w:val="56EF3AF5"/>
    <w:rsid w:val="56F83407"/>
    <w:rsid w:val="571E54DC"/>
    <w:rsid w:val="572210F5"/>
    <w:rsid w:val="572A730E"/>
    <w:rsid w:val="576146B9"/>
    <w:rsid w:val="577865C9"/>
    <w:rsid w:val="578F7CCE"/>
    <w:rsid w:val="579C1BCB"/>
    <w:rsid w:val="57B74973"/>
    <w:rsid w:val="57E1103B"/>
    <w:rsid w:val="57E23AB5"/>
    <w:rsid w:val="58467715"/>
    <w:rsid w:val="587B1239"/>
    <w:rsid w:val="58886F75"/>
    <w:rsid w:val="58B65B9B"/>
    <w:rsid w:val="593309E8"/>
    <w:rsid w:val="59B07FB1"/>
    <w:rsid w:val="59FB712C"/>
    <w:rsid w:val="5A050D40"/>
    <w:rsid w:val="5A770B6E"/>
    <w:rsid w:val="5A8A0BF0"/>
    <w:rsid w:val="5AD42692"/>
    <w:rsid w:val="5B2F7529"/>
    <w:rsid w:val="5BBA168B"/>
    <w:rsid w:val="5BBD01B3"/>
    <w:rsid w:val="5CCF11D3"/>
    <w:rsid w:val="5D4A309B"/>
    <w:rsid w:val="5D7F7CF2"/>
    <w:rsid w:val="5D851C35"/>
    <w:rsid w:val="5F187E14"/>
    <w:rsid w:val="5F5159EF"/>
    <w:rsid w:val="5FDA5B33"/>
    <w:rsid w:val="5FDC7E75"/>
    <w:rsid w:val="5FF120B4"/>
    <w:rsid w:val="603A596D"/>
    <w:rsid w:val="607B393B"/>
    <w:rsid w:val="609B470C"/>
    <w:rsid w:val="60AC4695"/>
    <w:rsid w:val="60BA2331"/>
    <w:rsid w:val="61FE0917"/>
    <w:rsid w:val="623E513D"/>
    <w:rsid w:val="62563CE5"/>
    <w:rsid w:val="62E47AC9"/>
    <w:rsid w:val="6350047D"/>
    <w:rsid w:val="6412053C"/>
    <w:rsid w:val="64430D0B"/>
    <w:rsid w:val="648065F1"/>
    <w:rsid w:val="65046BCA"/>
    <w:rsid w:val="650A2CD2"/>
    <w:rsid w:val="654D4A40"/>
    <w:rsid w:val="6566621E"/>
    <w:rsid w:val="65821697"/>
    <w:rsid w:val="65CE6293"/>
    <w:rsid w:val="661E7317"/>
    <w:rsid w:val="66495BDD"/>
    <w:rsid w:val="669E696B"/>
    <w:rsid w:val="66BF4E0A"/>
    <w:rsid w:val="66C60005"/>
    <w:rsid w:val="66ED66EB"/>
    <w:rsid w:val="67763396"/>
    <w:rsid w:val="679F070D"/>
    <w:rsid w:val="67A9335C"/>
    <w:rsid w:val="67D44D17"/>
    <w:rsid w:val="680C4CB4"/>
    <w:rsid w:val="680E2045"/>
    <w:rsid w:val="68976726"/>
    <w:rsid w:val="69156EBB"/>
    <w:rsid w:val="698A6FB3"/>
    <w:rsid w:val="69DD483F"/>
    <w:rsid w:val="69F942E4"/>
    <w:rsid w:val="6A0568FD"/>
    <w:rsid w:val="6A2B6B3C"/>
    <w:rsid w:val="6B5624BB"/>
    <w:rsid w:val="6B9F60AC"/>
    <w:rsid w:val="6BA350A4"/>
    <w:rsid w:val="6BFA38B5"/>
    <w:rsid w:val="6C0A3B4F"/>
    <w:rsid w:val="6C254067"/>
    <w:rsid w:val="6C3426E1"/>
    <w:rsid w:val="6C7A1884"/>
    <w:rsid w:val="6D2E4BAB"/>
    <w:rsid w:val="6D4A44DB"/>
    <w:rsid w:val="6D63623C"/>
    <w:rsid w:val="6D853006"/>
    <w:rsid w:val="6DEB7F47"/>
    <w:rsid w:val="6E123F24"/>
    <w:rsid w:val="6E3B72E7"/>
    <w:rsid w:val="6E5C02CB"/>
    <w:rsid w:val="6E680DA5"/>
    <w:rsid w:val="6E804558"/>
    <w:rsid w:val="6EA0288E"/>
    <w:rsid w:val="6EE509F4"/>
    <w:rsid w:val="6EFC51A7"/>
    <w:rsid w:val="6F023405"/>
    <w:rsid w:val="6F0B13DB"/>
    <w:rsid w:val="6F25039A"/>
    <w:rsid w:val="6FA8783E"/>
    <w:rsid w:val="6FBC2EB1"/>
    <w:rsid w:val="70623166"/>
    <w:rsid w:val="7073020B"/>
    <w:rsid w:val="709C35CE"/>
    <w:rsid w:val="70D127A3"/>
    <w:rsid w:val="70F86AD9"/>
    <w:rsid w:val="71032079"/>
    <w:rsid w:val="71936767"/>
    <w:rsid w:val="72100F31"/>
    <w:rsid w:val="72287D95"/>
    <w:rsid w:val="72304FDF"/>
    <w:rsid w:val="7247717D"/>
    <w:rsid w:val="729926C8"/>
    <w:rsid w:val="73096F4B"/>
    <w:rsid w:val="73131A58"/>
    <w:rsid w:val="7317045F"/>
    <w:rsid w:val="732D5E85"/>
    <w:rsid w:val="733D42E3"/>
    <w:rsid w:val="73854316"/>
    <w:rsid w:val="73A57DF9"/>
    <w:rsid w:val="73A744CA"/>
    <w:rsid w:val="73CC19D5"/>
    <w:rsid w:val="741A7D2C"/>
    <w:rsid w:val="74694588"/>
    <w:rsid w:val="746C550D"/>
    <w:rsid w:val="74AF2AFE"/>
    <w:rsid w:val="74E146D2"/>
    <w:rsid w:val="74F86B15"/>
    <w:rsid w:val="756A3232"/>
    <w:rsid w:val="75895CE5"/>
    <w:rsid w:val="759901A2"/>
    <w:rsid w:val="759F2407"/>
    <w:rsid w:val="75D02BD6"/>
    <w:rsid w:val="75E15270"/>
    <w:rsid w:val="76116EC2"/>
    <w:rsid w:val="76325B80"/>
    <w:rsid w:val="76B72ED4"/>
    <w:rsid w:val="76F00D88"/>
    <w:rsid w:val="771928DB"/>
    <w:rsid w:val="771C067A"/>
    <w:rsid w:val="772A6AEC"/>
    <w:rsid w:val="77693C0F"/>
    <w:rsid w:val="776C5E7A"/>
    <w:rsid w:val="779C0BC8"/>
    <w:rsid w:val="77C2468B"/>
    <w:rsid w:val="7855167B"/>
    <w:rsid w:val="78A92755"/>
    <w:rsid w:val="78B9366E"/>
    <w:rsid w:val="78BC17CD"/>
    <w:rsid w:val="78D366C6"/>
    <w:rsid w:val="796C47DC"/>
    <w:rsid w:val="79DF2C7C"/>
    <w:rsid w:val="79E47779"/>
    <w:rsid w:val="79F57AA2"/>
    <w:rsid w:val="7A1F66E8"/>
    <w:rsid w:val="7A4C3D34"/>
    <w:rsid w:val="7A7D4CC5"/>
    <w:rsid w:val="7AE67D87"/>
    <w:rsid w:val="7B6E2211"/>
    <w:rsid w:val="7B8472B4"/>
    <w:rsid w:val="7BC80470"/>
    <w:rsid w:val="7BE0484E"/>
    <w:rsid w:val="7C081A8C"/>
    <w:rsid w:val="7C0F40E4"/>
    <w:rsid w:val="7C92278E"/>
    <w:rsid w:val="7C970076"/>
    <w:rsid w:val="7CF22D0E"/>
    <w:rsid w:val="7D0C0035"/>
    <w:rsid w:val="7D9E7791"/>
    <w:rsid w:val="7DA22244"/>
    <w:rsid w:val="7DC50AE8"/>
    <w:rsid w:val="7DCE3976"/>
    <w:rsid w:val="7E0B59D9"/>
    <w:rsid w:val="7E4C3A0F"/>
    <w:rsid w:val="7E4C3A98"/>
    <w:rsid w:val="7E4C4244"/>
    <w:rsid w:val="7E9E07CB"/>
    <w:rsid w:val="7EDD5D31"/>
    <w:rsid w:val="7F23352A"/>
    <w:rsid w:val="7F7D33DC"/>
    <w:rsid w:val="7FAA1790"/>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1</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2024-02-19T09:55:51Z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