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4550" w14:textId="2AE92CDC" w:rsidR="00EF5395" w:rsidRPr="00C73845" w:rsidRDefault="00EF5395" w:rsidP="00EF5395">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C53AD7">
        <w:rPr>
          <w:rFonts w:ascii="Arial" w:hAnsi="Arial" w:cs="Arial"/>
          <w:b/>
          <w:noProof/>
          <w:sz w:val="24"/>
          <w:lang w:val="en-US"/>
        </w:rPr>
        <w:t xml:space="preserve">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20339">
        <w:rPr>
          <w:rFonts w:ascii="Arial" w:hAnsi="Arial" w:cs="Arial"/>
          <w:b/>
          <w:noProof/>
          <w:sz w:val="24"/>
          <w:lang w:val="en-US"/>
        </w:rPr>
        <w:t xml:space="preserve"> </w:t>
      </w:r>
      <w:r w:rsidR="00C73845" w:rsidRPr="00C73845">
        <w:rPr>
          <w:rFonts w:ascii="Arial" w:hAnsi="Arial" w:cs="Arial"/>
          <w:b/>
          <w:noProof/>
          <w:sz w:val="24"/>
          <w:lang w:val="en-CN"/>
        </w:rPr>
        <w:t>R4-2400382</w:t>
      </w:r>
    </w:p>
    <w:p w14:paraId="22E8BA59" w14:textId="3D356D45" w:rsidR="00EF5395" w:rsidRDefault="00C53AD7" w:rsidP="00EF5395">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EF5395" w:rsidRPr="00913BDD">
        <w:rPr>
          <w:rFonts w:ascii="Arial" w:hAnsi="Arial" w:cs="Arial"/>
          <w:b/>
          <w:noProof/>
          <w:sz w:val="24"/>
          <w:lang w:val="en-US"/>
        </w:rPr>
        <w:t>,</w:t>
      </w:r>
      <w:r w:rsidR="00EF5395">
        <w:rPr>
          <w:rFonts w:ascii="Arial" w:hAnsi="Arial" w:cs="Arial"/>
          <w:b/>
          <w:noProof/>
          <w:sz w:val="24"/>
          <w:lang w:val="en-US"/>
        </w:rPr>
        <w:t xml:space="preserve"> </w:t>
      </w:r>
      <w:r>
        <w:rPr>
          <w:rFonts w:ascii="Arial" w:hAnsi="Arial" w:cs="Arial"/>
          <w:b/>
          <w:noProof/>
          <w:sz w:val="24"/>
          <w:lang w:val="en-US"/>
        </w:rPr>
        <w:t>Greece</w:t>
      </w:r>
      <w:r w:rsidR="00EF5395">
        <w:rPr>
          <w:rFonts w:ascii="Arial" w:hAnsi="Arial" w:cs="Arial"/>
          <w:b/>
          <w:noProof/>
          <w:sz w:val="24"/>
          <w:lang w:val="en-US"/>
        </w:rPr>
        <w:t>,</w:t>
      </w:r>
      <w:r w:rsidR="00EF5395" w:rsidRPr="00913BDD">
        <w:rPr>
          <w:rFonts w:ascii="Arial" w:hAnsi="Arial" w:cs="Arial"/>
          <w:b/>
          <w:noProof/>
          <w:sz w:val="24"/>
          <w:lang w:val="en-US"/>
        </w:rPr>
        <w:t xml:space="preserve"> </w:t>
      </w:r>
      <w:r w:rsidR="00214BFF">
        <w:rPr>
          <w:rFonts w:ascii="Arial" w:hAnsi="Arial" w:cs="Arial"/>
          <w:b/>
          <w:noProof/>
          <w:sz w:val="24"/>
          <w:lang w:val="en-US"/>
        </w:rPr>
        <w:t>February</w:t>
      </w:r>
      <w:r w:rsidR="00EF5395" w:rsidRPr="00913BDD">
        <w:rPr>
          <w:rFonts w:ascii="Arial" w:hAnsi="Arial" w:cs="Arial"/>
          <w:b/>
          <w:noProof/>
          <w:sz w:val="24"/>
          <w:lang w:val="en-US"/>
        </w:rPr>
        <w:t xml:space="preserve"> </w:t>
      </w:r>
      <w:r>
        <w:rPr>
          <w:rFonts w:ascii="Arial" w:hAnsi="Arial" w:cs="Arial"/>
          <w:b/>
          <w:noProof/>
          <w:sz w:val="24"/>
          <w:lang w:val="en-US"/>
        </w:rPr>
        <w:t>26</w:t>
      </w:r>
      <w:r w:rsidR="00EF5395" w:rsidRPr="00913BDD">
        <w:rPr>
          <w:rFonts w:ascii="Arial" w:hAnsi="Arial" w:cs="Arial"/>
          <w:b/>
          <w:noProof/>
          <w:sz w:val="24"/>
          <w:lang w:val="en-US"/>
        </w:rPr>
        <w:t xml:space="preserve"> –</w:t>
      </w:r>
      <w:r w:rsidR="00EF5395">
        <w:rPr>
          <w:rFonts w:ascii="Arial" w:hAnsi="Arial" w:cs="Arial"/>
          <w:b/>
          <w:noProof/>
          <w:sz w:val="24"/>
          <w:lang w:val="en-US"/>
        </w:rPr>
        <w:t xml:space="preserve"> </w:t>
      </w:r>
      <w:r>
        <w:rPr>
          <w:rFonts w:ascii="Arial" w:hAnsi="Arial" w:cs="Arial"/>
          <w:b/>
          <w:noProof/>
          <w:sz w:val="24"/>
          <w:lang w:val="en-US"/>
        </w:rPr>
        <w:t xml:space="preserve">March </w:t>
      </w:r>
      <w:r w:rsidR="00EF5395">
        <w:rPr>
          <w:rFonts w:ascii="Arial" w:hAnsi="Arial" w:cs="Arial"/>
          <w:b/>
          <w:noProof/>
          <w:sz w:val="24"/>
          <w:lang w:val="en-US"/>
        </w:rPr>
        <w:t>1</w:t>
      </w:r>
      <w:r w:rsidR="00EF5395"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25B7CDC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95204">
        <w:rPr>
          <w:rFonts w:ascii="Arial" w:hAnsi="Arial" w:cs="Arial"/>
          <w:b/>
          <w:sz w:val="22"/>
          <w:szCs w:val="22"/>
          <w:lang w:val="en-US"/>
        </w:rPr>
        <w:t>8</w:t>
      </w:r>
      <w:r w:rsidR="00265A85" w:rsidRPr="00B66FBB">
        <w:rPr>
          <w:rFonts w:ascii="Arial" w:hAnsi="Arial" w:cs="Arial"/>
          <w:b/>
          <w:sz w:val="22"/>
          <w:szCs w:val="22"/>
          <w:lang w:val="en-US"/>
        </w:rPr>
        <w:t>.</w:t>
      </w:r>
      <w:r w:rsidR="00BD6841">
        <w:rPr>
          <w:rFonts w:ascii="Arial" w:hAnsi="Arial" w:cs="Arial"/>
          <w:b/>
          <w:sz w:val="22"/>
          <w:szCs w:val="22"/>
          <w:lang w:val="en-US"/>
        </w:rPr>
        <w:t>5.1.1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6A7AD92" w:rsidR="00712CC1" w:rsidRPr="000545BB" w:rsidRDefault="00712CC1" w:rsidP="00CF7B19">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CF7B19" w:rsidRPr="00CF7B19">
        <w:rPr>
          <w:rFonts w:ascii="Arial" w:hAnsi="Arial" w:cs="Arial"/>
          <w:b/>
          <w:sz w:val="22"/>
          <w:szCs w:val="22"/>
          <w:lang w:val="en-CN"/>
        </w:rPr>
        <w:t>Discussion on performance requirement for pre-configured MGs, multiple concurrent MGs and NCSG</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3EEB1861" w:rsidR="005D3D35" w:rsidRPr="000D5DC6" w:rsidRDefault="007D674D" w:rsidP="005D3D35">
      <w:r>
        <w:t>Performance part of R18 measurement gap enhancement was initially discussed in RAN4#109</w:t>
      </w:r>
      <w:r w:rsidR="005D3D35">
        <w:t>. The last agreements can be found in [1]. In this contribution, we continue discussing the open issue.</w:t>
      </w:r>
    </w:p>
    <w:p w14:paraId="5CA76F19" w14:textId="653B8126" w:rsidR="009905AD" w:rsidRPr="00B55AFB" w:rsidRDefault="00712CC1" w:rsidP="00561889">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r w:rsidR="00561889">
        <w:t xml:space="preserve"> </w:t>
      </w:r>
    </w:p>
    <w:p w14:paraId="34B7AAB2" w14:textId="27D20E18" w:rsidR="004C5C92" w:rsidRDefault="00896B75" w:rsidP="009F064C">
      <w:pPr>
        <w:autoSpaceDE/>
        <w:autoSpaceDN/>
        <w:adjustRightInd/>
        <w:spacing w:after="120"/>
        <w:rPr>
          <w:color w:val="000000" w:themeColor="text1"/>
          <w:szCs w:val="24"/>
          <w:lang w:eastAsia="zh-CN"/>
        </w:rPr>
      </w:pPr>
      <w:r>
        <w:rPr>
          <w:color w:val="000000" w:themeColor="text1"/>
          <w:szCs w:val="24"/>
          <w:lang w:eastAsia="zh-CN"/>
        </w:rPr>
        <w:t>Given that individual of Pre-MG, concurrent gaps and NCSG was introduced in R17 with corresponding test cases, in R18 performance part RAN4 only needs to focus on the delta requirements on top of R17 core and performance requirements.</w:t>
      </w:r>
      <w:r w:rsidR="002E61CB">
        <w:rPr>
          <w:color w:val="000000" w:themeColor="text1"/>
          <w:szCs w:val="24"/>
          <w:lang w:eastAsia="zh-CN"/>
        </w:rPr>
        <w:t xml:space="preserve"> To make sure that all critical functionalities are covered and avoid redundant test coverage on top of R17 existing test cases, we propose the following principles:</w:t>
      </w:r>
    </w:p>
    <w:p w14:paraId="570A25F7" w14:textId="31260DB5" w:rsidR="002E61CB" w:rsidRDefault="002E61CB" w:rsidP="002E61CB">
      <w:pPr>
        <w:pStyle w:val="Caption"/>
        <w:rPr>
          <w:color w:val="000000" w:themeColor="text1"/>
          <w:szCs w:val="24"/>
          <w:lang w:eastAsia="zh-CN"/>
        </w:rPr>
      </w:pPr>
      <w:bookmarkStart w:id="4" w:name="_Ref158722428"/>
      <w:r>
        <w:t xml:space="preserve">Proposal </w:t>
      </w:r>
      <w:r>
        <w:fldChar w:fldCharType="begin"/>
      </w:r>
      <w:r>
        <w:instrText xml:space="preserve"> SEQ Proposal \* ARABIC </w:instrText>
      </w:r>
      <w:r>
        <w:fldChar w:fldCharType="separate"/>
      </w:r>
      <w:r w:rsidR="00EF526E">
        <w:rPr>
          <w:noProof/>
        </w:rPr>
        <w:t>1</w:t>
      </w:r>
      <w:r>
        <w:fldChar w:fldCharType="end"/>
      </w:r>
      <w:r>
        <w:t>: general test configurations for part 1:</w:t>
      </w:r>
      <w:bookmarkEnd w:id="4"/>
    </w:p>
    <w:p w14:paraId="6AE87148" w14:textId="0F13C1EF" w:rsidR="002E61CB" w:rsidRPr="00024826" w:rsidRDefault="002E61CB" w:rsidP="002E61CB">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Only define test case in NR SA in both FR1 and FR2</w:t>
      </w:r>
    </w:p>
    <w:p w14:paraId="724ED7F5" w14:textId="25045613" w:rsidR="002E61CB" w:rsidRPr="00024826" w:rsidRDefault="002E61CB" w:rsidP="002E61CB">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 xml:space="preserve">Do not introduce the test </w:t>
      </w:r>
      <w:r w:rsidR="00B574CC" w:rsidRPr="00024826">
        <w:rPr>
          <w:b/>
          <w:bCs/>
          <w:sz w:val="20"/>
          <w:szCs w:val="20"/>
          <w:lang w:val="en-US" w:eastAsia="zh-CN"/>
        </w:rPr>
        <w:t xml:space="preserve">specifically </w:t>
      </w:r>
      <w:r w:rsidRPr="00024826">
        <w:rPr>
          <w:b/>
          <w:bCs/>
          <w:sz w:val="20"/>
          <w:szCs w:val="20"/>
          <w:lang w:eastAsia="zh-CN"/>
        </w:rPr>
        <w:t>for L1 impac</w:t>
      </w:r>
      <w:r w:rsidRPr="00024826">
        <w:rPr>
          <w:b/>
          <w:bCs/>
          <w:sz w:val="20"/>
          <w:szCs w:val="20"/>
          <w:lang w:val="en-US" w:eastAsia="zh-CN"/>
        </w:rPr>
        <w:t>t</w:t>
      </w:r>
    </w:p>
    <w:p w14:paraId="03771BC9" w14:textId="181EEB53" w:rsidR="002E61CB" w:rsidRPr="00024826" w:rsidRDefault="002E61CB" w:rsidP="002E61CB">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Only define test case under non-DRX</w:t>
      </w:r>
    </w:p>
    <w:p w14:paraId="0B7199DB" w14:textId="68D52542" w:rsidR="002E61CB" w:rsidRPr="00024826" w:rsidRDefault="002E61CB" w:rsidP="002E61CB">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Define test case without SBI reporting</w:t>
      </w:r>
      <w:r w:rsidR="003D2A77" w:rsidRPr="00024826">
        <w:rPr>
          <w:b/>
          <w:bCs/>
          <w:sz w:val="20"/>
          <w:szCs w:val="20"/>
          <w:lang w:val="en-US" w:eastAsia="zh-CN"/>
        </w:rPr>
        <w:t xml:space="preserve"> to reduce testing time</w:t>
      </w:r>
    </w:p>
    <w:p w14:paraId="14D5A667" w14:textId="77777777" w:rsidR="002E61CB" w:rsidRPr="00024826" w:rsidRDefault="002E61CB" w:rsidP="00024826">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 xml:space="preserve">Test cases are limited to single serving carrier: support  </w:t>
      </w:r>
    </w:p>
    <w:p w14:paraId="635D70BE" w14:textId="77777777" w:rsidR="002E61CB" w:rsidRPr="00024826" w:rsidRDefault="002E61CB" w:rsidP="00024826">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Only use mandatory gap patterns to define test cases: support</w:t>
      </w:r>
    </w:p>
    <w:p w14:paraId="51E7EDEB" w14:textId="77777777" w:rsidR="002E61CB" w:rsidRPr="00024826" w:rsidRDefault="002E61CB" w:rsidP="00024826">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Only inter-frequency measurement</w:t>
      </w:r>
    </w:p>
    <w:p w14:paraId="39D72AF9" w14:textId="77777777" w:rsidR="002E61CB" w:rsidRPr="00024826" w:rsidRDefault="002E61CB" w:rsidP="00024826">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Focus on only partially partial overlap in the test case design</w:t>
      </w:r>
    </w:p>
    <w:p w14:paraId="2BC748C2" w14:textId="77777777" w:rsidR="002E61CB" w:rsidRPr="00024826" w:rsidRDefault="002E61CB" w:rsidP="00024826">
      <w:pPr>
        <w:pStyle w:val="ListParagraph"/>
        <w:widowControl/>
        <w:numPr>
          <w:ilvl w:val="0"/>
          <w:numId w:val="26"/>
        </w:numPr>
        <w:overflowPunct w:val="0"/>
        <w:spacing w:after="120" w:line="240" w:lineRule="auto"/>
        <w:ind w:firstLineChars="0"/>
        <w:textAlignment w:val="baseline"/>
        <w:rPr>
          <w:b/>
          <w:bCs/>
          <w:sz w:val="20"/>
          <w:szCs w:val="20"/>
          <w:lang w:eastAsia="zh-CN"/>
        </w:rPr>
      </w:pPr>
      <w:r w:rsidRPr="00024826">
        <w:rPr>
          <w:b/>
          <w:bCs/>
          <w:sz w:val="20"/>
          <w:szCs w:val="20"/>
          <w:lang w:eastAsia="zh-CN"/>
        </w:rPr>
        <w:t>Only consider per-UE + per-UE MGs or per-FR + per-FR MGs configuration</w:t>
      </w:r>
    </w:p>
    <w:p w14:paraId="0BC79200" w14:textId="77777777" w:rsidR="002E61CB" w:rsidRDefault="002E61CB" w:rsidP="002E61CB">
      <w:pPr>
        <w:spacing w:after="120"/>
        <w:rPr>
          <w:lang w:eastAsia="zh-CN"/>
        </w:rPr>
      </w:pPr>
    </w:p>
    <w:p w14:paraId="7A41C8D9" w14:textId="3C7ADEEF" w:rsidR="00E07086" w:rsidRDefault="00E07086" w:rsidP="002E61CB">
      <w:pPr>
        <w:spacing w:after="120"/>
        <w:rPr>
          <w:lang w:eastAsia="zh-CN"/>
        </w:rPr>
      </w:pPr>
      <w:r>
        <w:rPr>
          <w:lang w:eastAsia="zh-CN"/>
        </w:rPr>
        <w:t>Test cases for case 1:</w:t>
      </w:r>
    </w:p>
    <w:p w14:paraId="1B85F95A" w14:textId="77777777" w:rsidR="00E07086" w:rsidRDefault="00E07086" w:rsidP="00E07086">
      <w:pPr>
        <w:rPr>
          <w:b/>
          <w:color w:val="0070C0"/>
          <w:u w:val="single"/>
          <w:lang w:eastAsia="ko-KR"/>
        </w:rPr>
      </w:pPr>
      <w:r w:rsidRPr="00400BCA">
        <w:rPr>
          <w:b/>
          <w:color w:val="0070C0"/>
          <w:u w:val="single"/>
          <w:lang w:eastAsia="ko-KR"/>
        </w:rPr>
        <w:t xml:space="preserve">Issue </w:t>
      </w:r>
      <w:r>
        <w:rPr>
          <w:b/>
          <w:color w:val="0070C0"/>
          <w:u w:val="single"/>
          <w:lang w:eastAsia="ko-KR"/>
        </w:rPr>
        <w:t>5</w:t>
      </w:r>
      <w:r w:rsidRPr="00400BCA">
        <w:rPr>
          <w:b/>
          <w:color w:val="0070C0"/>
          <w:u w:val="single"/>
          <w:lang w:eastAsia="ko-KR"/>
        </w:rPr>
        <w:t>-2-</w:t>
      </w:r>
      <w:r>
        <w:rPr>
          <w:b/>
          <w:color w:val="0070C0"/>
          <w:u w:val="single"/>
          <w:lang w:eastAsia="ko-KR"/>
        </w:rPr>
        <w:t>1</w:t>
      </w:r>
      <w:r w:rsidRPr="00400BCA">
        <w:rPr>
          <w:b/>
          <w:color w:val="0070C0"/>
          <w:u w:val="single"/>
          <w:lang w:eastAsia="ko-KR"/>
        </w:rPr>
        <w:t xml:space="preserve">: [Case </w:t>
      </w:r>
      <w:r>
        <w:rPr>
          <w:b/>
          <w:color w:val="0070C0"/>
          <w:u w:val="single"/>
          <w:lang w:eastAsia="ko-KR"/>
        </w:rPr>
        <w:t>1</w:t>
      </w:r>
      <w:r w:rsidRPr="00400BCA">
        <w:rPr>
          <w:b/>
          <w:color w:val="0070C0"/>
          <w:u w:val="single"/>
          <w:lang w:eastAsia="ko-KR"/>
        </w:rPr>
        <w:t xml:space="preserve">] </w:t>
      </w:r>
      <w:r>
        <w:rPr>
          <w:b/>
          <w:color w:val="0070C0"/>
          <w:u w:val="single"/>
          <w:lang w:eastAsia="ko-KR"/>
        </w:rPr>
        <w:t xml:space="preserve">Which </w:t>
      </w:r>
      <w:r w:rsidRPr="00E22617">
        <w:rPr>
          <w:b/>
          <w:color w:val="0070C0"/>
          <w:u w:val="single"/>
          <w:lang w:eastAsia="ko-KR"/>
        </w:rPr>
        <w:t>topics</w:t>
      </w:r>
      <w:r>
        <w:rPr>
          <w:b/>
          <w:color w:val="0070C0"/>
          <w:u w:val="single"/>
          <w:lang w:eastAsia="ko-KR"/>
        </w:rPr>
        <w:t xml:space="preserve"> shall RAN4 RRM define test cases for </w:t>
      </w:r>
      <w:r w:rsidRPr="00E22617">
        <w:rPr>
          <w:b/>
          <w:color w:val="0070C0"/>
          <w:u w:val="single"/>
          <w:lang w:eastAsia="ko-KR"/>
        </w:rPr>
        <w:t>Pre-MG and concurrent MG (Case 1)</w:t>
      </w:r>
    </w:p>
    <w:p w14:paraId="7DBBB846" w14:textId="77777777" w:rsidR="00E07086" w:rsidRPr="00B649B0" w:rsidRDefault="00E07086" w:rsidP="00E07086">
      <w:pPr>
        <w:spacing w:after="120"/>
        <w:rPr>
          <w:color w:val="000000" w:themeColor="text1"/>
          <w:lang w:eastAsia="zh-CN"/>
        </w:rPr>
      </w:pPr>
      <w:r w:rsidRPr="00B649B0">
        <w:rPr>
          <w:rFonts w:eastAsia="PMingLiU"/>
          <w:lang w:eastAsia="zh-TW"/>
        </w:rPr>
        <w:t xml:space="preserve">&lt; </w:t>
      </w:r>
      <w:r w:rsidRPr="00B649B0">
        <w:rPr>
          <w:rFonts w:eastAsia="PMingLiU"/>
          <w:b/>
          <w:bCs/>
          <w:lang w:eastAsia="zh-TW"/>
        </w:rPr>
        <w:t>Way Forward</w:t>
      </w:r>
      <w:r w:rsidRPr="00B649B0">
        <w:rPr>
          <w:rFonts w:eastAsia="PMingLiU"/>
          <w:lang w:eastAsia="zh-TW"/>
        </w:rPr>
        <w:t xml:space="preserve"> &gt;</w:t>
      </w:r>
    </w:p>
    <w:p w14:paraId="259959AE" w14:textId="77777777" w:rsidR="00E07086" w:rsidRPr="00B649B0" w:rsidRDefault="00E07086" w:rsidP="00E07086">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B649B0">
        <w:rPr>
          <w:color w:val="000000" w:themeColor="text1"/>
          <w:sz w:val="20"/>
          <w:szCs w:val="20"/>
          <w:lang w:eastAsia="zh-CN"/>
        </w:rPr>
        <w:t>FFS the options:</w:t>
      </w:r>
    </w:p>
    <w:p w14:paraId="0712329E"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Option 1:</w:t>
      </w:r>
    </w:p>
    <w:p w14:paraId="602C9909"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Pre-MG + Pre-MG, Pre-MG + Type-2 MG and Pre-MG + Type-1 MG.</w:t>
      </w:r>
    </w:p>
    <w:p w14:paraId="29F7CC9B"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2: </w:t>
      </w:r>
    </w:p>
    <w:p w14:paraId="22712416"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Pre-MG + Pre-MG, Pre-MG + Type-2 MG.</w:t>
      </w:r>
    </w:p>
    <w:p w14:paraId="6982284C"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3: </w:t>
      </w:r>
    </w:p>
    <w:p w14:paraId="4150D050"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sz w:val="20"/>
          <w:szCs w:val="20"/>
          <w:lang w:eastAsia="zh-CN"/>
        </w:rPr>
      </w:pPr>
      <w:r w:rsidRPr="00B649B0">
        <w:rPr>
          <w:sz w:val="20"/>
          <w:szCs w:val="20"/>
          <w:lang w:eastAsia="zh-CN"/>
        </w:rPr>
        <w:t>Concurrent MG and 1 Pre-MG activation / deactivation in same FR</w:t>
      </w:r>
    </w:p>
    <w:p w14:paraId="54546BB2"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Pre-MGs with activation / deactivation in the same FR.</w:t>
      </w:r>
    </w:p>
    <w:p w14:paraId="45B47550"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lastRenderedPageBreak/>
        <w:t xml:space="preserve">Option 4: </w:t>
      </w:r>
    </w:p>
    <w:p w14:paraId="37055C40"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Prioritize testing Type-2 + Pre-MG</w:t>
      </w:r>
    </w:p>
    <w:p w14:paraId="63B0C316"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If Pre-MG + Pre-MG is tested, prioritize test scenarios without dynamic collisions</w:t>
      </w:r>
    </w:p>
    <w:p w14:paraId="0F3919E8"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Deprioritize test scenarios with dynamic collisions</w:t>
      </w:r>
    </w:p>
    <w:p w14:paraId="1CA396E0"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If dynamic collisions are tested, test them with Type-2 + Pre-MG</w:t>
      </w:r>
    </w:p>
    <w:p w14:paraId="4ADFCEB0"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Configure only two MGs in each test case</w:t>
      </w:r>
    </w:p>
    <w:p w14:paraId="07092270"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5: </w:t>
      </w:r>
    </w:p>
    <w:p w14:paraId="047AD6C4"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Pre-MG (de)activation</w:t>
      </w:r>
    </w:p>
    <w:p w14:paraId="778DD9E4"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Pre-MG (de)activation is based on the associated MO or the associated pre-configured status</w:t>
      </w:r>
    </w:p>
    <w:p w14:paraId="17ED04FA"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In non-simultaneous case, the (de)activation delay is same as in Rel-17</w:t>
      </w:r>
    </w:p>
    <w:p w14:paraId="7AE4BC1D"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In simultaneous case, the (de)activation delay is extended by 2ms</w:t>
      </w:r>
    </w:p>
    <w:p w14:paraId="3411A7D0"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Collision handling</w:t>
      </w:r>
    </w:p>
    <w:p w14:paraId="245F9308"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Deactivated pre-MG is not considered in collision</w:t>
      </w:r>
    </w:p>
    <w:p w14:paraId="019863CA"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Dynamic collision including at least scenario 1 and 2</w:t>
      </w:r>
    </w:p>
    <w:p w14:paraId="4E38F39B" w14:textId="53CC85AE" w:rsidR="00E07086" w:rsidRDefault="00B649B0" w:rsidP="00E07086">
      <w:pPr>
        <w:spacing w:after="120"/>
        <w:rPr>
          <w:lang w:eastAsia="zh-CN"/>
        </w:rPr>
      </w:pPr>
      <w:r>
        <w:rPr>
          <w:lang w:eastAsia="zh-CN"/>
        </w:rPr>
        <w:t xml:space="preserve">We support to prioritize Pre-MG + type-2 gap. </w:t>
      </w:r>
      <w:r w:rsidR="00604E19">
        <w:rPr>
          <w:lang w:eastAsia="zh-CN"/>
        </w:rPr>
        <w:t>Regarding Pre-MG + Pre-MG, RAN4 only needs to focus on simultaneous activation</w:t>
      </w:r>
      <w:r w:rsidR="00E1258A">
        <w:rPr>
          <w:lang w:eastAsia="zh-CN"/>
        </w:rPr>
        <w:t xml:space="preserve"> since other functionalities can be covered by Pre-MG + type-2 gap</w:t>
      </w:r>
      <w:r w:rsidR="00FD6094">
        <w:rPr>
          <w:lang w:eastAsia="zh-CN"/>
        </w:rPr>
        <w:t>.</w:t>
      </w:r>
    </w:p>
    <w:p w14:paraId="58C2050A" w14:textId="1C2A6A02" w:rsidR="00E42264" w:rsidRDefault="00E42264" w:rsidP="00E42264">
      <w:pPr>
        <w:pStyle w:val="Caption"/>
        <w:rPr>
          <w:lang w:eastAsia="zh-CN"/>
        </w:rPr>
      </w:pPr>
      <w:bookmarkStart w:id="5" w:name="_Ref158722430"/>
      <w:r>
        <w:t xml:space="preserve">Proposal </w:t>
      </w:r>
      <w:r>
        <w:fldChar w:fldCharType="begin"/>
      </w:r>
      <w:r>
        <w:instrText xml:space="preserve"> SEQ Proposal \* ARABIC </w:instrText>
      </w:r>
      <w:r>
        <w:fldChar w:fldCharType="separate"/>
      </w:r>
      <w:r w:rsidR="00EF526E">
        <w:rPr>
          <w:noProof/>
        </w:rPr>
        <w:t>2</w:t>
      </w:r>
      <w:r>
        <w:fldChar w:fldCharType="end"/>
      </w:r>
      <w:r>
        <w:t xml:space="preserve">: for case 1, RAN4 shall focus on </w:t>
      </w:r>
      <w:r>
        <w:rPr>
          <w:lang w:eastAsia="zh-CN"/>
        </w:rPr>
        <w:t>Pre-MG + type-2 gap. Regarding Pre-MG + Pre-MG, if it is to be introduced, RAN4 only needs to focus on simultaneous activation since other functionalities can be covered by Pre-MG + type-2 gap.</w:t>
      </w:r>
      <w:bookmarkEnd w:id="5"/>
    </w:p>
    <w:p w14:paraId="31E3AFB5" w14:textId="77777777" w:rsidR="00B649B0" w:rsidRDefault="00B649B0" w:rsidP="00E07086">
      <w:pPr>
        <w:spacing w:after="120"/>
        <w:rPr>
          <w:lang w:eastAsia="zh-CN"/>
        </w:rPr>
      </w:pPr>
    </w:p>
    <w:p w14:paraId="3D656B94" w14:textId="77777777" w:rsidR="00B649B0" w:rsidRPr="00B649B0" w:rsidRDefault="00B649B0" w:rsidP="00E07086">
      <w:pPr>
        <w:spacing w:after="120"/>
        <w:rPr>
          <w:lang w:eastAsia="zh-CN"/>
        </w:rPr>
      </w:pPr>
    </w:p>
    <w:p w14:paraId="0E6A0245" w14:textId="6F02AD90" w:rsidR="00F66D68" w:rsidRPr="00B649B0" w:rsidRDefault="00F66D68" w:rsidP="00F66D68">
      <w:pPr>
        <w:spacing w:after="120"/>
        <w:rPr>
          <w:lang w:eastAsia="zh-CN"/>
        </w:rPr>
      </w:pPr>
      <w:r w:rsidRPr="00B649B0">
        <w:rPr>
          <w:lang w:eastAsia="zh-CN"/>
        </w:rPr>
        <w:t>Test cases for case 2:</w:t>
      </w:r>
    </w:p>
    <w:p w14:paraId="1483069C" w14:textId="77777777" w:rsidR="00E07086" w:rsidRPr="00B649B0" w:rsidRDefault="00E07086" w:rsidP="00E07086">
      <w:pPr>
        <w:rPr>
          <w:b/>
          <w:color w:val="0070C0"/>
          <w:u w:val="single"/>
          <w:lang w:eastAsia="ko-KR"/>
        </w:rPr>
      </w:pPr>
      <w:r w:rsidRPr="00B649B0">
        <w:rPr>
          <w:b/>
          <w:color w:val="0070C0"/>
          <w:u w:val="single"/>
          <w:lang w:eastAsia="ko-KR"/>
        </w:rPr>
        <w:t>Issue 5-3-1: [Case 2] Which topics shall RAN4 RRM define test cases for NCSG and concurrent MG (Case 2)</w:t>
      </w:r>
    </w:p>
    <w:p w14:paraId="01A14141" w14:textId="77777777" w:rsidR="00E07086" w:rsidRPr="00B649B0" w:rsidRDefault="00E07086" w:rsidP="00E07086">
      <w:pPr>
        <w:spacing w:after="120"/>
        <w:rPr>
          <w:color w:val="000000" w:themeColor="text1"/>
          <w:lang w:eastAsia="zh-CN"/>
        </w:rPr>
      </w:pPr>
      <w:r w:rsidRPr="00B649B0">
        <w:rPr>
          <w:rFonts w:eastAsia="PMingLiU"/>
          <w:lang w:eastAsia="zh-TW"/>
        </w:rPr>
        <w:t xml:space="preserve">&lt; </w:t>
      </w:r>
      <w:r w:rsidRPr="00B649B0">
        <w:rPr>
          <w:rFonts w:eastAsia="PMingLiU"/>
          <w:b/>
          <w:bCs/>
          <w:lang w:eastAsia="zh-TW"/>
        </w:rPr>
        <w:t>Way Forward</w:t>
      </w:r>
      <w:r w:rsidRPr="00B649B0">
        <w:rPr>
          <w:rFonts w:eastAsia="PMingLiU"/>
          <w:lang w:eastAsia="zh-TW"/>
        </w:rPr>
        <w:t xml:space="preserve"> &gt;</w:t>
      </w:r>
    </w:p>
    <w:p w14:paraId="2250FF08" w14:textId="77777777" w:rsidR="00E07086" w:rsidRPr="00B649B0" w:rsidRDefault="00E07086" w:rsidP="00E07086">
      <w:pPr>
        <w:pStyle w:val="ListParagraph"/>
        <w:widowControl/>
        <w:numPr>
          <w:ilvl w:val="0"/>
          <w:numId w:val="26"/>
        </w:numPr>
        <w:autoSpaceDE/>
        <w:autoSpaceDN/>
        <w:adjustRightInd/>
        <w:spacing w:after="120" w:line="240" w:lineRule="auto"/>
        <w:ind w:left="720" w:firstLineChars="0"/>
        <w:rPr>
          <w:color w:val="000000" w:themeColor="text1"/>
          <w:sz w:val="20"/>
          <w:szCs w:val="20"/>
          <w:lang w:eastAsia="zh-CN"/>
        </w:rPr>
      </w:pPr>
      <w:r w:rsidRPr="00B649B0">
        <w:rPr>
          <w:color w:val="000000" w:themeColor="text1"/>
          <w:sz w:val="20"/>
          <w:szCs w:val="20"/>
          <w:lang w:eastAsia="zh-CN"/>
        </w:rPr>
        <w:t>FFS the options:</w:t>
      </w:r>
    </w:p>
    <w:p w14:paraId="18549407"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1: </w:t>
      </w:r>
    </w:p>
    <w:p w14:paraId="7FBF7F68"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NCSG + NCSG, NCSG + Type-2 MG and NCSG + Type-1 MG.</w:t>
      </w:r>
    </w:p>
    <w:p w14:paraId="7087BD70"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2: </w:t>
      </w:r>
    </w:p>
    <w:p w14:paraId="227B757D"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NCSG + NCSG, NCSG + Type-2 MG.</w:t>
      </w:r>
    </w:p>
    <w:p w14:paraId="7557035D"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3: </w:t>
      </w:r>
    </w:p>
    <w:p w14:paraId="26290784"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sz w:val="20"/>
          <w:szCs w:val="20"/>
          <w:lang w:eastAsia="zh-CN"/>
        </w:rPr>
      </w:pPr>
      <w:r w:rsidRPr="00B649B0">
        <w:rPr>
          <w:sz w:val="20"/>
          <w:szCs w:val="20"/>
          <w:lang w:eastAsia="zh-CN"/>
        </w:rPr>
        <w:t>1 Concurrent MG and 1 NCSG in the same FR</w:t>
      </w:r>
    </w:p>
    <w:p w14:paraId="0F1208AE"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sz w:val="20"/>
          <w:szCs w:val="20"/>
          <w:lang w:eastAsia="zh-CN"/>
        </w:rPr>
      </w:pPr>
      <w:r w:rsidRPr="00B649B0">
        <w:rPr>
          <w:sz w:val="20"/>
          <w:szCs w:val="20"/>
          <w:lang w:eastAsia="zh-CN"/>
        </w:rPr>
        <w:t xml:space="preserve">2 NCSGs (non-overlapping) in the same FR </w:t>
      </w:r>
    </w:p>
    <w:p w14:paraId="41E3B7C1" w14:textId="77777777" w:rsidR="00E07086" w:rsidRPr="00B649B0" w:rsidRDefault="00E07086" w:rsidP="00E07086">
      <w:pPr>
        <w:pStyle w:val="ListParagraph"/>
        <w:widowControl/>
        <w:numPr>
          <w:ilvl w:val="2"/>
          <w:numId w:val="26"/>
        </w:numPr>
        <w:autoSpaceDE/>
        <w:autoSpaceDN/>
        <w:adjustRightInd/>
        <w:spacing w:after="120" w:line="240" w:lineRule="auto"/>
        <w:ind w:firstLineChars="0"/>
        <w:rPr>
          <w:color w:val="000000" w:themeColor="text1"/>
          <w:sz w:val="20"/>
          <w:szCs w:val="20"/>
          <w:lang w:eastAsia="zh-CN"/>
        </w:rPr>
      </w:pPr>
      <w:r w:rsidRPr="00B649B0">
        <w:rPr>
          <w:sz w:val="20"/>
          <w:szCs w:val="20"/>
          <w:lang w:eastAsia="zh-CN"/>
        </w:rPr>
        <w:t xml:space="preserve">Measurement for deactivated </w:t>
      </w:r>
      <w:proofErr w:type="spellStart"/>
      <w:r w:rsidRPr="00B649B0">
        <w:rPr>
          <w:sz w:val="20"/>
          <w:szCs w:val="20"/>
          <w:lang w:eastAsia="zh-CN"/>
        </w:rPr>
        <w:t>SCells</w:t>
      </w:r>
      <w:proofErr w:type="spellEnd"/>
      <w:r w:rsidRPr="00B649B0">
        <w:rPr>
          <w:sz w:val="20"/>
          <w:szCs w:val="20"/>
          <w:lang w:eastAsia="zh-CN"/>
        </w:rPr>
        <w:t xml:space="preserve"> with 1 Concurrent MG (w/o gap or with NCSG, as being discussed for Rel-17 maintenance).</w:t>
      </w:r>
    </w:p>
    <w:p w14:paraId="580D37F6"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4: </w:t>
      </w:r>
    </w:p>
    <w:p w14:paraId="0E28B1D6"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 xml:space="preserve">Collision definition </w:t>
      </w:r>
    </w:p>
    <w:p w14:paraId="4A3B0D92"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 xml:space="preserve">Total NCSG duration, including both the VILs and the ML are considered in the proximity </w:t>
      </w:r>
    </w:p>
    <w:p w14:paraId="56848808"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 xml:space="preserve">[Deactivated </w:t>
      </w:r>
      <w:proofErr w:type="spellStart"/>
      <w:r w:rsidRPr="00B649B0">
        <w:rPr>
          <w:color w:val="000000" w:themeColor="text1"/>
          <w:sz w:val="20"/>
          <w:szCs w:val="20"/>
          <w:lang w:eastAsia="zh-CN"/>
        </w:rPr>
        <w:t>SCell</w:t>
      </w:r>
      <w:proofErr w:type="spellEnd"/>
      <w:r w:rsidRPr="00B649B0">
        <w:rPr>
          <w:color w:val="000000" w:themeColor="text1"/>
          <w:sz w:val="20"/>
          <w:szCs w:val="20"/>
          <w:lang w:eastAsia="zh-CN"/>
        </w:rPr>
        <w:t xml:space="preserve"> measurement </w:t>
      </w:r>
    </w:p>
    <w:p w14:paraId="35638D9F" w14:textId="77777777" w:rsidR="00E07086" w:rsidRPr="00B649B0" w:rsidRDefault="00E07086" w:rsidP="00E07086">
      <w:pPr>
        <w:pStyle w:val="ListParagraph"/>
        <w:widowControl/>
        <w:numPr>
          <w:ilvl w:val="3"/>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t xml:space="preserve">Deactivated </w:t>
      </w:r>
      <w:proofErr w:type="spellStart"/>
      <w:r w:rsidRPr="00B649B0">
        <w:rPr>
          <w:color w:val="000000" w:themeColor="text1"/>
          <w:sz w:val="20"/>
          <w:szCs w:val="20"/>
          <w:lang w:eastAsia="zh-CN"/>
        </w:rPr>
        <w:t>SCell</w:t>
      </w:r>
      <w:proofErr w:type="spellEnd"/>
      <w:r w:rsidRPr="00B649B0">
        <w:rPr>
          <w:color w:val="000000" w:themeColor="text1"/>
          <w:sz w:val="20"/>
          <w:szCs w:val="20"/>
          <w:lang w:eastAsia="zh-CN"/>
        </w:rPr>
        <w:t xml:space="preserve"> is measured in NCSG regardless of the gap association] </w:t>
      </w:r>
    </w:p>
    <w:p w14:paraId="473CEA1F" w14:textId="77777777" w:rsidR="00E07086" w:rsidRPr="00B649B0" w:rsidRDefault="00E07086" w:rsidP="00E07086">
      <w:pPr>
        <w:pStyle w:val="ListParagraph"/>
        <w:widowControl/>
        <w:numPr>
          <w:ilvl w:val="1"/>
          <w:numId w:val="26"/>
        </w:numPr>
        <w:autoSpaceDE/>
        <w:autoSpaceDN/>
        <w:adjustRightInd/>
        <w:spacing w:after="120" w:line="240" w:lineRule="auto"/>
        <w:ind w:left="1440" w:firstLineChars="0"/>
        <w:rPr>
          <w:color w:val="000000" w:themeColor="text1"/>
          <w:sz w:val="20"/>
          <w:szCs w:val="20"/>
          <w:lang w:eastAsia="zh-CN"/>
        </w:rPr>
      </w:pPr>
      <w:r w:rsidRPr="00B649B0">
        <w:rPr>
          <w:color w:val="000000" w:themeColor="text1"/>
          <w:sz w:val="20"/>
          <w:szCs w:val="20"/>
          <w:lang w:eastAsia="zh-CN"/>
        </w:rPr>
        <w:t xml:space="preserve">Option 5: </w:t>
      </w:r>
    </w:p>
    <w:p w14:paraId="06EE8D8B" w14:textId="77777777" w:rsidR="00E07086" w:rsidRPr="00B649B0" w:rsidRDefault="00E07086" w:rsidP="00E07086">
      <w:pPr>
        <w:pStyle w:val="ListParagraph"/>
        <w:widowControl/>
        <w:numPr>
          <w:ilvl w:val="2"/>
          <w:numId w:val="26"/>
        </w:numPr>
        <w:overflowPunct w:val="0"/>
        <w:spacing w:after="120" w:line="240" w:lineRule="auto"/>
        <w:ind w:firstLineChars="0"/>
        <w:textAlignment w:val="baseline"/>
        <w:rPr>
          <w:color w:val="000000" w:themeColor="text1"/>
          <w:sz w:val="20"/>
          <w:szCs w:val="20"/>
          <w:lang w:eastAsia="zh-CN"/>
        </w:rPr>
      </w:pPr>
      <w:r w:rsidRPr="00B649B0">
        <w:rPr>
          <w:color w:val="000000" w:themeColor="text1"/>
          <w:sz w:val="20"/>
          <w:szCs w:val="20"/>
          <w:lang w:eastAsia="zh-CN"/>
        </w:rPr>
        <w:lastRenderedPageBreak/>
        <w:t xml:space="preserve">Prioritize testing NCSG + Pre-MG </w:t>
      </w:r>
    </w:p>
    <w:p w14:paraId="2B9B43D5" w14:textId="706E3B43" w:rsidR="00E07086" w:rsidRDefault="00706C88" w:rsidP="002E61CB">
      <w:pPr>
        <w:spacing w:after="120"/>
        <w:rPr>
          <w:lang w:eastAsia="zh-CN"/>
        </w:rPr>
      </w:pPr>
      <w:r>
        <w:rPr>
          <w:lang w:eastAsia="zh-CN"/>
        </w:rPr>
        <w:t>For case 2, RAN4 shall focus on NCSG + type-2 gap and NCSG + NCSG. Regarding measurement on deactivated SCC, it can be discussed once corresponding RAN4 design is complete.</w:t>
      </w:r>
    </w:p>
    <w:p w14:paraId="665414E8" w14:textId="4E67D343" w:rsidR="00EF526E" w:rsidRDefault="00EF526E" w:rsidP="00EF526E">
      <w:pPr>
        <w:pStyle w:val="Caption"/>
        <w:rPr>
          <w:lang w:eastAsia="zh-CN"/>
        </w:rPr>
      </w:pPr>
      <w:bookmarkStart w:id="6" w:name="_Ref158722434"/>
      <w:r>
        <w:t xml:space="preserve">Proposal </w:t>
      </w:r>
      <w:r>
        <w:fldChar w:fldCharType="begin"/>
      </w:r>
      <w:r>
        <w:instrText xml:space="preserve"> SEQ Proposal \* ARABIC </w:instrText>
      </w:r>
      <w:r>
        <w:fldChar w:fldCharType="separate"/>
      </w:r>
      <w:r>
        <w:rPr>
          <w:noProof/>
        </w:rPr>
        <w:t>3</w:t>
      </w:r>
      <w:r>
        <w:fldChar w:fldCharType="end"/>
      </w:r>
      <w:r>
        <w:t xml:space="preserve">: for case 2, RAN4 shall focus on NCSG </w:t>
      </w:r>
      <w:r>
        <w:rPr>
          <w:lang w:eastAsia="zh-CN"/>
        </w:rPr>
        <w:t>+ type-2 gap and NCSG + NCSG.</w:t>
      </w:r>
      <w:bookmarkEnd w:id="6"/>
    </w:p>
    <w:p w14:paraId="075E4758" w14:textId="2C96454C" w:rsidR="00EF526E" w:rsidRPr="00EF526E" w:rsidRDefault="00EF526E" w:rsidP="00EF526E">
      <w:pPr>
        <w:pStyle w:val="Caption"/>
        <w:rPr>
          <w:lang w:eastAsia="zh-CN"/>
        </w:rPr>
      </w:pPr>
      <w:bookmarkStart w:id="7" w:name="_Ref158722436"/>
      <w:r>
        <w:t xml:space="preserve">Proposal </w:t>
      </w:r>
      <w:r>
        <w:fldChar w:fldCharType="begin"/>
      </w:r>
      <w:r>
        <w:instrText xml:space="preserve"> SEQ Proposal \* ARABIC </w:instrText>
      </w:r>
      <w:r>
        <w:fldChar w:fldCharType="separate"/>
      </w:r>
      <w:r>
        <w:rPr>
          <w:noProof/>
        </w:rPr>
        <w:t>4</w:t>
      </w:r>
      <w:r>
        <w:fldChar w:fldCharType="end"/>
      </w:r>
      <w:r>
        <w:t>: test case for measurement on deactivated SCC with NCSG can be postponed.</w:t>
      </w:r>
      <w:bookmarkEnd w:id="7"/>
    </w:p>
    <w:p w14:paraId="286DA89A" w14:textId="77777777" w:rsidR="002E61CB" w:rsidRPr="00B649B0" w:rsidRDefault="002E61CB" w:rsidP="009F064C">
      <w:pPr>
        <w:autoSpaceDE/>
        <w:autoSpaceDN/>
        <w:adjustRightInd/>
        <w:spacing w:after="120"/>
        <w:rPr>
          <w:color w:val="000000" w:themeColor="text1"/>
          <w:lang w:eastAsia="zh-CN"/>
        </w:rPr>
      </w:pPr>
    </w:p>
    <w:p w14:paraId="4F7A8465" w14:textId="77777777" w:rsidR="00B30A78" w:rsidRPr="00927D0A" w:rsidRDefault="00B30A78" w:rsidP="004C5C92">
      <w:pPr>
        <w:overflowPunct/>
        <w:autoSpaceDE/>
        <w:autoSpaceDN/>
        <w:adjustRightInd/>
        <w:spacing w:after="0"/>
        <w:textAlignment w:val="auto"/>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8A7763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case 1 requirements</w:t>
      </w:r>
      <w:r w:rsidR="00780A46" w:rsidRPr="00B66FBB">
        <w:rPr>
          <w:rFonts w:cs="v4.2.0"/>
          <w:lang w:val="en-US" w:eastAsia="zh-CN"/>
        </w:rPr>
        <w:t>. After discussion, the following conclusions are provided:</w:t>
      </w:r>
    </w:p>
    <w:p w14:paraId="6AE69A4A" w14:textId="5D3CEBFA" w:rsidR="005F21CF" w:rsidRPr="00BA6EBE" w:rsidRDefault="00BA6EBE" w:rsidP="000D3027">
      <w:pPr>
        <w:jc w:val="both"/>
        <w:rPr>
          <w:rFonts w:cs="v4.2.0"/>
          <w:b/>
          <w:bCs/>
          <w:lang w:val="en-US" w:eastAsia="zh-CN"/>
        </w:rPr>
      </w:pPr>
      <w:r w:rsidRPr="00BA6EBE">
        <w:rPr>
          <w:rFonts w:cs="v4.2.0"/>
          <w:b/>
          <w:bCs/>
          <w:lang w:val="en-US" w:eastAsia="zh-CN"/>
        </w:rPr>
        <w:fldChar w:fldCharType="begin"/>
      </w:r>
      <w:r w:rsidRPr="00BA6EBE">
        <w:rPr>
          <w:rFonts w:cs="v4.2.0"/>
          <w:b/>
          <w:bCs/>
          <w:lang w:val="en-US" w:eastAsia="zh-CN"/>
        </w:rPr>
        <w:instrText xml:space="preserve"> REF _Ref158722428 \h  \* MERGEFORMAT </w:instrText>
      </w:r>
      <w:r w:rsidRPr="00BA6EBE">
        <w:rPr>
          <w:rFonts w:cs="v4.2.0"/>
          <w:b/>
          <w:bCs/>
          <w:lang w:val="en-US" w:eastAsia="zh-CN"/>
        </w:rPr>
      </w:r>
      <w:r w:rsidRPr="00BA6EBE">
        <w:rPr>
          <w:rFonts w:cs="v4.2.0"/>
          <w:b/>
          <w:bCs/>
          <w:lang w:val="en-US" w:eastAsia="zh-CN"/>
        </w:rPr>
        <w:fldChar w:fldCharType="separate"/>
      </w:r>
      <w:r w:rsidRPr="00BA6EBE">
        <w:rPr>
          <w:b/>
          <w:bCs/>
        </w:rPr>
        <w:t xml:space="preserve">Proposal </w:t>
      </w:r>
      <w:r w:rsidRPr="00BA6EBE">
        <w:rPr>
          <w:b/>
          <w:bCs/>
          <w:noProof/>
        </w:rPr>
        <w:t>1</w:t>
      </w:r>
      <w:r w:rsidRPr="00BA6EBE">
        <w:rPr>
          <w:b/>
          <w:bCs/>
        </w:rPr>
        <w:t>: general test configurations for part 1:</w:t>
      </w:r>
      <w:r w:rsidRPr="00BA6EBE">
        <w:rPr>
          <w:rFonts w:cs="v4.2.0"/>
          <w:b/>
          <w:bCs/>
          <w:lang w:val="en-US" w:eastAsia="zh-CN"/>
        </w:rPr>
        <w:fldChar w:fldCharType="end"/>
      </w:r>
    </w:p>
    <w:p w14:paraId="1D4D10B1"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Only define test case in NR SA in both FR1 and FR2</w:t>
      </w:r>
    </w:p>
    <w:p w14:paraId="3086208E"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 xml:space="preserve">Do not introduce the test </w:t>
      </w:r>
      <w:r w:rsidRPr="00BA6EBE">
        <w:rPr>
          <w:b/>
          <w:bCs/>
          <w:sz w:val="20"/>
          <w:szCs w:val="20"/>
          <w:lang w:val="en-US" w:eastAsia="zh-CN"/>
        </w:rPr>
        <w:t xml:space="preserve">specifically </w:t>
      </w:r>
      <w:r w:rsidRPr="00BA6EBE">
        <w:rPr>
          <w:b/>
          <w:bCs/>
          <w:sz w:val="20"/>
          <w:szCs w:val="20"/>
          <w:lang w:eastAsia="zh-CN"/>
        </w:rPr>
        <w:t>for L1 impac</w:t>
      </w:r>
      <w:r w:rsidRPr="00BA6EBE">
        <w:rPr>
          <w:b/>
          <w:bCs/>
          <w:sz w:val="20"/>
          <w:szCs w:val="20"/>
          <w:lang w:val="en-US" w:eastAsia="zh-CN"/>
        </w:rPr>
        <w:t>t</w:t>
      </w:r>
    </w:p>
    <w:p w14:paraId="249BC1A7"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Only define test case under non-DRX</w:t>
      </w:r>
    </w:p>
    <w:p w14:paraId="0660E3E3"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Define test case without SBI reporting</w:t>
      </w:r>
      <w:r w:rsidRPr="00BA6EBE">
        <w:rPr>
          <w:b/>
          <w:bCs/>
          <w:sz w:val="20"/>
          <w:szCs w:val="20"/>
          <w:lang w:val="en-US" w:eastAsia="zh-CN"/>
        </w:rPr>
        <w:t xml:space="preserve"> to reduce testing time</w:t>
      </w:r>
    </w:p>
    <w:p w14:paraId="4E132221"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 xml:space="preserve">Test cases are limited to single serving carrier: support  </w:t>
      </w:r>
    </w:p>
    <w:p w14:paraId="4F111B56"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Only use mandatory gap patterns to define test cases: support</w:t>
      </w:r>
    </w:p>
    <w:p w14:paraId="5E5299CB"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Only inter-frequency measurement</w:t>
      </w:r>
    </w:p>
    <w:p w14:paraId="21E2DBA3"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Focus on only partially partial overlap in the test case design</w:t>
      </w:r>
    </w:p>
    <w:p w14:paraId="1710BC5B" w14:textId="77777777" w:rsidR="00BA6EBE" w:rsidRPr="00BA6EBE" w:rsidRDefault="00BA6EBE" w:rsidP="00BA6EBE">
      <w:pPr>
        <w:pStyle w:val="ListParagraph"/>
        <w:widowControl/>
        <w:numPr>
          <w:ilvl w:val="0"/>
          <w:numId w:val="26"/>
        </w:numPr>
        <w:overflowPunct w:val="0"/>
        <w:spacing w:after="120" w:line="240" w:lineRule="auto"/>
        <w:ind w:firstLineChars="0"/>
        <w:textAlignment w:val="baseline"/>
        <w:rPr>
          <w:b/>
          <w:bCs/>
          <w:sz w:val="20"/>
          <w:szCs w:val="20"/>
          <w:lang w:eastAsia="zh-CN"/>
        </w:rPr>
      </w:pPr>
      <w:r w:rsidRPr="00BA6EBE">
        <w:rPr>
          <w:b/>
          <w:bCs/>
          <w:sz w:val="20"/>
          <w:szCs w:val="20"/>
          <w:lang w:eastAsia="zh-CN"/>
        </w:rPr>
        <w:t>Only consider per-UE + per-UE MGs or per-FR + per-FR MGs configuration</w:t>
      </w:r>
    </w:p>
    <w:p w14:paraId="7B3AAB0E" w14:textId="0535B8A8" w:rsidR="00BA6EBE" w:rsidRPr="00BA6EBE" w:rsidRDefault="00BA6EBE" w:rsidP="000D3027">
      <w:pPr>
        <w:jc w:val="both"/>
        <w:rPr>
          <w:rFonts w:cs="v4.2.0"/>
          <w:b/>
          <w:bCs/>
          <w:lang w:val="en-US" w:eastAsia="zh-CN"/>
        </w:rPr>
      </w:pPr>
      <w:r w:rsidRPr="00BA6EBE">
        <w:rPr>
          <w:rFonts w:cs="v4.2.0"/>
          <w:b/>
          <w:bCs/>
          <w:lang w:val="en-US" w:eastAsia="zh-CN"/>
        </w:rPr>
        <w:fldChar w:fldCharType="begin"/>
      </w:r>
      <w:r w:rsidRPr="00BA6EBE">
        <w:rPr>
          <w:rFonts w:cs="v4.2.0"/>
          <w:b/>
          <w:bCs/>
          <w:lang w:val="en-US" w:eastAsia="zh-CN"/>
        </w:rPr>
        <w:instrText xml:space="preserve"> REF _Ref158722430 \h  \* MERGEFORMAT </w:instrText>
      </w:r>
      <w:r w:rsidRPr="00BA6EBE">
        <w:rPr>
          <w:rFonts w:cs="v4.2.0"/>
          <w:b/>
          <w:bCs/>
          <w:lang w:val="en-US" w:eastAsia="zh-CN"/>
        </w:rPr>
      </w:r>
      <w:r w:rsidRPr="00BA6EBE">
        <w:rPr>
          <w:rFonts w:cs="v4.2.0"/>
          <w:b/>
          <w:bCs/>
          <w:lang w:val="en-US" w:eastAsia="zh-CN"/>
        </w:rPr>
        <w:fldChar w:fldCharType="separate"/>
      </w:r>
      <w:r w:rsidRPr="00BA6EBE">
        <w:rPr>
          <w:b/>
          <w:bCs/>
        </w:rPr>
        <w:t xml:space="preserve">Proposal </w:t>
      </w:r>
      <w:r w:rsidRPr="00BA6EBE">
        <w:rPr>
          <w:b/>
          <w:bCs/>
          <w:noProof/>
        </w:rPr>
        <w:t>2</w:t>
      </w:r>
      <w:r w:rsidRPr="00BA6EBE">
        <w:rPr>
          <w:b/>
          <w:bCs/>
        </w:rPr>
        <w:t xml:space="preserve">: for case 1, RAN4 shall focus on </w:t>
      </w:r>
      <w:r w:rsidRPr="00BA6EBE">
        <w:rPr>
          <w:b/>
          <w:bCs/>
          <w:lang w:eastAsia="zh-CN"/>
        </w:rPr>
        <w:t>Pre-MG + type-2 gap. Regarding Pre-MG + Pre-MG, if it is to be introduced, RAN4 only needs to focus on simultaneous activation since other functionalities can be covered by Pre-MG + type-2 gap.</w:t>
      </w:r>
      <w:r w:rsidRPr="00BA6EBE">
        <w:rPr>
          <w:rFonts w:cs="v4.2.0"/>
          <w:b/>
          <w:bCs/>
          <w:lang w:val="en-US" w:eastAsia="zh-CN"/>
        </w:rPr>
        <w:fldChar w:fldCharType="end"/>
      </w:r>
    </w:p>
    <w:p w14:paraId="495A9150" w14:textId="78F9A88B" w:rsidR="00BA6EBE" w:rsidRPr="00BA6EBE" w:rsidRDefault="00BA6EBE" w:rsidP="000D3027">
      <w:pPr>
        <w:jc w:val="both"/>
        <w:rPr>
          <w:rFonts w:cs="v4.2.0"/>
          <w:b/>
          <w:bCs/>
          <w:lang w:val="en-US" w:eastAsia="zh-CN"/>
        </w:rPr>
      </w:pPr>
      <w:r w:rsidRPr="00BA6EBE">
        <w:rPr>
          <w:rFonts w:cs="v4.2.0"/>
          <w:b/>
          <w:bCs/>
          <w:lang w:val="en-US" w:eastAsia="zh-CN"/>
        </w:rPr>
        <w:fldChar w:fldCharType="begin"/>
      </w:r>
      <w:r w:rsidRPr="00BA6EBE">
        <w:rPr>
          <w:rFonts w:cs="v4.2.0"/>
          <w:b/>
          <w:bCs/>
          <w:lang w:val="en-US" w:eastAsia="zh-CN"/>
        </w:rPr>
        <w:instrText xml:space="preserve"> REF _Ref158722434 \h  \* MERGEFORMAT </w:instrText>
      </w:r>
      <w:r w:rsidRPr="00BA6EBE">
        <w:rPr>
          <w:rFonts w:cs="v4.2.0"/>
          <w:b/>
          <w:bCs/>
          <w:lang w:val="en-US" w:eastAsia="zh-CN"/>
        </w:rPr>
      </w:r>
      <w:r w:rsidRPr="00BA6EBE">
        <w:rPr>
          <w:rFonts w:cs="v4.2.0"/>
          <w:b/>
          <w:bCs/>
          <w:lang w:val="en-US" w:eastAsia="zh-CN"/>
        </w:rPr>
        <w:fldChar w:fldCharType="separate"/>
      </w:r>
      <w:r w:rsidRPr="00BA6EBE">
        <w:rPr>
          <w:b/>
          <w:bCs/>
        </w:rPr>
        <w:t xml:space="preserve">Proposal </w:t>
      </w:r>
      <w:r w:rsidRPr="00BA6EBE">
        <w:rPr>
          <w:b/>
          <w:bCs/>
          <w:noProof/>
        </w:rPr>
        <w:t>3</w:t>
      </w:r>
      <w:r w:rsidRPr="00BA6EBE">
        <w:rPr>
          <w:b/>
          <w:bCs/>
        </w:rPr>
        <w:t xml:space="preserve">: for case 2, RAN4 shall focus on NCSG </w:t>
      </w:r>
      <w:r w:rsidRPr="00BA6EBE">
        <w:rPr>
          <w:b/>
          <w:bCs/>
          <w:lang w:eastAsia="zh-CN"/>
        </w:rPr>
        <w:t>+ type-2 gap and NCSG + NCSG.</w:t>
      </w:r>
      <w:r w:rsidRPr="00BA6EBE">
        <w:rPr>
          <w:rFonts w:cs="v4.2.0"/>
          <w:b/>
          <w:bCs/>
          <w:lang w:val="en-US" w:eastAsia="zh-CN"/>
        </w:rPr>
        <w:fldChar w:fldCharType="end"/>
      </w:r>
    </w:p>
    <w:p w14:paraId="5CED007C" w14:textId="1CC3E073" w:rsidR="00BA6EBE" w:rsidRPr="00BA6EBE" w:rsidRDefault="00BA6EBE" w:rsidP="000D3027">
      <w:pPr>
        <w:jc w:val="both"/>
        <w:rPr>
          <w:rFonts w:cs="v4.2.0"/>
          <w:b/>
          <w:bCs/>
          <w:lang w:val="en-US" w:eastAsia="zh-CN"/>
        </w:rPr>
      </w:pPr>
      <w:r w:rsidRPr="00BA6EBE">
        <w:rPr>
          <w:rFonts w:cs="v4.2.0"/>
          <w:b/>
          <w:bCs/>
          <w:lang w:val="en-US" w:eastAsia="zh-CN"/>
        </w:rPr>
        <w:fldChar w:fldCharType="begin"/>
      </w:r>
      <w:r w:rsidRPr="00BA6EBE">
        <w:rPr>
          <w:rFonts w:cs="v4.2.0"/>
          <w:b/>
          <w:bCs/>
          <w:lang w:val="en-US" w:eastAsia="zh-CN"/>
        </w:rPr>
        <w:instrText xml:space="preserve"> REF _Ref158722436 \h  \* MERGEFORMAT </w:instrText>
      </w:r>
      <w:r w:rsidRPr="00BA6EBE">
        <w:rPr>
          <w:rFonts w:cs="v4.2.0"/>
          <w:b/>
          <w:bCs/>
          <w:lang w:val="en-US" w:eastAsia="zh-CN"/>
        </w:rPr>
      </w:r>
      <w:r w:rsidRPr="00BA6EBE">
        <w:rPr>
          <w:rFonts w:cs="v4.2.0"/>
          <w:b/>
          <w:bCs/>
          <w:lang w:val="en-US" w:eastAsia="zh-CN"/>
        </w:rPr>
        <w:fldChar w:fldCharType="separate"/>
      </w:r>
      <w:r w:rsidRPr="00BA6EBE">
        <w:rPr>
          <w:b/>
          <w:bCs/>
        </w:rPr>
        <w:t xml:space="preserve">Proposal </w:t>
      </w:r>
      <w:r w:rsidRPr="00BA6EBE">
        <w:rPr>
          <w:b/>
          <w:bCs/>
          <w:noProof/>
        </w:rPr>
        <w:t>4</w:t>
      </w:r>
      <w:r w:rsidRPr="00BA6EBE">
        <w:rPr>
          <w:b/>
          <w:bCs/>
        </w:rPr>
        <w:t>: test case for measurement on deactivated SCC with NCSG can be postponed.</w:t>
      </w:r>
      <w:r w:rsidRPr="00BA6EBE">
        <w:rPr>
          <w:rFonts w:cs="v4.2.0"/>
          <w:b/>
          <w:bCs/>
          <w:lang w:val="en-US" w:eastAsia="zh-CN"/>
        </w:rPr>
        <w:fldChar w:fldCharType="end"/>
      </w:r>
    </w:p>
    <w:p w14:paraId="47D71E71" w14:textId="77777777" w:rsidR="00BA6EBE" w:rsidRPr="00B66FBB" w:rsidRDefault="00BA6EBE"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7BD62DAC" w:rsidR="00737DBF" w:rsidRPr="00554008" w:rsidRDefault="00284AEB" w:rsidP="00554008">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sectPr w:rsidR="00737DBF" w:rsidRPr="00554008" w:rsidSect="00616861">
      <w:headerReference w:type="even" r:id="rId8"/>
      <w:footnotePr>
        <w:numRestart w:val="eachSect"/>
      </w:footnotePr>
      <w:pgSz w:w="11900"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C5E7" w14:textId="77777777" w:rsidR="00616861" w:rsidRDefault="00616861">
      <w:pPr>
        <w:spacing w:after="0"/>
      </w:pPr>
      <w:r>
        <w:separator/>
      </w:r>
    </w:p>
  </w:endnote>
  <w:endnote w:type="continuationSeparator" w:id="0">
    <w:p w14:paraId="12A2FCE4" w14:textId="77777777" w:rsidR="00616861" w:rsidRDefault="00616861">
      <w:pPr>
        <w:spacing w:after="0"/>
      </w:pPr>
      <w:r>
        <w:continuationSeparator/>
      </w:r>
    </w:p>
  </w:endnote>
  <w:endnote w:type="continuationNotice" w:id="1">
    <w:p w14:paraId="6BE2EF50" w14:textId="77777777" w:rsidR="00616861" w:rsidRDefault="00616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A00DF" w14:textId="77777777" w:rsidR="00616861" w:rsidRDefault="00616861">
      <w:pPr>
        <w:spacing w:after="0"/>
      </w:pPr>
      <w:r>
        <w:separator/>
      </w:r>
    </w:p>
  </w:footnote>
  <w:footnote w:type="continuationSeparator" w:id="0">
    <w:p w14:paraId="620318F5" w14:textId="77777777" w:rsidR="00616861" w:rsidRDefault="00616861">
      <w:pPr>
        <w:spacing w:after="0"/>
      </w:pPr>
      <w:r>
        <w:continuationSeparator/>
      </w:r>
    </w:p>
  </w:footnote>
  <w:footnote w:type="continuationNotice" w:id="1">
    <w:p w14:paraId="7E5DC4FF" w14:textId="77777777" w:rsidR="00616861" w:rsidRDefault="006168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9"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5"/>
  </w:num>
  <w:num w:numId="5" w16cid:durableId="64882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9"/>
  </w:num>
  <w:num w:numId="8" w16cid:durableId="1925916492">
    <w:abstractNumId w:val="5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8"/>
  </w:num>
  <w:num w:numId="12" w16cid:durableId="1175027039">
    <w:abstractNumId w:val="32"/>
  </w:num>
  <w:num w:numId="13" w16cid:durableId="665591870">
    <w:abstractNumId w:val="1"/>
  </w:num>
  <w:num w:numId="14" w16cid:durableId="1820999206">
    <w:abstractNumId w:val="37"/>
  </w:num>
  <w:num w:numId="15" w16cid:durableId="27068971">
    <w:abstractNumId w:val="17"/>
  </w:num>
  <w:num w:numId="16" w16cid:durableId="1673684540">
    <w:abstractNumId w:val="30"/>
  </w:num>
  <w:num w:numId="17" w16cid:durableId="689647860">
    <w:abstractNumId w:val="4"/>
  </w:num>
  <w:num w:numId="18" w16cid:durableId="836766221">
    <w:abstractNumId w:val="15"/>
  </w:num>
  <w:num w:numId="19" w16cid:durableId="2067408291">
    <w:abstractNumId w:val="43"/>
  </w:num>
  <w:num w:numId="20" w16cid:durableId="648173420">
    <w:abstractNumId w:val="34"/>
  </w:num>
  <w:num w:numId="21" w16cid:durableId="864829629">
    <w:abstractNumId w:val="38"/>
  </w:num>
  <w:num w:numId="22" w16cid:durableId="2002073984">
    <w:abstractNumId w:val="40"/>
  </w:num>
  <w:num w:numId="23" w16cid:durableId="1372269391">
    <w:abstractNumId w:val="2"/>
  </w:num>
  <w:num w:numId="24" w16cid:durableId="86540056">
    <w:abstractNumId w:val="33"/>
  </w:num>
  <w:num w:numId="25" w16cid:durableId="1848398925">
    <w:abstractNumId w:val="0"/>
  </w:num>
  <w:num w:numId="26" w16cid:durableId="268200992">
    <w:abstractNumId w:val="42"/>
  </w:num>
  <w:num w:numId="27" w16cid:durableId="1199899444">
    <w:abstractNumId w:val="6"/>
  </w:num>
  <w:num w:numId="28" w16cid:durableId="2124037151">
    <w:abstractNumId w:val="35"/>
  </w:num>
  <w:num w:numId="29" w16cid:durableId="1176505110">
    <w:abstractNumId w:val="44"/>
  </w:num>
  <w:num w:numId="30" w16cid:durableId="1879048688">
    <w:abstractNumId w:val="31"/>
  </w:num>
  <w:num w:numId="31" w16cid:durableId="1398741903">
    <w:abstractNumId w:val="13"/>
  </w:num>
  <w:num w:numId="32" w16cid:durableId="1789276309">
    <w:abstractNumId w:val="27"/>
  </w:num>
  <w:num w:numId="33" w16cid:durableId="193614665">
    <w:abstractNumId w:val="52"/>
  </w:num>
  <w:num w:numId="34" w16cid:durableId="23554501">
    <w:abstractNumId w:val="23"/>
  </w:num>
  <w:num w:numId="35" w16cid:durableId="57362482">
    <w:abstractNumId w:val="41"/>
  </w:num>
  <w:num w:numId="36" w16cid:durableId="747653175">
    <w:abstractNumId w:val="25"/>
  </w:num>
  <w:num w:numId="37" w16cid:durableId="1645423610">
    <w:abstractNumId w:val="53"/>
  </w:num>
  <w:num w:numId="38" w16cid:durableId="228196596">
    <w:abstractNumId w:val="8"/>
  </w:num>
  <w:num w:numId="39" w16cid:durableId="1155074632">
    <w:abstractNumId w:val="20"/>
  </w:num>
  <w:num w:numId="40" w16cid:durableId="76371087">
    <w:abstractNumId w:val="24"/>
  </w:num>
  <w:num w:numId="41" w16cid:durableId="883561841">
    <w:abstractNumId w:val="3"/>
  </w:num>
  <w:num w:numId="42" w16cid:durableId="1150681096">
    <w:abstractNumId w:val="47"/>
  </w:num>
  <w:num w:numId="43" w16cid:durableId="2099281399">
    <w:abstractNumId w:val="36"/>
  </w:num>
  <w:num w:numId="44" w16cid:durableId="98457571">
    <w:abstractNumId w:val="50"/>
  </w:num>
  <w:num w:numId="45" w16cid:durableId="1426607444">
    <w:abstractNumId w:val="49"/>
  </w:num>
  <w:num w:numId="46" w16cid:durableId="1847361239">
    <w:abstractNumId w:val="51"/>
  </w:num>
  <w:num w:numId="47" w16cid:durableId="1813063487">
    <w:abstractNumId w:val="11"/>
  </w:num>
  <w:num w:numId="48" w16cid:durableId="678047203">
    <w:abstractNumId w:val="18"/>
  </w:num>
  <w:num w:numId="49" w16cid:durableId="1638143581">
    <w:abstractNumId w:val="54"/>
  </w:num>
  <w:num w:numId="50" w16cid:durableId="2068676076">
    <w:abstractNumId w:val="29"/>
  </w:num>
  <w:num w:numId="51" w16cid:durableId="967973878">
    <w:abstractNumId w:val="16"/>
  </w:num>
  <w:num w:numId="52" w16cid:durableId="2092922003">
    <w:abstractNumId w:val="19"/>
  </w:num>
  <w:num w:numId="53" w16cid:durableId="978614604">
    <w:abstractNumId w:val="45"/>
  </w:num>
  <w:num w:numId="54" w16cid:durableId="336226724">
    <w:abstractNumId w:val="14"/>
  </w:num>
  <w:num w:numId="55" w16cid:durableId="2036074844">
    <w:abstractNumId w:val="26"/>
  </w:num>
  <w:num w:numId="56" w16cid:durableId="1360466987">
    <w:abstractNumId w:val="7"/>
  </w:num>
  <w:num w:numId="57" w16cid:durableId="1655336255">
    <w:abstractNumId w:val="22"/>
  </w:num>
  <w:num w:numId="58" w16cid:durableId="544566456">
    <w:abstractNumId w:val="28"/>
  </w:num>
  <w:num w:numId="59" w16cid:durableId="83880899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826"/>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999"/>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A47"/>
    <w:rsid w:val="00071EB5"/>
    <w:rsid w:val="000721FE"/>
    <w:rsid w:val="0007333C"/>
    <w:rsid w:val="0007352C"/>
    <w:rsid w:val="000740FD"/>
    <w:rsid w:val="0007424B"/>
    <w:rsid w:val="0007431A"/>
    <w:rsid w:val="000743EA"/>
    <w:rsid w:val="000750E8"/>
    <w:rsid w:val="00075BC2"/>
    <w:rsid w:val="00075EEB"/>
    <w:rsid w:val="00076F5C"/>
    <w:rsid w:val="00077184"/>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C03"/>
    <w:rsid w:val="000E461C"/>
    <w:rsid w:val="000E497B"/>
    <w:rsid w:val="000E4B6B"/>
    <w:rsid w:val="000E4E78"/>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1738"/>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5D48"/>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4E9C"/>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20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5BB"/>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BFF"/>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F5"/>
    <w:rsid w:val="00247919"/>
    <w:rsid w:val="00247AF0"/>
    <w:rsid w:val="002500FA"/>
    <w:rsid w:val="00250218"/>
    <w:rsid w:val="00250262"/>
    <w:rsid w:val="002509D0"/>
    <w:rsid w:val="002527DB"/>
    <w:rsid w:val="00253327"/>
    <w:rsid w:val="00253334"/>
    <w:rsid w:val="002533CE"/>
    <w:rsid w:val="00253551"/>
    <w:rsid w:val="0025373D"/>
    <w:rsid w:val="00253864"/>
    <w:rsid w:val="0025415F"/>
    <w:rsid w:val="002542BB"/>
    <w:rsid w:val="00254766"/>
    <w:rsid w:val="002547EB"/>
    <w:rsid w:val="00254AEF"/>
    <w:rsid w:val="00254E69"/>
    <w:rsid w:val="002558C7"/>
    <w:rsid w:val="00255AFA"/>
    <w:rsid w:val="00255E9B"/>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AEB"/>
    <w:rsid w:val="00284F70"/>
    <w:rsid w:val="00285D24"/>
    <w:rsid w:val="0028616A"/>
    <w:rsid w:val="00287178"/>
    <w:rsid w:val="002876B9"/>
    <w:rsid w:val="0028784E"/>
    <w:rsid w:val="00290927"/>
    <w:rsid w:val="00290F5B"/>
    <w:rsid w:val="002910AE"/>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61CB"/>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2E2"/>
    <w:rsid w:val="00337C0E"/>
    <w:rsid w:val="00340303"/>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877D1"/>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85D"/>
    <w:rsid w:val="003A49B5"/>
    <w:rsid w:val="003A4AA6"/>
    <w:rsid w:val="003A5C3E"/>
    <w:rsid w:val="003A632C"/>
    <w:rsid w:val="003A7249"/>
    <w:rsid w:val="003A7912"/>
    <w:rsid w:val="003B036E"/>
    <w:rsid w:val="003B0971"/>
    <w:rsid w:val="003B0A14"/>
    <w:rsid w:val="003B18EA"/>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77"/>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0F6"/>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0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0D0"/>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4CEC"/>
    <w:rsid w:val="004C5887"/>
    <w:rsid w:val="004C5C92"/>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1E20"/>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068"/>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3709"/>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47F1B"/>
    <w:rsid w:val="0055063D"/>
    <w:rsid w:val="00552279"/>
    <w:rsid w:val="00552F43"/>
    <w:rsid w:val="005532A8"/>
    <w:rsid w:val="005532B9"/>
    <w:rsid w:val="00553567"/>
    <w:rsid w:val="005535D6"/>
    <w:rsid w:val="00553F50"/>
    <w:rsid w:val="00554008"/>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889"/>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6930"/>
    <w:rsid w:val="005770E6"/>
    <w:rsid w:val="00577376"/>
    <w:rsid w:val="00577536"/>
    <w:rsid w:val="00577D5A"/>
    <w:rsid w:val="00580A9B"/>
    <w:rsid w:val="00580B03"/>
    <w:rsid w:val="00580D25"/>
    <w:rsid w:val="005815C3"/>
    <w:rsid w:val="00581D8C"/>
    <w:rsid w:val="00582E93"/>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C4C"/>
    <w:rsid w:val="005E6EFD"/>
    <w:rsid w:val="005E769D"/>
    <w:rsid w:val="005E7966"/>
    <w:rsid w:val="005F0490"/>
    <w:rsid w:val="005F04E2"/>
    <w:rsid w:val="005F11C1"/>
    <w:rsid w:val="005F1A62"/>
    <w:rsid w:val="005F21CF"/>
    <w:rsid w:val="005F22AD"/>
    <w:rsid w:val="005F234D"/>
    <w:rsid w:val="005F23B5"/>
    <w:rsid w:val="005F2812"/>
    <w:rsid w:val="005F421B"/>
    <w:rsid w:val="005F45B4"/>
    <w:rsid w:val="005F4753"/>
    <w:rsid w:val="005F4827"/>
    <w:rsid w:val="005F5183"/>
    <w:rsid w:val="005F5C81"/>
    <w:rsid w:val="005F5D6E"/>
    <w:rsid w:val="005F5D7F"/>
    <w:rsid w:val="005F5DE2"/>
    <w:rsid w:val="005F64B9"/>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19"/>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861"/>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5BF3"/>
    <w:rsid w:val="00626783"/>
    <w:rsid w:val="006271F5"/>
    <w:rsid w:val="00627326"/>
    <w:rsid w:val="0062732B"/>
    <w:rsid w:val="006273DB"/>
    <w:rsid w:val="006274F4"/>
    <w:rsid w:val="006278EE"/>
    <w:rsid w:val="00627928"/>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68A"/>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C88"/>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946"/>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07"/>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18AE"/>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74D"/>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339"/>
    <w:rsid w:val="00820426"/>
    <w:rsid w:val="00821319"/>
    <w:rsid w:val="00821556"/>
    <w:rsid w:val="00821EE8"/>
    <w:rsid w:val="008224DD"/>
    <w:rsid w:val="008225D7"/>
    <w:rsid w:val="00822F5F"/>
    <w:rsid w:val="008238E1"/>
    <w:rsid w:val="00823DA4"/>
    <w:rsid w:val="008241D1"/>
    <w:rsid w:val="00824315"/>
    <w:rsid w:val="008246DB"/>
    <w:rsid w:val="00824A52"/>
    <w:rsid w:val="00824CD2"/>
    <w:rsid w:val="008252E1"/>
    <w:rsid w:val="00825525"/>
    <w:rsid w:val="00825FC4"/>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B75"/>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2F74"/>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8D8"/>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3EF9"/>
    <w:rsid w:val="00954157"/>
    <w:rsid w:val="0095434D"/>
    <w:rsid w:val="0095509D"/>
    <w:rsid w:val="00955138"/>
    <w:rsid w:val="00955776"/>
    <w:rsid w:val="00955D24"/>
    <w:rsid w:val="00955DA3"/>
    <w:rsid w:val="0095646A"/>
    <w:rsid w:val="009570DF"/>
    <w:rsid w:val="00957602"/>
    <w:rsid w:val="00957730"/>
    <w:rsid w:val="00957C84"/>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087"/>
    <w:rsid w:val="00986177"/>
    <w:rsid w:val="00986743"/>
    <w:rsid w:val="009868EA"/>
    <w:rsid w:val="009871D6"/>
    <w:rsid w:val="0098725E"/>
    <w:rsid w:val="009904B1"/>
    <w:rsid w:val="009905AD"/>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4FAD"/>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BC"/>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4917"/>
    <w:rsid w:val="009E5262"/>
    <w:rsid w:val="009E53E3"/>
    <w:rsid w:val="009E54FD"/>
    <w:rsid w:val="009E5653"/>
    <w:rsid w:val="009E5DF0"/>
    <w:rsid w:val="009E65A6"/>
    <w:rsid w:val="009E6883"/>
    <w:rsid w:val="009E6A1C"/>
    <w:rsid w:val="009E6D5C"/>
    <w:rsid w:val="009E764B"/>
    <w:rsid w:val="009E7CE4"/>
    <w:rsid w:val="009F064C"/>
    <w:rsid w:val="009F0814"/>
    <w:rsid w:val="009F18DA"/>
    <w:rsid w:val="009F1BC3"/>
    <w:rsid w:val="009F25D0"/>
    <w:rsid w:val="009F2857"/>
    <w:rsid w:val="009F3433"/>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2FD7"/>
    <w:rsid w:val="00A6407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87FB1"/>
    <w:rsid w:val="00A9005D"/>
    <w:rsid w:val="00A900D8"/>
    <w:rsid w:val="00A904CF"/>
    <w:rsid w:val="00A90B07"/>
    <w:rsid w:val="00A91016"/>
    <w:rsid w:val="00A91465"/>
    <w:rsid w:val="00A91DEC"/>
    <w:rsid w:val="00A92028"/>
    <w:rsid w:val="00A9202D"/>
    <w:rsid w:val="00A9208F"/>
    <w:rsid w:val="00A936EC"/>
    <w:rsid w:val="00A93ACC"/>
    <w:rsid w:val="00A93B50"/>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4EF6"/>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0ACD"/>
    <w:rsid w:val="00B01692"/>
    <w:rsid w:val="00B02280"/>
    <w:rsid w:val="00B02764"/>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1F14"/>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78"/>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5AFB"/>
    <w:rsid w:val="00B56C23"/>
    <w:rsid w:val="00B5749C"/>
    <w:rsid w:val="00B574CC"/>
    <w:rsid w:val="00B57A45"/>
    <w:rsid w:val="00B57BDC"/>
    <w:rsid w:val="00B60057"/>
    <w:rsid w:val="00B600AC"/>
    <w:rsid w:val="00B60A77"/>
    <w:rsid w:val="00B61302"/>
    <w:rsid w:val="00B61BC2"/>
    <w:rsid w:val="00B61F9D"/>
    <w:rsid w:val="00B62E85"/>
    <w:rsid w:val="00B63DEC"/>
    <w:rsid w:val="00B64047"/>
    <w:rsid w:val="00B64642"/>
    <w:rsid w:val="00B649B0"/>
    <w:rsid w:val="00B65B13"/>
    <w:rsid w:val="00B65E46"/>
    <w:rsid w:val="00B66DA8"/>
    <w:rsid w:val="00B66FBB"/>
    <w:rsid w:val="00B6707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849"/>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6EB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285"/>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841"/>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70"/>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47B"/>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AD7"/>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845"/>
    <w:rsid w:val="00C73ED4"/>
    <w:rsid w:val="00C743E9"/>
    <w:rsid w:val="00C74CEB"/>
    <w:rsid w:val="00C763E2"/>
    <w:rsid w:val="00C76694"/>
    <w:rsid w:val="00C77E90"/>
    <w:rsid w:val="00C8043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5E6F"/>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19"/>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CFC"/>
    <w:rsid w:val="00DC5148"/>
    <w:rsid w:val="00DC525A"/>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3D"/>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086"/>
    <w:rsid w:val="00E076E5"/>
    <w:rsid w:val="00E0775D"/>
    <w:rsid w:val="00E07CD5"/>
    <w:rsid w:val="00E1095C"/>
    <w:rsid w:val="00E1136B"/>
    <w:rsid w:val="00E11AEE"/>
    <w:rsid w:val="00E11FBD"/>
    <w:rsid w:val="00E1258A"/>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264"/>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D60"/>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53B"/>
    <w:rsid w:val="00EF46CE"/>
    <w:rsid w:val="00EF4980"/>
    <w:rsid w:val="00EF4B84"/>
    <w:rsid w:val="00EF526E"/>
    <w:rsid w:val="00EF535B"/>
    <w:rsid w:val="00EF5395"/>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3E"/>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D45"/>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84"/>
    <w:rsid w:val="00F62DC6"/>
    <w:rsid w:val="00F636A0"/>
    <w:rsid w:val="00F636E4"/>
    <w:rsid w:val="00F64A78"/>
    <w:rsid w:val="00F65A3C"/>
    <w:rsid w:val="00F663DF"/>
    <w:rsid w:val="00F66446"/>
    <w:rsid w:val="00F66D68"/>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7A7"/>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6094"/>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04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9F3433"/>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9F3433"/>
  </w:style>
  <w:style w:type="character" w:customStyle="1" w:styleId="eop">
    <w:name w:val="eop"/>
    <w:basedOn w:val="DefaultParagraphFont"/>
    <w:qFormat/>
    <w:rsid w:val="009F3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794981896">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36294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411</TotalTime>
  <Pages>3</Pages>
  <Words>816</Words>
  <Characters>4654</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398</cp:revision>
  <cp:lastPrinted>2016-08-05T18:54:00Z</cp:lastPrinted>
  <dcterms:created xsi:type="dcterms:W3CDTF">2023-03-28T04:42:00Z</dcterms:created>
  <dcterms:modified xsi:type="dcterms:W3CDTF">2024-02-16T02:26:00Z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