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4A029C" w:rsidRDefault="006103C0" w:rsidP="006103C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009B2AEA">
        <w:rPr>
          <w:rFonts w:cs="Arial"/>
          <w:sz w:val="24"/>
          <w:szCs w:val="24"/>
        </w:rPr>
        <w:t>bis</w:t>
      </w:r>
      <w:r w:rsidRPr="004A029C">
        <w:rPr>
          <w:rFonts w:cs="Arial"/>
          <w:sz w:val="24"/>
          <w:szCs w:val="24"/>
        </w:rPr>
        <w:tab/>
      </w:r>
      <w:r w:rsidR="00B7080A" w:rsidRPr="00B7080A">
        <w:rPr>
          <w:rFonts w:cs="Arial"/>
          <w:sz w:val="24"/>
          <w:szCs w:val="24"/>
        </w:rPr>
        <w:t>R4-2315639</w:t>
      </w:r>
    </w:p>
    <w:p w:rsidR="00DF0231" w:rsidRDefault="009B2AEA" w:rsidP="009B2AEA">
      <w:pPr>
        <w:pStyle w:val="Footer"/>
        <w:jc w:val="left"/>
        <w:rPr>
          <w:rFonts w:eastAsia="宋体" w:cs="Arial"/>
          <w:i w:val="0"/>
          <w:sz w:val="24"/>
          <w:szCs w:val="24"/>
          <w:lang w:eastAsia="zh-CN"/>
        </w:rPr>
      </w:pPr>
      <w:r w:rsidRPr="009B2AEA">
        <w:rPr>
          <w:rFonts w:eastAsia="宋体" w:cs="Arial"/>
          <w:i w:val="0"/>
          <w:sz w:val="24"/>
          <w:szCs w:val="24"/>
          <w:lang w:eastAsia="zh-CN"/>
        </w:rPr>
        <w:t>Xiamen, China, October 09 – October 13, 2023</w:t>
      </w:r>
    </w:p>
    <w:p w:rsidR="009B2AEA" w:rsidRPr="002D2977" w:rsidRDefault="009B2AE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B2AEA">
        <w:rPr>
          <w:rFonts w:ascii="Arial" w:hAnsi="Arial"/>
          <w:sz w:val="24"/>
          <w:lang w:val="en-US"/>
        </w:rPr>
        <w:t>5</w:t>
      </w:r>
      <w:r w:rsidR="00AB319F" w:rsidRPr="00AB319F">
        <w:rPr>
          <w:rFonts w:ascii="Arial" w:hAnsi="Arial"/>
          <w:sz w:val="24"/>
          <w:lang w:val="en-US"/>
        </w:rPr>
        <w:t>.</w:t>
      </w:r>
      <w:r w:rsidR="00444A05">
        <w:rPr>
          <w:rFonts w:ascii="Arial" w:hAnsi="Arial"/>
          <w:sz w:val="24"/>
          <w:lang w:val="en-US"/>
        </w:rPr>
        <w:t>7</w:t>
      </w:r>
      <w:r w:rsidR="00AB319F" w:rsidRPr="00AB319F">
        <w:rPr>
          <w:rFonts w:ascii="Arial" w:hAnsi="Arial"/>
          <w:sz w:val="24"/>
          <w:lang w:val="en-US"/>
        </w:rPr>
        <w:t>.</w:t>
      </w:r>
      <w:r w:rsidR="009B2AEA">
        <w:rPr>
          <w:rFonts w:ascii="Arial" w:hAnsi="Arial"/>
          <w:sz w:val="24"/>
          <w:lang w:val="en-US"/>
        </w:rPr>
        <w:t>2</w:t>
      </w:r>
      <w:r w:rsidR="00AB319F" w:rsidRPr="00AB319F">
        <w:rPr>
          <w:rFonts w:ascii="Arial" w:hAnsi="Arial"/>
          <w:sz w:val="24"/>
          <w:lang w:val="en-US"/>
        </w:rPr>
        <w:t>.</w:t>
      </w:r>
      <w:r w:rsidR="000A6976">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A6976">
        <w:rPr>
          <w:rFonts w:ascii="Arial" w:hAnsi="Arial"/>
          <w:sz w:val="24"/>
          <w:lang w:val="en-US"/>
        </w:rPr>
        <w:t xml:space="preserve">Discussion on </w:t>
      </w:r>
      <w:r w:rsidR="000A6976" w:rsidRPr="000A6976">
        <w:rPr>
          <w:rFonts w:ascii="Arial" w:hAnsi="Arial"/>
          <w:sz w:val="24"/>
          <w:lang w:val="en-US"/>
        </w:rPr>
        <w:t>TCI state switching delay with dual TCI</w:t>
      </w:r>
      <w:r w:rsidR="008B367C">
        <w:rPr>
          <w:rFonts w:ascii="Arial" w:hAnsi="Arial"/>
          <w:sz w:val="24"/>
          <w:lang w:val="en-US"/>
        </w:rPr>
        <w:t xml:space="preserve"> </w:t>
      </w:r>
      <w:r w:rsidR="000A6976">
        <w:rPr>
          <w:rFonts w:ascii="Arial" w:hAnsi="Arial"/>
          <w:sz w:val="24"/>
          <w:lang w:val="en-US"/>
        </w:rPr>
        <w:t>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5A3C87">
        <w:rPr>
          <w:rFonts w:eastAsiaTheme="minorEastAsia"/>
          <w:lang w:val="en-US" w:eastAsia="zh-CN"/>
        </w:rPr>
        <w:t xml:space="preserve">The scope and scenarios were further clarified. </w:t>
      </w:r>
      <w:r>
        <w:rPr>
          <w:rFonts w:eastAsiaTheme="minorEastAsia"/>
          <w:lang w:val="en-US" w:eastAsia="zh-CN"/>
        </w:rPr>
        <w:t xml:space="preserve">In this paper, we further provide our views on the scope and RRM impacts </w:t>
      </w:r>
      <w:r w:rsidR="00F610B6">
        <w:rPr>
          <w:rFonts w:eastAsiaTheme="minorEastAsia"/>
          <w:lang w:val="en-US" w:eastAsia="zh-CN"/>
        </w:rPr>
        <w:t>of dual TCI switching.</w:t>
      </w:r>
    </w:p>
    <w:p w:rsidR="00A26C29" w:rsidRDefault="00DF0231" w:rsidP="00A26C29">
      <w:pPr>
        <w:pStyle w:val="Heading1"/>
        <w:numPr>
          <w:ilvl w:val="0"/>
          <w:numId w:val="1"/>
        </w:numPr>
        <w:rPr>
          <w:lang w:val="en-US"/>
        </w:rPr>
      </w:pPr>
      <w:r w:rsidRPr="002D2977">
        <w:rPr>
          <w:lang w:val="en-US"/>
        </w:rPr>
        <w:t>Discussion</w:t>
      </w:r>
    </w:p>
    <w:p w:rsidR="0053784F" w:rsidRDefault="0053784F" w:rsidP="00F7352F">
      <w:pPr>
        <w:pStyle w:val="Heading2"/>
      </w:pPr>
      <w:bookmarkStart w:id="0" w:name="_Hlk129698183"/>
      <w:r w:rsidRPr="00E875BB">
        <w:t>2.</w:t>
      </w:r>
      <w:r w:rsidR="00EA6EC3">
        <w:t>1</w:t>
      </w:r>
      <w:r w:rsidRPr="00E875BB">
        <w:t xml:space="preserve"> </w:t>
      </w:r>
      <w:bookmarkEnd w:id="0"/>
      <w:r>
        <w:t>DCI based TCI switching</w:t>
      </w:r>
    </w:p>
    <w:p w:rsidR="00F7352F" w:rsidRDefault="00F7352F" w:rsidP="00F7352F">
      <w:pPr>
        <w:jc w:val="both"/>
      </w:pPr>
      <w:r>
        <w:t xml:space="preserve">For DCI-based TCI switching in </w:t>
      </w:r>
      <w:proofErr w:type="spellStart"/>
      <w:r>
        <w:t>sDCI</w:t>
      </w:r>
      <w:proofErr w:type="spellEnd"/>
      <w:r>
        <w:t xml:space="preserve">, another remaining issue is whether to consider TCI switching delay for dual TCI to single TCI when target TCI is one of the source TCI with following proposals. </w:t>
      </w:r>
    </w:p>
    <w:tbl>
      <w:tblPr>
        <w:tblStyle w:val="TableGrid"/>
        <w:tblW w:w="0" w:type="auto"/>
        <w:tblLook w:val="04A0" w:firstRow="1" w:lastRow="0" w:firstColumn="1" w:lastColumn="0" w:noHBand="0" w:noVBand="1"/>
      </w:tblPr>
      <w:tblGrid>
        <w:gridCol w:w="9562"/>
      </w:tblGrid>
      <w:tr w:rsidR="00F7352F" w:rsidTr="00F7352F">
        <w:tc>
          <w:tcPr>
            <w:tcW w:w="9562" w:type="dxa"/>
          </w:tcPr>
          <w:p w:rsidR="00F7352F" w:rsidRPr="00AA5CA8" w:rsidRDefault="00F7352F" w:rsidP="00F7352F">
            <w:pPr>
              <w:rPr>
                <w:b/>
                <w:u w:val="single"/>
                <w:lang w:eastAsia="ko-KR"/>
              </w:rPr>
            </w:pPr>
            <w:r w:rsidRPr="00AA5CA8">
              <w:rPr>
                <w:b/>
                <w:u w:val="single"/>
                <w:lang w:eastAsia="ko-KR"/>
              </w:rPr>
              <w:t>Issue 2-1-3: Other proposals for further discussion</w:t>
            </w:r>
          </w:p>
          <w:p w:rsidR="00F7352F" w:rsidRDefault="00F7352F" w:rsidP="00F7352F">
            <w:pPr>
              <w:spacing w:after="120"/>
            </w:pPr>
            <w:r>
              <w:rPr>
                <w:bCs/>
                <w:szCs w:val="24"/>
                <w:lang w:val="en-US"/>
              </w:rPr>
              <w:t>FFS</w:t>
            </w:r>
            <w:r w:rsidRPr="00AA5CA8">
              <w:rPr>
                <w:bCs/>
                <w:szCs w:val="24"/>
                <w:lang w:val="en-US"/>
              </w:rPr>
              <w:t>:</w:t>
            </w:r>
          </w:p>
          <w:p w:rsidR="00F7352F" w:rsidRPr="00DD4B8A" w:rsidRDefault="00F7352F" w:rsidP="00F7352F">
            <w:pPr>
              <w:pStyle w:val="ListParagraph"/>
              <w:numPr>
                <w:ilvl w:val="0"/>
                <w:numId w:val="26"/>
              </w:numPr>
              <w:autoSpaceDN w:val="0"/>
              <w:spacing w:after="0"/>
              <w:ind w:firstLineChars="0"/>
              <w:rPr>
                <w:sz w:val="24"/>
              </w:rPr>
            </w:pPr>
            <w:r w:rsidRPr="00DD4B8A">
              <w:t xml:space="preserve">For DCI-based TCI state switching for sDCI, there is no TCI state switching delay for the case from dual TCI to single TCI state switch when the target TCI is one of the source TCI (e.g. [RS1, RS2] to [RS1]), when UE is configured with GBBR and is NOT configured with non-GBBR. </w:t>
            </w:r>
            <w:r w:rsidRPr="00DD4B8A">
              <w:rPr>
                <w:sz w:val="24"/>
              </w:rPr>
              <w:t> </w:t>
            </w:r>
          </w:p>
          <w:p w:rsidR="00F7352F" w:rsidRPr="00F7352F" w:rsidRDefault="00F7352F" w:rsidP="00F7352F">
            <w:pPr>
              <w:jc w:val="both"/>
            </w:pPr>
          </w:p>
        </w:tc>
      </w:tr>
    </w:tbl>
    <w:p w:rsidR="00F7352F" w:rsidRDefault="00F7352F" w:rsidP="00F7352F">
      <w:pPr>
        <w:jc w:val="both"/>
      </w:pPr>
    </w:p>
    <w:p w:rsidR="00F7352F" w:rsidRDefault="00F7352F" w:rsidP="00F7352F">
      <w:pPr>
        <w:jc w:val="both"/>
      </w:pPr>
      <w:r>
        <w:t xml:space="preserve">For dual to single, if the target TCI is one of the source TCI (e.g. (SSB0, SSB10) to (SSB0)), whether the time for beam application is needed shall be further investigated. It is more like the switch from </w:t>
      </w:r>
      <w:proofErr w:type="spellStart"/>
      <w:r>
        <w:t>mTRP</w:t>
      </w:r>
      <w:proofErr w:type="spellEnd"/>
      <w:r>
        <w:t xml:space="preserve"> mode to </w:t>
      </w:r>
      <w:proofErr w:type="spellStart"/>
      <w:r>
        <w:t>sTRP</w:t>
      </w:r>
      <w:proofErr w:type="spellEnd"/>
      <w:r>
        <w:t xml:space="preserve"> mode. </w:t>
      </w:r>
    </w:p>
    <w:p w:rsidR="00F7352F" w:rsidRPr="00311008" w:rsidRDefault="00F7352F" w:rsidP="00F7352F">
      <w:r w:rsidRPr="00311008">
        <w:t>For dual TCI to single TCI, which is targeting following scenarios:</w:t>
      </w:r>
    </w:p>
    <w:p w:rsidR="00F7352F" w:rsidRDefault="00F7352F" w:rsidP="00F7352F">
      <w:pPr>
        <w:pStyle w:val="ListParagraph"/>
        <w:numPr>
          <w:ilvl w:val="0"/>
          <w:numId w:val="29"/>
        </w:numPr>
        <w:ind w:firstLineChars="0"/>
      </w:pPr>
      <w:r w:rsidRPr="00F7352F">
        <w:rPr>
          <w:b/>
        </w:rPr>
        <w:t>Case 1:</w:t>
      </w:r>
      <w:r>
        <w:t xml:space="preserve"> UE is still in </w:t>
      </w:r>
      <w:proofErr w:type="spellStart"/>
      <w:r>
        <w:t>mTRP</w:t>
      </w:r>
      <w:proofErr w:type="spellEnd"/>
      <w:r>
        <w:t xml:space="preserve"> </w:t>
      </w:r>
      <w:r w:rsidR="00CA05BE">
        <w:t>mode</w:t>
      </w:r>
      <w:r>
        <w:t xml:space="preserve"> while the data demand declines and NW switch the dual TCI to single TCI</w:t>
      </w:r>
    </w:p>
    <w:p w:rsidR="00F7352F" w:rsidRDefault="00F7352F" w:rsidP="00F7352F">
      <w:pPr>
        <w:pStyle w:val="ListParagraph"/>
        <w:numPr>
          <w:ilvl w:val="0"/>
          <w:numId w:val="29"/>
        </w:numPr>
        <w:ind w:firstLineChars="0"/>
      </w:pPr>
      <w:r w:rsidRPr="00F7352F">
        <w:rPr>
          <w:b/>
        </w:rPr>
        <w:t>Case 2:</w:t>
      </w:r>
      <w:r>
        <w:t xml:space="preserve"> UE is out of </w:t>
      </w:r>
      <w:proofErr w:type="spellStart"/>
      <w:r>
        <w:t>mTRP</w:t>
      </w:r>
      <w:proofErr w:type="spellEnd"/>
      <w:r>
        <w:t xml:space="preserve"> </w:t>
      </w:r>
      <w:r w:rsidR="00CA05BE">
        <w:t>mode</w:t>
      </w:r>
      <w:r>
        <w:t xml:space="preserve"> and enter </w:t>
      </w:r>
      <w:proofErr w:type="spellStart"/>
      <w:r>
        <w:t>sTRP</w:t>
      </w:r>
      <w:proofErr w:type="spellEnd"/>
      <w:r>
        <w:t xml:space="preserve"> </w:t>
      </w:r>
      <w:r w:rsidR="00CA05BE">
        <w:t>mode</w:t>
      </w:r>
    </w:p>
    <w:p w:rsidR="00F7352F" w:rsidRDefault="00F7352F" w:rsidP="00F7352F">
      <w:r>
        <w:t xml:space="preserve">For above two cases, the TCI switching shall be considered differently. For case 1, UE shall be prepared for simultaneous reception since it is still in </w:t>
      </w:r>
      <w:proofErr w:type="spellStart"/>
      <w:r>
        <w:t>mTRP</w:t>
      </w:r>
      <w:proofErr w:type="spellEnd"/>
      <w:r>
        <w:t xml:space="preserve"> mode. In this case, there is no addition efforts from UE side and the time to apply the TCI state may not needed. For the second case, UE may use the beam for </w:t>
      </w:r>
      <w:proofErr w:type="spellStart"/>
      <w:r>
        <w:t>sTRP</w:t>
      </w:r>
      <w:proofErr w:type="spellEnd"/>
      <w:r>
        <w:t xml:space="preserve"> where the beam for the target TCI state for </w:t>
      </w:r>
      <w:proofErr w:type="spellStart"/>
      <w:r>
        <w:t>sTRP</w:t>
      </w:r>
      <w:proofErr w:type="spellEnd"/>
      <w:r>
        <w:t xml:space="preserve"> may be different from the one in the dual TCI and time to apply the TCI state shall be considered.</w:t>
      </w:r>
    </w:p>
    <w:p w:rsidR="00F7352F" w:rsidRDefault="00F7352F" w:rsidP="00F7352F">
      <w:pPr>
        <w:rPr>
          <w:b/>
        </w:rPr>
      </w:pPr>
      <w:r w:rsidRPr="00311008">
        <w:rPr>
          <w:b/>
        </w:rPr>
        <w:t xml:space="preserve">Observation </w:t>
      </w:r>
      <w:r>
        <w:rPr>
          <w:b/>
        </w:rPr>
        <w:t>1</w:t>
      </w:r>
      <w:r w:rsidRPr="00311008">
        <w:rPr>
          <w:b/>
        </w:rPr>
        <w:t>: For dual TCI to single TCI when the target TCI is one of the source TCI (e.g. [RS</w:t>
      </w:r>
      <w:proofErr w:type="gramStart"/>
      <w:r w:rsidRPr="00311008">
        <w:rPr>
          <w:b/>
        </w:rPr>
        <w:t>1,RS</w:t>
      </w:r>
      <w:proofErr w:type="gramEnd"/>
      <w:r w:rsidRPr="00311008">
        <w:rPr>
          <w:b/>
        </w:rPr>
        <w:t xml:space="preserve">2] to [RS1]), whether UE needs time to apply the TCI states depends on whether UE is still in </w:t>
      </w:r>
      <w:proofErr w:type="spellStart"/>
      <w:r w:rsidRPr="00311008">
        <w:rPr>
          <w:b/>
        </w:rPr>
        <w:t>mTRP</w:t>
      </w:r>
      <w:proofErr w:type="spellEnd"/>
      <w:r w:rsidRPr="00311008">
        <w:rPr>
          <w:b/>
        </w:rPr>
        <w:t xml:space="preserve"> mode.</w:t>
      </w:r>
    </w:p>
    <w:p w:rsidR="00F7352F" w:rsidRDefault="00F7352F" w:rsidP="00F7352F">
      <w:pPr>
        <w:rPr>
          <w:b/>
        </w:rPr>
      </w:pPr>
      <w:r>
        <w:rPr>
          <w:b/>
        </w:rPr>
        <w:t>Observation 2:</w:t>
      </w:r>
    </w:p>
    <w:p w:rsidR="00F7352F" w:rsidRDefault="00F7352F" w:rsidP="00F7352F">
      <w:pPr>
        <w:rPr>
          <w:b/>
        </w:rPr>
      </w:pPr>
      <w:r>
        <w:rPr>
          <w:b/>
        </w:rPr>
        <w:t xml:space="preserve">If UE deems that it is in </w:t>
      </w:r>
      <w:proofErr w:type="spellStart"/>
      <w:r>
        <w:rPr>
          <w:b/>
        </w:rPr>
        <w:t>mTRP</w:t>
      </w:r>
      <w:proofErr w:type="spellEnd"/>
      <w:r>
        <w:rPr>
          <w:b/>
        </w:rPr>
        <w:t xml:space="preserve"> mode, and dual TCI states are only temporarily switched to single TCI states, then there is no addition operations and no delay is needed at all.</w:t>
      </w:r>
    </w:p>
    <w:p w:rsidR="00F7352F" w:rsidRPr="00311008" w:rsidRDefault="00F7352F" w:rsidP="00F7352F">
      <w:pPr>
        <w:rPr>
          <w:b/>
        </w:rPr>
      </w:pPr>
      <w:r>
        <w:rPr>
          <w:b/>
        </w:rPr>
        <w:t xml:space="preserve">If UE deems that it is switched to </w:t>
      </w:r>
      <w:proofErr w:type="spellStart"/>
      <w:r>
        <w:rPr>
          <w:b/>
        </w:rPr>
        <w:t>sTRP</w:t>
      </w:r>
      <w:proofErr w:type="spellEnd"/>
      <w:r>
        <w:rPr>
          <w:b/>
        </w:rPr>
        <w:t xml:space="preserve"> mode, UE needs to use the beam for </w:t>
      </w:r>
      <w:proofErr w:type="spellStart"/>
      <w:r>
        <w:rPr>
          <w:b/>
        </w:rPr>
        <w:t>sTRP</w:t>
      </w:r>
      <w:proofErr w:type="spellEnd"/>
      <w:r>
        <w:rPr>
          <w:b/>
        </w:rPr>
        <w:t>. Then beam application time is still needed. (e.g. UE may use different beam for RS1 before and after TCI state switch)</w:t>
      </w:r>
    </w:p>
    <w:p w:rsidR="00F7352F" w:rsidRDefault="00F7352F" w:rsidP="00F7352F">
      <w:r>
        <w:lastRenderedPageBreak/>
        <w:t xml:space="preserve">However, there is no clear indication nor conditions on when UE is in </w:t>
      </w:r>
      <w:proofErr w:type="spellStart"/>
      <w:r>
        <w:t>mTRP</w:t>
      </w:r>
      <w:proofErr w:type="spellEnd"/>
      <w:r>
        <w:t xml:space="preserve"> mode or </w:t>
      </w:r>
      <w:proofErr w:type="spellStart"/>
      <w:r>
        <w:t>sTRP</w:t>
      </w:r>
      <w:proofErr w:type="spellEnd"/>
      <w:r>
        <w:t xml:space="preserve"> mode. From UE sides, UE cannot tell the two cases when UE receives DCI triggering TCI state switching. Since it was agreed to use GBBR as the </w:t>
      </w:r>
      <w:r w:rsidRPr="00311008">
        <w:t>prerequisite</w:t>
      </w:r>
      <w:r>
        <w:t xml:space="preserve"> for simultaneous reception, it is reasonable to </w:t>
      </w:r>
      <w:r w:rsidR="00CA05BE">
        <w:t>rely</w:t>
      </w:r>
      <w:r>
        <w:t xml:space="preserve"> on whether UE is configured with GBBR. For instance, if UE is configured with GBBR, we can assume that UE is in </w:t>
      </w:r>
      <w:proofErr w:type="spellStart"/>
      <w:r>
        <w:t>mTRP</w:t>
      </w:r>
      <w:proofErr w:type="spellEnd"/>
      <w:r>
        <w:t xml:space="preserve"> scenarios for simultaneous reception. However, if UE is configured with non-GBBR, it is possible the UE will be switched to </w:t>
      </w:r>
      <w:proofErr w:type="spellStart"/>
      <w:r>
        <w:t>sTRP</w:t>
      </w:r>
      <w:proofErr w:type="spellEnd"/>
      <w:r>
        <w:t xml:space="preserve"> mode and UE shall be able/allowed to use the beam for </w:t>
      </w:r>
      <w:proofErr w:type="spellStart"/>
      <w:r>
        <w:t>sTRP</w:t>
      </w:r>
      <w:proofErr w:type="spellEnd"/>
      <w:r>
        <w:t>.</w:t>
      </w:r>
    </w:p>
    <w:p w:rsidR="00F7352F" w:rsidRPr="00F7352F" w:rsidRDefault="00F7352F" w:rsidP="00911508">
      <w:pPr>
        <w:rPr>
          <w:b/>
        </w:rPr>
      </w:pPr>
      <w:r>
        <w:rPr>
          <w:b/>
        </w:rPr>
        <w:t xml:space="preserve">Proposal 1: For </w:t>
      </w:r>
      <w:proofErr w:type="spellStart"/>
      <w:r>
        <w:rPr>
          <w:b/>
        </w:rPr>
        <w:t>sDCI</w:t>
      </w:r>
      <w:proofErr w:type="spellEnd"/>
      <w:r>
        <w:rPr>
          <w:b/>
        </w:rPr>
        <w:t>, f</w:t>
      </w:r>
      <w:r w:rsidRPr="00311008">
        <w:rPr>
          <w:b/>
        </w:rPr>
        <w:t>or dual TCI to single TCI when the target TCI is one of the source TCI (e.g. [RS</w:t>
      </w:r>
      <w:proofErr w:type="gramStart"/>
      <w:r w:rsidRPr="00311008">
        <w:rPr>
          <w:b/>
        </w:rPr>
        <w:t>1,RS</w:t>
      </w:r>
      <w:proofErr w:type="gramEnd"/>
      <w:r w:rsidRPr="00311008">
        <w:rPr>
          <w:b/>
        </w:rPr>
        <w:t xml:space="preserve">2] to [RS1]), </w:t>
      </w:r>
      <w:r>
        <w:rPr>
          <w:b/>
        </w:rPr>
        <w:t xml:space="preserve">there is no TCI switching delay when UE is configured with GBBR and is NOT configured with non-GBBR. </w:t>
      </w:r>
    </w:p>
    <w:p w:rsidR="00F7352F" w:rsidRDefault="00911508" w:rsidP="0053784F">
      <w:pPr>
        <w:jc w:val="both"/>
      </w:pPr>
      <w:r w:rsidRPr="00AA5CA8">
        <w:rPr>
          <w:noProof/>
          <w:lang w:val="en-US"/>
        </w:rPr>
        <w:drawing>
          <wp:anchor distT="0" distB="0" distL="114300" distR="114300" simplePos="0" relativeHeight="251659264" behindDoc="0" locked="0" layoutInCell="1" allowOverlap="1" wp14:anchorId="32C37C97" wp14:editId="108F6C8C">
            <wp:simplePos x="0" y="0"/>
            <wp:positionH relativeFrom="column">
              <wp:posOffset>447040</wp:posOffset>
            </wp:positionH>
            <wp:positionV relativeFrom="paragraph">
              <wp:posOffset>767080</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r w:rsidR="00EA6EC3">
        <w:t xml:space="preserve">For dual TCI state switching for </w:t>
      </w:r>
      <w:proofErr w:type="spellStart"/>
      <w:r w:rsidR="00EA6EC3">
        <w:t>mDCI</w:t>
      </w:r>
      <w:proofErr w:type="spellEnd"/>
      <w:r w:rsidR="00EA6EC3">
        <w:t xml:space="preserve">, RAN4 sent </w:t>
      </w:r>
      <w:proofErr w:type="gramStart"/>
      <w:r w:rsidR="00EA6EC3">
        <w:t>an</w:t>
      </w:r>
      <w:proofErr w:type="gramEnd"/>
      <w:r w:rsidR="00EA6EC3">
        <w:t xml:space="preserve"> LS [3] to RAN1 to clarify the applicability for cross TRP time restriction. For the case when the time span between DCI scheduling the TCI state switching and PDSCH from different TRPs is less than </w:t>
      </w:r>
      <w:proofErr w:type="spellStart"/>
      <w:r w:rsidR="00EA6EC3">
        <w:t>timeDurationforQcl</w:t>
      </w:r>
      <w:proofErr w:type="spellEnd"/>
      <w:r w:rsidR="00EA6EC3">
        <w:t xml:space="preserve">, whether it is feasible </w:t>
      </w:r>
      <w:r>
        <w:t xml:space="preserve">will be discussed in RAN1. Thus, the requirements shall apply when </w:t>
      </w:r>
      <w:r w:rsidRPr="00911508">
        <w:t>the interval</w:t>
      </w:r>
      <w:r>
        <w:t>s</w:t>
      </w:r>
      <w:r w:rsidRPr="00911508">
        <w:t xml:space="preserve"> between DCI and PDSCH from different TRPs are</w:t>
      </w:r>
      <w:r>
        <w:t xml:space="preserve"> no less</w:t>
      </w:r>
      <w:r w:rsidRPr="00911508">
        <w:t xml:space="preserve"> than </w:t>
      </w:r>
      <w:proofErr w:type="spellStart"/>
      <w:r w:rsidRPr="00911508">
        <w:t>timeDurationForQCL</w:t>
      </w:r>
      <w:proofErr w:type="spellEnd"/>
      <w:r>
        <w:t xml:space="preserve">. For the case when the </w:t>
      </w:r>
      <w:r w:rsidRPr="00911508">
        <w:t>interval</w:t>
      </w:r>
      <w:r>
        <w:t xml:space="preserve">s are less than </w:t>
      </w:r>
      <w:proofErr w:type="spellStart"/>
      <w:r>
        <w:t>timeDurationForQCl</w:t>
      </w:r>
      <w:proofErr w:type="spellEnd"/>
      <w:r>
        <w:t>, RAN4 shall wait for RAN1 feedback.</w:t>
      </w:r>
    </w:p>
    <w:p w:rsidR="00911508" w:rsidRDefault="00911508" w:rsidP="00911508">
      <w:pPr>
        <w:jc w:val="both"/>
        <w:rPr>
          <w:lang w:val="en-US"/>
        </w:rPr>
      </w:pPr>
      <w:r>
        <w:t xml:space="preserve">Fig. 1 </w:t>
      </w:r>
      <w:r w:rsidRPr="006451D8">
        <w:rPr>
          <w:lang w:val="en-US"/>
        </w:rPr>
        <w:t xml:space="preserve">Simultaneous reception in </w:t>
      </w:r>
      <w:proofErr w:type="spellStart"/>
      <w:r w:rsidRPr="006451D8">
        <w:rPr>
          <w:lang w:val="en-US"/>
        </w:rPr>
        <w:t>mDCI</w:t>
      </w:r>
      <w:proofErr w:type="spellEnd"/>
      <w:r w:rsidRPr="006451D8">
        <w:rPr>
          <w:lang w:val="en-US"/>
        </w:rPr>
        <w:t>.</w:t>
      </w:r>
    </w:p>
    <w:p w:rsidR="00911508" w:rsidRPr="00911508" w:rsidRDefault="00911508" w:rsidP="00911508">
      <w:pPr>
        <w:jc w:val="both"/>
        <w:rPr>
          <w:b/>
        </w:rPr>
      </w:pPr>
      <w:r w:rsidRPr="00911508">
        <w:rPr>
          <w:b/>
          <w:lang w:val="en-US"/>
        </w:rPr>
        <w:t xml:space="preserve">Proposal 2: In </w:t>
      </w:r>
      <w:proofErr w:type="spellStart"/>
      <w:r w:rsidRPr="00911508">
        <w:rPr>
          <w:b/>
          <w:lang w:val="en-US"/>
        </w:rPr>
        <w:t>mDCI</w:t>
      </w:r>
      <w:proofErr w:type="spellEnd"/>
      <w:r w:rsidRPr="00911508">
        <w:rPr>
          <w:b/>
          <w:lang w:val="en-US"/>
        </w:rPr>
        <w:t xml:space="preserve"> scenarios, for dual TCI states switching for simultaneous PDSCH reception, </w:t>
      </w:r>
      <w:r w:rsidRPr="00911508">
        <w:rPr>
          <w:b/>
        </w:rPr>
        <w:t xml:space="preserve">the requirements shall apply when the intervals between DCI and PDSCH from different TRPs are no less than </w:t>
      </w:r>
      <w:proofErr w:type="spellStart"/>
      <w:r w:rsidRPr="00911508">
        <w:rPr>
          <w:b/>
        </w:rPr>
        <w:t>timeDurationForQCL</w:t>
      </w:r>
      <w:proofErr w:type="spellEnd"/>
      <w:r w:rsidRPr="00911508">
        <w:rPr>
          <w:b/>
        </w:rPr>
        <w:t xml:space="preserve">. For the case when the intervals are less than </w:t>
      </w:r>
      <w:proofErr w:type="spellStart"/>
      <w:r w:rsidRPr="00911508">
        <w:rPr>
          <w:b/>
        </w:rPr>
        <w:t>timeDurationForQCl</w:t>
      </w:r>
      <w:proofErr w:type="spellEnd"/>
      <w:r w:rsidRPr="00911508">
        <w:rPr>
          <w:b/>
        </w:rPr>
        <w:t>, RAN4 shall wait for RAN1 feedback.</w:t>
      </w:r>
    </w:p>
    <w:p w:rsidR="00170960" w:rsidRDefault="00170960" w:rsidP="00170960">
      <w:pPr>
        <w:pStyle w:val="Heading2"/>
      </w:pPr>
      <w:r w:rsidRPr="00E875BB">
        <w:t>2.</w:t>
      </w:r>
      <w:r>
        <w:t>2</w:t>
      </w:r>
      <w:r w:rsidRPr="00E875BB">
        <w:t xml:space="preserve"> </w:t>
      </w:r>
      <w:r>
        <w:t>MAC CE based TCI switching</w:t>
      </w:r>
    </w:p>
    <w:p w:rsidR="00F7352F" w:rsidRDefault="00170960" w:rsidP="0053784F">
      <w:pPr>
        <w:jc w:val="both"/>
      </w:pPr>
      <w:r>
        <w:t xml:space="preserve">For </w:t>
      </w:r>
      <w:proofErr w:type="spellStart"/>
      <w:r>
        <w:t>sDCI</w:t>
      </w:r>
      <w:proofErr w:type="spellEnd"/>
      <w:r>
        <w:t xml:space="preserve"> MAC CE based TCI state switching, </w:t>
      </w:r>
      <w:r w:rsidR="00A777DA">
        <w:t>the status is summarized as follows. The remaining issue is whether and how to define TCI state delay requirements when the target TCI state are not in the active TCI state list.</w:t>
      </w:r>
    </w:p>
    <w:tbl>
      <w:tblPr>
        <w:tblStyle w:val="TableGrid"/>
        <w:tblW w:w="0" w:type="auto"/>
        <w:tblLook w:val="04A0" w:firstRow="1" w:lastRow="0" w:firstColumn="1" w:lastColumn="0" w:noHBand="0" w:noVBand="1"/>
      </w:tblPr>
      <w:tblGrid>
        <w:gridCol w:w="9562"/>
      </w:tblGrid>
      <w:tr w:rsidR="00A777DA" w:rsidTr="00A777DA">
        <w:tc>
          <w:tcPr>
            <w:tcW w:w="9562" w:type="dxa"/>
          </w:tcPr>
          <w:p w:rsidR="00A777DA" w:rsidRPr="00AA5CA8" w:rsidRDefault="00A777DA" w:rsidP="00A777DA">
            <w:pPr>
              <w:rPr>
                <w:b/>
                <w:u w:val="single"/>
                <w:lang w:eastAsia="ko-KR"/>
              </w:rPr>
            </w:pPr>
            <w:r w:rsidRPr="00AA5CA8">
              <w:rPr>
                <w:b/>
                <w:u w:val="single"/>
                <w:lang w:eastAsia="ko-KR"/>
              </w:rPr>
              <w:t>Issue 2-3-1: MAC-CE based PDCCH TCI state switch for s-DCI PDCCH repetition</w:t>
            </w:r>
          </w:p>
          <w:p w:rsidR="00A777DA" w:rsidRPr="00AA5CA8" w:rsidRDefault="00A777DA" w:rsidP="00A777DA">
            <w:pPr>
              <w:spacing w:after="120"/>
              <w:rPr>
                <w:bCs/>
                <w:szCs w:val="24"/>
                <w:lang w:val="en-US"/>
              </w:rPr>
            </w:pPr>
            <w:r w:rsidRPr="00AA5CA8">
              <w:rPr>
                <w:bCs/>
                <w:szCs w:val="24"/>
                <w:lang w:val="en-US"/>
              </w:rPr>
              <w:t>Agreement:</w:t>
            </w:r>
          </w:p>
          <w:p w:rsidR="00A777DA" w:rsidRPr="00AA5CA8" w:rsidRDefault="00A777DA" w:rsidP="00A777DA">
            <w:pPr>
              <w:pStyle w:val="ListParagraph"/>
              <w:numPr>
                <w:ilvl w:val="1"/>
                <w:numId w:val="26"/>
              </w:numPr>
              <w:autoSpaceDN w:val="0"/>
              <w:adjustRightInd w:val="0"/>
              <w:spacing w:after="120" w:line="252" w:lineRule="auto"/>
              <w:ind w:firstLineChars="0"/>
            </w:pPr>
            <w:r w:rsidRPr="00AA5CA8">
              <w:t>For MAC-CE based PDCCH TCI state switch for s-DCI PDCCH repetition [where two MAC-CEs are received in one slot], the legacy delay requirements apply if following conditions are met.</w:t>
            </w:r>
          </w:p>
          <w:p w:rsidR="00A777DA" w:rsidRPr="00AA5CA8" w:rsidRDefault="00A777DA" w:rsidP="00A777DA">
            <w:pPr>
              <w:pStyle w:val="ListParagraph"/>
              <w:numPr>
                <w:ilvl w:val="2"/>
                <w:numId w:val="26"/>
              </w:numPr>
              <w:autoSpaceDN w:val="0"/>
              <w:adjustRightInd w:val="0"/>
              <w:spacing w:after="120" w:line="252" w:lineRule="auto"/>
              <w:ind w:firstLineChars="0"/>
            </w:pPr>
            <w:r w:rsidRPr="00AA5CA8">
              <w:t xml:space="preserve">Target dual TCI states are in the active TCI state list; or </w:t>
            </w:r>
          </w:p>
          <w:p w:rsidR="00A777DA" w:rsidRPr="00AA5CA8" w:rsidRDefault="00A777DA" w:rsidP="00A777DA">
            <w:pPr>
              <w:pStyle w:val="ListParagraph"/>
              <w:numPr>
                <w:ilvl w:val="2"/>
                <w:numId w:val="26"/>
              </w:numPr>
              <w:autoSpaceDN w:val="0"/>
              <w:adjustRightInd w:val="0"/>
              <w:spacing w:after="120" w:line="252" w:lineRule="auto"/>
              <w:ind w:firstLineChars="0"/>
            </w:pPr>
            <w:r w:rsidRPr="00AA5CA8">
              <w:t>If target dual TCI states are NOT in the active TCI state list and [</w:t>
            </w:r>
            <w:proofErr w:type="spellStart"/>
            <w:r w:rsidRPr="00AA5CA8">
              <w:t>T</w:t>
            </w:r>
            <w:r w:rsidRPr="00AA5CA8">
              <w:rPr>
                <w:vertAlign w:val="subscript"/>
              </w:rPr>
              <w:t>first_SSB</w:t>
            </w:r>
            <w:proofErr w:type="spellEnd"/>
            <w:r w:rsidRPr="00AA5CA8">
              <w:t xml:space="preserve">] is longer than [125]us, where </w:t>
            </w:r>
            <w:proofErr w:type="spellStart"/>
            <w:r w:rsidRPr="00AA5CA8">
              <w:t>T</w:t>
            </w:r>
            <w:r w:rsidRPr="00AA5CA8">
              <w:rPr>
                <w:vertAlign w:val="subscript"/>
              </w:rPr>
              <w:t>first_SSB</w:t>
            </w:r>
            <w:proofErr w:type="spellEnd"/>
            <w:r w:rsidRPr="00AA5CA8">
              <w:t xml:space="preserve"> is the shorter one between T</w:t>
            </w:r>
            <w:r w:rsidRPr="00AA5CA8">
              <w:rPr>
                <w:vertAlign w:val="subscript"/>
              </w:rPr>
              <w:t>first-SSB1</w:t>
            </w:r>
            <w:r w:rsidRPr="00AA5CA8">
              <w:t xml:space="preserve"> and T</w:t>
            </w:r>
            <w:r w:rsidRPr="00AA5CA8">
              <w:rPr>
                <w:vertAlign w:val="subscript"/>
              </w:rPr>
              <w:t>first_SSB2</w:t>
            </w:r>
            <w:r w:rsidRPr="00AA5CA8">
              <w:t xml:space="preserve">. </w:t>
            </w:r>
          </w:p>
          <w:p w:rsidR="00A777DA" w:rsidRPr="00AA5CA8" w:rsidRDefault="00A777DA" w:rsidP="00A777DA">
            <w:pPr>
              <w:pStyle w:val="ListParagraph"/>
              <w:numPr>
                <w:ilvl w:val="3"/>
                <w:numId w:val="26"/>
              </w:numPr>
              <w:autoSpaceDN w:val="0"/>
              <w:adjustRightInd w:val="0"/>
              <w:spacing w:after="120" w:line="252" w:lineRule="auto"/>
              <w:ind w:firstLineChars="0"/>
            </w:pPr>
            <w:r w:rsidRPr="00AA5CA8">
              <w:rPr>
                <w:rFonts w:hint="eastAsia"/>
              </w:rPr>
              <w:t>F</w:t>
            </w:r>
            <w:r w:rsidRPr="00AA5CA8">
              <w:t>FS if requirements should be defined for the case.</w:t>
            </w:r>
          </w:p>
          <w:p w:rsidR="00A777DA" w:rsidRDefault="00A777DA" w:rsidP="00A777DA">
            <w:pPr>
              <w:pStyle w:val="ListParagraph"/>
              <w:numPr>
                <w:ilvl w:val="1"/>
                <w:numId w:val="26"/>
              </w:numPr>
              <w:autoSpaceDN w:val="0"/>
              <w:adjustRightInd w:val="0"/>
              <w:spacing w:after="120" w:line="252" w:lineRule="auto"/>
              <w:ind w:firstLineChars="0"/>
            </w:pPr>
            <w:r w:rsidRPr="00AA5CA8">
              <w:t>Otherwise, [125] µs additional delay is considered</w:t>
            </w:r>
          </w:p>
        </w:tc>
      </w:tr>
    </w:tbl>
    <w:p w:rsidR="00A777DA" w:rsidRPr="00911508" w:rsidRDefault="00A777DA" w:rsidP="0053784F">
      <w:pPr>
        <w:jc w:val="both"/>
      </w:pPr>
    </w:p>
    <w:p w:rsidR="00F7352F" w:rsidRDefault="001069DA" w:rsidP="0053784F">
      <w:pPr>
        <w:jc w:val="both"/>
      </w:pPr>
      <w:r>
        <w:t>From our understanding, when the dual TCI state is no in the active TCI state list, it is possible that UE need panel switching for the target TCI. However, based on agreements reached so far, RAN4 only define requirements for known case, which means the target TCI state are based on the latest GBBR reporting.</w:t>
      </w:r>
    </w:p>
    <w:p w:rsidR="001069DA" w:rsidRPr="001069DA" w:rsidRDefault="001069DA" w:rsidP="0053784F">
      <w:pPr>
        <w:jc w:val="both"/>
        <w:rPr>
          <w:b/>
        </w:rPr>
      </w:pPr>
      <w:r w:rsidRPr="001069DA">
        <w:rPr>
          <w:b/>
        </w:rPr>
        <w:lastRenderedPageBreak/>
        <w:t>Observation 3: Only known TCI state switching requirements are considered in Rel-18 Multi-Rx, which the target TCI shall be QCL-ed with the latest reported GBBR.</w:t>
      </w:r>
    </w:p>
    <w:p w:rsidR="001069DA" w:rsidRDefault="001069DA" w:rsidP="0053784F">
      <w:pPr>
        <w:jc w:val="both"/>
      </w:pPr>
      <w:r>
        <w:t>Based on above observation, we thin</w:t>
      </w:r>
      <w:r w:rsidR="00C6778D">
        <w:t xml:space="preserve">k </w:t>
      </w:r>
      <w:r>
        <w:t xml:space="preserve">the panel operation may be </w:t>
      </w:r>
      <w:r w:rsidR="00C6778D">
        <w:t>not necessary</w:t>
      </w:r>
      <w:r>
        <w:t>.</w:t>
      </w:r>
      <w:r w:rsidR="00C6778D">
        <w:t xml:space="preserve"> Based on the discussion in previous meeting, companies have diverse understanding on the time needed for panel activation/switching, thus, it is hard to conclude on a concrete value which is [125] us in the latest WF.</w:t>
      </w:r>
      <w:r>
        <w:t xml:space="preserve"> </w:t>
      </w:r>
      <w:r w:rsidR="00C6778D">
        <w:t xml:space="preserve">Consider that PDCCH repetition is a special case for </w:t>
      </w:r>
      <w:proofErr w:type="spellStart"/>
      <w:r w:rsidR="00C6778D">
        <w:t>mTRP</w:t>
      </w:r>
      <w:proofErr w:type="spellEnd"/>
      <w:r w:rsidR="00C6778D">
        <w:t>, thus it is proposed to only define requirements when t</w:t>
      </w:r>
      <w:r w:rsidR="00C6778D" w:rsidRPr="00AA5CA8">
        <w:t>arget dual TCI states are in the active TCI state list</w:t>
      </w:r>
      <w:r w:rsidR="00C6778D">
        <w:t>.</w:t>
      </w:r>
    </w:p>
    <w:p w:rsidR="00C6778D" w:rsidRPr="00D73F23" w:rsidRDefault="00C6778D" w:rsidP="0053784F">
      <w:pPr>
        <w:jc w:val="both"/>
        <w:rPr>
          <w:b/>
        </w:rPr>
      </w:pPr>
      <w:r w:rsidRPr="00C6778D">
        <w:rPr>
          <w:b/>
        </w:rPr>
        <w:t>Proposal 3: For MAC-CE based PDCCH TCI state switch for s-DCI PDCCH repetition, only define requirements when target dual TCI states are in the active TCI state list.</w:t>
      </w:r>
    </w:p>
    <w:p w:rsidR="00C6778D" w:rsidRDefault="00C6778D" w:rsidP="00C6778D">
      <w:pPr>
        <w:pStyle w:val="Heading2"/>
      </w:pPr>
      <w:r w:rsidRPr="00E875BB">
        <w:t>2.</w:t>
      </w:r>
      <w:r>
        <w:t>3</w:t>
      </w:r>
      <w:r w:rsidRPr="00E875BB">
        <w:t xml:space="preserve"> </w:t>
      </w:r>
      <w:r>
        <w:t>Known condition</w:t>
      </w:r>
    </w:p>
    <w:p w:rsidR="00F7352F" w:rsidRDefault="00D73F23" w:rsidP="0053784F">
      <w:pPr>
        <w:jc w:val="both"/>
      </w:pPr>
      <w:r>
        <w:t>RAN4 reached the agreement for known conditions as follows:</w:t>
      </w:r>
    </w:p>
    <w:tbl>
      <w:tblPr>
        <w:tblStyle w:val="TableGrid"/>
        <w:tblW w:w="0" w:type="auto"/>
        <w:tblLook w:val="04A0" w:firstRow="1" w:lastRow="0" w:firstColumn="1" w:lastColumn="0" w:noHBand="0" w:noVBand="1"/>
      </w:tblPr>
      <w:tblGrid>
        <w:gridCol w:w="9562"/>
      </w:tblGrid>
      <w:tr w:rsidR="00D73F23" w:rsidTr="00D73F23">
        <w:tc>
          <w:tcPr>
            <w:tcW w:w="9562" w:type="dxa"/>
          </w:tcPr>
          <w:p w:rsidR="00D73F23" w:rsidRPr="00854835" w:rsidRDefault="00D73F23" w:rsidP="00D73F23">
            <w:pPr>
              <w:jc w:val="both"/>
            </w:pPr>
            <w:r w:rsidRPr="00854835">
              <w:rPr>
                <w:rFonts w:hint="eastAsia"/>
              </w:rPr>
              <w:t>A</w:t>
            </w:r>
            <w:r w:rsidRPr="00854835">
              <w:t>greements:</w:t>
            </w:r>
          </w:p>
          <w:p w:rsidR="00D73F23" w:rsidRPr="00854835" w:rsidRDefault="00D73F23" w:rsidP="00D73F23">
            <w:pPr>
              <w:pStyle w:val="ListParagraph"/>
              <w:numPr>
                <w:ilvl w:val="0"/>
                <w:numId w:val="3"/>
              </w:numPr>
              <w:spacing w:after="120"/>
              <w:ind w:left="720" w:firstLineChars="0"/>
            </w:pPr>
            <w:r w:rsidRPr="00854835">
              <w:t>Dual TCI states are known if the</w:t>
            </w:r>
          </w:p>
          <w:p w:rsidR="00D73F23" w:rsidRPr="00854835" w:rsidRDefault="00D73F23" w:rsidP="00D73F23">
            <w:pPr>
              <w:pStyle w:val="ListParagraph"/>
              <w:numPr>
                <w:ilvl w:val="1"/>
                <w:numId w:val="3"/>
              </w:numPr>
              <w:spacing w:after="120"/>
              <w:ind w:firstLineChars="0"/>
            </w:pPr>
            <w:r w:rsidRPr="00854835">
              <w:t>dual TCI states are QCL-ed to reported beam pair (i.e., RS resources pair) within one group</w:t>
            </w:r>
          </w:p>
          <w:p w:rsidR="00D73F23" w:rsidRPr="00854835" w:rsidRDefault="00D73F23" w:rsidP="00D73F23">
            <w:pPr>
              <w:pStyle w:val="ListParagraph"/>
              <w:numPr>
                <w:ilvl w:val="2"/>
                <w:numId w:val="3"/>
              </w:numPr>
              <w:spacing w:after="120"/>
              <w:ind w:firstLineChars="0"/>
            </w:pPr>
            <w:r w:rsidRPr="00854835">
              <w:t>All the RSs in the QCL chain remain detectable</w:t>
            </w:r>
          </w:p>
          <w:p w:rsidR="00D73F23" w:rsidRPr="00854835" w:rsidRDefault="00D73F23" w:rsidP="00D73F23">
            <w:pPr>
              <w:pStyle w:val="ListParagraph"/>
              <w:numPr>
                <w:ilvl w:val="1"/>
                <w:numId w:val="3"/>
              </w:numPr>
              <w:spacing w:after="120"/>
              <w:ind w:firstLineChars="0"/>
            </w:pPr>
            <w:r w:rsidRPr="00854835">
              <w:t>The dual TCI states remains detectable during the TCI state switching period</w:t>
            </w:r>
          </w:p>
          <w:p w:rsidR="00D73F23" w:rsidRPr="00854835" w:rsidRDefault="00D73F23" w:rsidP="00D73F23">
            <w:pPr>
              <w:pStyle w:val="ListParagraph"/>
              <w:numPr>
                <w:ilvl w:val="1"/>
                <w:numId w:val="3"/>
              </w:numPr>
              <w:spacing w:after="120"/>
              <w:ind w:firstLineChars="0"/>
            </w:pPr>
            <w:r w:rsidRPr="00854835">
              <w:t>RSs configured for dual TCI states are reported in last [1280]</w:t>
            </w:r>
            <w:proofErr w:type="spellStart"/>
            <w:r w:rsidRPr="00854835">
              <w:t>ms</w:t>
            </w:r>
            <w:proofErr w:type="spellEnd"/>
          </w:p>
          <w:p w:rsidR="00D73F23" w:rsidRDefault="00D73F23" w:rsidP="00D73F23">
            <w:pPr>
              <w:ind w:left="1296"/>
            </w:pPr>
            <w:r w:rsidRPr="00854835">
              <w:t>Note: FFS whether additional conditions are needed for tests.</w:t>
            </w:r>
          </w:p>
        </w:tc>
      </w:tr>
    </w:tbl>
    <w:p w:rsidR="00D73F23" w:rsidRDefault="00D73F23" w:rsidP="0053784F">
      <w:pPr>
        <w:jc w:val="both"/>
      </w:pPr>
    </w:p>
    <w:p w:rsidR="00D73F23" w:rsidRDefault="00D73F23" w:rsidP="0053784F">
      <w:pPr>
        <w:jc w:val="both"/>
      </w:pPr>
      <w:r>
        <w:t xml:space="preserve">As discussed in previous meeting, it does not make any sense </w:t>
      </w:r>
      <w:r w:rsidR="00FA3BFA">
        <w:t xml:space="preserve">for NW to configured a pair of TCI state which NW has no idea about whether UE can receive simultaneously. Thus, it is agreed that only known case are considered for all TCI state switching, and the target TCI state are QCL-ed to reported beam pair (one group reported via GBBR). In general, the enhancement related to Multi-Rx are highly depending on GBBR to establish the reliable understanding between </w:t>
      </w:r>
      <w:proofErr w:type="spellStart"/>
      <w:r w:rsidR="00FA3BFA">
        <w:t>gNB</w:t>
      </w:r>
      <w:proofErr w:type="spellEnd"/>
      <w:r w:rsidR="00FA3BFA">
        <w:t xml:space="preserve"> and UE on the feasible beam pairs. Consider the case </w:t>
      </w:r>
      <w:r w:rsidR="00CA05BE">
        <w:t>that</w:t>
      </w:r>
      <w:r w:rsidR="00FA3BFA">
        <w:t xml:space="preserve"> UE is moving,</w:t>
      </w:r>
      <w:r w:rsidR="00CA05BE">
        <w:t xml:space="preserve"> and</w:t>
      </w:r>
      <w:r w:rsidR="00FA3BFA">
        <w:t xml:space="preserve"> the reported GBBR may change time to time, which means the selected panels for simultaneous reception is also changing. Thus, to avoid that </w:t>
      </w:r>
      <w:r w:rsidR="00AB71D9">
        <w:t>the target TCI is configured based on out-of-dated GBBR, it is suggested to clarify that the dual TCI states are QCL-ed to the latest reported beam pair within one group of GBBR.</w:t>
      </w:r>
    </w:p>
    <w:p w:rsidR="00AB71D9" w:rsidRPr="00AB71D9" w:rsidRDefault="00AB71D9" w:rsidP="00AB71D9">
      <w:pPr>
        <w:jc w:val="both"/>
        <w:rPr>
          <w:b/>
        </w:rPr>
      </w:pPr>
      <w:r w:rsidRPr="00AB71D9">
        <w:rPr>
          <w:b/>
        </w:rPr>
        <w:t>Proposal 4: The dual TCI states are QCL-ed to the latest reported beam pair within one group of GBBR.</w:t>
      </w:r>
    </w:p>
    <w:p w:rsidR="00AB71D9" w:rsidRPr="00AB71D9" w:rsidRDefault="00AB71D9" w:rsidP="00AB71D9">
      <w:pPr>
        <w:jc w:val="both"/>
        <w:rPr>
          <w:b/>
        </w:rPr>
      </w:pPr>
      <w:r w:rsidRPr="00AB71D9">
        <w:rPr>
          <w:b/>
        </w:rPr>
        <w:t xml:space="preserve">Proposal 5: Only consider known TCI state switching for Rel-18 Multi-Rx. </w:t>
      </w:r>
    </w:p>
    <w:p w:rsidR="00AB71D9" w:rsidRDefault="00AB71D9" w:rsidP="00AB71D9">
      <w:pPr>
        <w:jc w:val="both"/>
      </w:pPr>
      <w:r>
        <w:t xml:space="preserve">For clarification, proposal 5 is just to summarize the agreements achieved in different meetings for different cases. </w:t>
      </w:r>
    </w:p>
    <w:p w:rsidR="00DF0231" w:rsidRDefault="00DF0231" w:rsidP="00DF0231">
      <w:pPr>
        <w:pStyle w:val="Heading1"/>
        <w:numPr>
          <w:ilvl w:val="0"/>
          <w:numId w:val="1"/>
        </w:numPr>
        <w:rPr>
          <w:lang w:val="en-US"/>
        </w:rPr>
      </w:pPr>
      <w:r w:rsidRPr="002D2977">
        <w:rPr>
          <w:lang w:val="en-US"/>
        </w:rPr>
        <w:t>Conclusions</w:t>
      </w:r>
    </w:p>
    <w:p w:rsidR="00AB71D9" w:rsidRDefault="00AB71D9" w:rsidP="00AB71D9">
      <w:pPr>
        <w:rPr>
          <w:b/>
        </w:rPr>
      </w:pPr>
      <w:r w:rsidRPr="00311008">
        <w:rPr>
          <w:b/>
        </w:rPr>
        <w:t xml:space="preserve">Observation </w:t>
      </w:r>
      <w:r>
        <w:rPr>
          <w:b/>
        </w:rPr>
        <w:t>1</w:t>
      </w:r>
      <w:r w:rsidRPr="00311008">
        <w:rPr>
          <w:b/>
        </w:rPr>
        <w:t>: For dual TCI to single TCI when the target TCI is one of the source TCI (e.g. [RS</w:t>
      </w:r>
      <w:proofErr w:type="gramStart"/>
      <w:r w:rsidRPr="00311008">
        <w:rPr>
          <w:b/>
        </w:rPr>
        <w:t>1,RS</w:t>
      </w:r>
      <w:proofErr w:type="gramEnd"/>
      <w:r w:rsidRPr="00311008">
        <w:rPr>
          <w:b/>
        </w:rPr>
        <w:t xml:space="preserve">2] to [RS1]), whether UE needs time to apply the TCI states depends on whether UE is still in </w:t>
      </w:r>
      <w:proofErr w:type="spellStart"/>
      <w:r w:rsidRPr="00311008">
        <w:rPr>
          <w:b/>
        </w:rPr>
        <w:t>mTRP</w:t>
      </w:r>
      <w:proofErr w:type="spellEnd"/>
      <w:r w:rsidRPr="00311008">
        <w:rPr>
          <w:b/>
        </w:rPr>
        <w:t xml:space="preserve"> mode.</w:t>
      </w:r>
    </w:p>
    <w:p w:rsidR="00AB71D9" w:rsidRDefault="00AB71D9" w:rsidP="00AB71D9">
      <w:pPr>
        <w:rPr>
          <w:b/>
        </w:rPr>
      </w:pPr>
      <w:r>
        <w:rPr>
          <w:b/>
        </w:rPr>
        <w:t>Observation 2:</w:t>
      </w:r>
    </w:p>
    <w:p w:rsidR="00AB71D9" w:rsidRDefault="00AB71D9" w:rsidP="00AB71D9">
      <w:pPr>
        <w:rPr>
          <w:b/>
        </w:rPr>
      </w:pPr>
      <w:r>
        <w:rPr>
          <w:b/>
        </w:rPr>
        <w:t xml:space="preserve">If UE deems that it is in </w:t>
      </w:r>
      <w:proofErr w:type="spellStart"/>
      <w:r>
        <w:rPr>
          <w:b/>
        </w:rPr>
        <w:t>mTRP</w:t>
      </w:r>
      <w:proofErr w:type="spellEnd"/>
      <w:r>
        <w:rPr>
          <w:b/>
        </w:rPr>
        <w:t xml:space="preserve"> mode, and dual TCI states are only temporarily switched to single TCI states, then there is no addition operations and no delay is needed at all.</w:t>
      </w:r>
    </w:p>
    <w:p w:rsidR="00AB71D9" w:rsidRPr="00311008" w:rsidRDefault="00AB71D9" w:rsidP="00AB71D9">
      <w:pPr>
        <w:rPr>
          <w:b/>
        </w:rPr>
      </w:pPr>
      <w:r>
        <w:rPr>
          <w:b/>
        </w:rPr>
        <w:t xml:space="preserve">If UE deems that it is switched to </w:t>
      </w:r>
      <w:proofErr w:type="spellStart"/>
      <w:r>
        <w:rPr>
          <w:b/>
        </w:rPr>
        <w:t>sTRP</w:t>
      </w:r>
      <w:proofErr w:type="spellEnd"/>
      <w:r>
        <w:rPr>
          <w:b/>
        </w:rPr>
        <w:t xml:space="preserve"> mode, UE needs to use the beam for </w:t>
      </w:r>
      <w:proofErr w:type="spellStart"/>
      <w:r>
        <w:rPr>
          <w:b/>
        </w:rPr>
        <w:t>sTRP</w:t>
      </w:r>
      <w:proofErr w:type="spellEnd"/>
      <w:r>
        <w:rPr>
          <w:b/>
        </w:rPr>
        <w:t>. Then beam application time is still needed. (e.g. UE may use different beam for RS1 before and after TCI state switch)</w:t>
      </w:r>
    </w:p>
    <w:p w:rsidR="00AB71D9" w:rsidRPr="00F7352F" w:rsidRDefault="00AB71D9" w:rsidP="00AB71D9">
      <w:pPr>
        <w:rPr>
          <w:b/>
        </w:rPr>
      </w:pPr>
      <w:r>
        <w:rPr>
          <w:b/>
        </w:rPr>
        <w:t xml:space="preserve">Proposal 1: For </w:t>
      </w:r>
      <w:proofErr w:type="spellStart"/>
      <w:r>
        <w:rPr>
          <w:b/>
        </w:rPr>
        <w:t>sDCI</w:t>
      </w:r>
      <w:proofErr w:type="spellEnd"/>
      <w:r>
        <w:rPr>
          <w:b/>
        </w:rPr>
        <w:t>, f</w:t>
      </w:r>
      <w:r w:rsidRPr="00311008">
        <w:rPr>
          <w:b/>
        </w:rPr>
        <w:t>or dual TCI to single TCI when the target TCI is one of the source TCI (e.g. [RS</w:t>
      </w:r>
      <w:proofErr w:type="gramStart"/>
      <w:r w:rsidRPr="00311008">
        <w:rPr>
          <w:b/>
        </w:rPr>
        <w:t>1,RS</w:t>
      </w:r>
      <w:proofErr w:type="gramEnd"/>
      <w:r w:rsidRPr="00311008">
        <w:rPr>
          <w:b/>
        </w:rPr>
        <w:t xml:space="preserve">2] to [RS1]), </w:t>
      </w:r>
      <w:r>
        <w:rPr>
          <w:b/>
        </w:rPr>
        <w:t xml:space="preserve">there is no TCI switching delay when UE is configured with GBBR and is NOT configured with non-GBBR. </w:t>
      </w:r>
    </w:p>
    <w:p w:rsidR="00AB71D9" w:rsidRPr="00911508" w:rsidRDefault="00AB71D9" w:rsidP="00AB71D9">
      <w:pPr>
        <w:jc w:val="both"/>
        <w:rPr>
          <w:b/>
        </w:rPr>
      </w:pPr>
      <w:r w:rsidRPr="00911508">
        <w:rPr>
          <w:b/>
          <w:lang w:val="en-US"/>
        </w:rPr>
        <w:t xml:space="preserve">Proposal 2: In </w:t>
      </w:r>
      <w:proofErr w:type="spellStart"/>
      <w:r w:rsidRPr="00911508">
        <w:rPr>
          <w:b/>
          <w:lang w:val="en-US"/>
        </w:rPr>
        <w:t>mDCI</w:t>
      </w:r>
      <w:proofErr w:type="spellEnd"/>
      <w:r w:rsidRPr="00911508">
        <w:rPr>
          <w:b/>
          <w:lang w:val="en-US"/>
        </w:rPr>
        <w:t xml:space="preserve"> scenarios, for dual TCI states switching for simultaneous PDSCH reception, </w:t>
      </w:r>
      <w:r w:rsidRPr="00911508">
        <w:rPr>
          <w:b/>
        </w:rPr>
        <w:t xml:space="preserve">the requirements shall apply when the intervals between DCI and PDSCH from different TRPs are no less than </w:t>
      </w:r>
      <w:proofErr w:type="spellStart"/>
      <w:r w:rsidRPr="00911508">
        <w:rPr>
          <w:b/>
        </w:rPr>
        <w:lastRenderedPageBreak/>
        <w:t>timeDurationForQCL</w:t>
      </w:r>
      <w:proofErr w:type="spellEnd"/>
      <w:r w:rsidRPr="00911508">
        <w:rPr>
          <w:b/>
        </w:rPr>
        <w:t xml:space="preserve">. For the case when the intervals are less than </w:t>
      </w:r>
      <w:proofErr w:type="spellStart"/>
      <w:r w:rsidRPr="00911508">
        <w:rPr>
          <w:b/>
        </w:rPr>
        <w:t>timeDurationForQCl</w:t>
      </w:r>
      <w:proofErr w:type="spellEnd"/>
      <w:r w:rsidRPr="00911508">
        <w:rPr>
          <w:b/>
        </w:rPr>
        <w:t>, RAN4 shall wait for RAN1 feedback.</w:t>
      </w:r>
    </w:p>
    <w:p w:rsidR="00AB71D9" w:rsidRPr="001069DA" w:rsidRDefault="00AB71D9" w:rsidP="00AB71D9">
      <w:pPr>
        <w:jc w:val="both"/>
        <w:rPr>
          <w:b/>
        </w:rPr>
      </w:pPr>
      <w:r w:rsidRPr="001069DA">
        <w:rPr>
          <w:b/>
        </w:rPr>
        <w:t>Observation 3: Only known TCI state switching requirements are considered in Rel-18 Multi-Rx, which the target TCI shall be QCL-ed with the latest reported GBBR.</w:t>
      </w:r>
    </w:p>
    <w:p w:rsidR="00AB71D9" w:rsidRPr="00D73F23" w:rsidRDefault="00AB71D9" w:rsidP="00AB71D9">
      <w:pPr>
        <w:jc w:val="both"/>
        <w:rPr>
          <w:b/>
        </w:rPr>
      </w:pPr>
      <w:r w:rsidRPr="00C6778D">
        <w:rPr>
          <w:b/>
        </w:rPr>
        <w:t>Proposal 3: For MAC-CE based PDCCH TCI state switch for s-DCI PDCCH repetition, only define requirements when target dual TCI states are in the active TCI state list.</w:t>
      </w:r>
    </w:p>
    <w:p w:rsidR="00AB71D9" w:rsidRPr="00AB71D9" w:rsidRDefault="00AB71D9" w:rsidP="00AB71D9">
      <w:pPr>
        <w:jc w:val="both"/>
        <w:rPr>
          <w:b/>
        </w:rPr>
      </w:pPr>
      <w:r w:rsidRPr="00AB71D9">
        <w:rPr>
          <w:b/>
        </w:rPr>
        <w:t>Proposal 4: The dual TCI states are QCL-ed to the latest reported beam pair within one group of GBBR.</w:t>
      </w:r>
    </w:p>
    <w:p w:rsidR="00AB71D9" w:rsidRPr="00AB71D9" w:rsidRDefault="00AB71D9" w:rsidP="00AB71D9">
      <w:pPr>
        <w:jc w:val="both"/>
        <w:rPr>
          <w:b/>
        </w:rPr>
      </w:pPr>
      <w:r w:rsidRPr="00AB71D9">
        <w:rPr>
          <w:b/>
        </w:rPr>
        <w:t>Proposal 5: Only consider known TCI state switching for Rel-18 Multi-R</w:t>
      </w:r>
      <w:bookmarkStart w:id="1" w:name="_GoBack"/>
      <w:bookmarkEnd w:id="1"/>
      <w:r w:rsidRPr="00AB71D9">
        <w:rPr>
          <w:b/>
        </w:rPr>
        <w:t xml:space="preserve">x. </w:t>
      </w:r>
    </w:p>
    <w:p w:rsidR="00AB71D9" w:rsidRPr="00911508" w:rsidRDefault="00AB71D9" w:rsidP="00AB71D9">
      <w:pPr>
        <w:rPr>
          <w:b/>
        </w:rPr>
      </w:pPr>
    </w:p>
    <w:p w:rsidR="00DF0231" w:rsidRPr="002D2977" w:rsidRDefault="00DF0231" w:rsidP="00DF0231">
      <w:pPr>
        <w:pStyle w:val="Heading1"/>
        <w:tabs>
          <w:tab w:val="clear" w:pos="432"/>
        </w:tabs>
        <w:ind w:left="0" w:firstLine="0"/>
        <w:rPr>
          <w:lang w:val="en-US"/>
        </w:rPr>
      </w:pPr>
      <w:r w:rsidRPr="002D2977">
        <w:rPr>
          <w:lang w:val="en-US"/>
        </w:rPr>
        <w:t>References</w:t>
      </w:r>
    </w:p>
    <w:p w:rsidR="006103C0" w:rsidRPr="000A18E6" w:rsidRDefault="006103C0" w:rsidP="006103C0">
      <w:pPr>
        <w:rPr>
          <w:rFonts w:eastAsiaTheme="minorEastAsia"/>
          <w:lang w:eastAsia="zh-CN"/>
        </w:rPr>
      </w:pPr>
      <w:r>
        <w:rPr>
          <w:rFonts w:eastAsiaTheme="minorEastAsia"/>
          <w:lang w:eastAsia="zh-CN"/>
        </w:rPr>
        <w:t xml:space="preserve">[1] </w:t>
      </w:r>
      <w:r w:rsidR="009B2AEA" w:rsidRPr="009B2AEA">
        <w:rPr>
          <w:rFonts w:eastAsiaTheme="minorEastAsia"/>
          <w:lang w:eastAsia="zh-CN"/>
        </w:rPr>
        <w:t>R4-2314477</w:t>
      </w:r>
      <w:r w:rsidR="00EA6EC3">
        <w:rPr>
          <w:rFonts w:eastAsiaTheme="minorEastAsia"/>
          <w:lang w:eastAsia="zh-CN"/>
        </w:rPr>
        <w:t xml:space="preserve"> </w:t>
      </w:r>
      <w:r w:rsidRPr="005A33C9">
        <w:rPr>
          <w:rFonts w:eastAsiaTheme="minorEastAsia"/>
          <w:lang w:eastAsia="zh-CN"/>
        </w:rPr>
        <w:t>WF on NR FR2 multi-Rx chain DL reception RRM requirements (part 1)</w:t>
      </w:r>
    </w:p>
    <w:p w:rsidR="006103C0" w:rsidRDefault="006103C0" w:rsidP="006103C0">
      <w:pPr>
        <w:rPr>
          <w:rFonts w:eastAsiaTheme="minorEastAsia"/>
          <w:lang w:eastAsia="zh-CN"/>
        </w:rPr>
      </w:pPr>
      <w:r>
        <w:rPr>
          <w:rFonts w:eastAsiaTheme="minorEastAsia"/>
          <w:lang w:eastAsia="zh-CN"/>
        </w:rPr>
        <w:t xml:space="preserve">[2] </w:t>
      </w:r>
      <w:r w:rsidR="009B2AEA" w:rsidRPr="009B2AEA">
        <w:rPr>
          <w:rFonts w:eastAsiaTheme="minorEastAsia"/>
          <w:lang w:eastAsia="zh-CN"/>
        </w:rPr>
        <w:t>R4-2314283</w:t>
      </w:r>
      <w:r w:rsidR="00EA6EC3">
        <w:rPr>
          <w:rFonts w:eastAsiaTheme="minorEastAsia"/>
          <w:lang w:eastAsia="zh-CN"/>
        </w:rPr>
        <w:t xml:space="preserve"> </w:t>
      </w:r>
      <w:r w:rsidRPr="005A33C9">
        <w:rPr>
          <w:rFonts w:eastAsiaTheme="minorEastAsia"/>
          <w:lang w:eastAsia="zh-CN"/>
        </w:rPr>
        <w:t>WF on NR FR2 multi-Rx chain DL reception RRM requirements (part 2)</w:t>
      </w:r>
    </w:p>
    <w:p w:rsidR="00EA6EC3" w:rsidRDefault="00EA6EC3" w:rsidP="006103C0">
      <w:pPr>
        <w:rPr>
          <w:rFonts w:eastAsiaTheme="minorEastAsia"/>
          <w:lang w:eastAsia="zh-CN"/>
        </w:rPr>
      </w:pPr>
      <w:r>
        <w:rPr>
          <w:rFonts w:eastAsiaTheme="minorEastAsia"/>
          <w:lang w:eastAsia="zh-CN"/>
        </w:rPr>
        <w:t xml:space="preserve">[3] </w:t>
      </w:r>
      <w:r w:rsidRPr="00EA6EC3">
        <w:rPr>
          <w:rFonts w:eastAsiaTheme="minorEastAsia"/>
          <w:lang w:eastAsia="zh-CN"/>
        </w:rPr>
        <w:t>R4-2314479</w:t>
      </w:r>
      <w:r>
        <w:rPr>
          <w:rFonts w:eastAsiaTheme="minorEastAsia"/>
          <w:lang w:eastAsia="zh-CN"/>
        </w:rPr>
        <w:t xml:space="preserve"> </w:t>
      </w:r>
      <w:r w:rsidRPr="00EA6EC3">
        <w:rPr>
          <w:rFonts w:eastAsiaTheme="minorEastAsia"/>
          <w:lang w:eastAsia="zh-CN"/>
        </w:rPr>
        <w:t xml:space="preserve">LS on Dual TCI state switching in </w:t>
      </w:r>
      <w:proofErr w:type="spellStart"/>
      <w:r w:rsidRPr="00EA6EC3">
        <w:rPr>
          <w:rFonts w:eastAsiaTheme="minorEastAsia"/>
          <w:lang w:eastAsia="zh-CN"/>
        </w:rPr>
        <w:t>mDCI</w:t>
      </w:r>
      <w:proofErr w:type="spellEnd"/>
    </w:p>
    <w:p w:rsidR="007E6234" w:rsidRPr="000A18E6" w:rsidRDefault="007E6234" w:rsidP="000A18E6">
      <w:pPr>
        <w:rPr>
          <w:rFonts w:eastAsiaTheme="minorEastAsia"/>
          <w:lang w:eastAsia="zh-CN"/>
        </w:rPr>
      </w:pPr>
    </w:p>
    <w:sectPr w:rsidR="007E6234" w:rsidRPr="000A18E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0F4" w:rsidRDefault="003A70F4">
      <w:pPr>
        <w:spacing w:after="0"/>
      </w:pPr>
      <w:r>
        <w:separator/>
      </w:r>
    </w:p>
  </w:endnote>
  <w:endnote w:type="continuationSeparator" w:id="0">
    <w:p w:rsidR="003A70F4" w:rsidRDefault="003A70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0F4" w:rsidRDefault="003A70F4">
      <w:pPr>
        <w:spacing w:after="0"/>
      </w:pPr>
      <w:r>
        <w:separator/>
      </w:r>
    </w:p>
  </w:footnote>
  <w:footnote w:type="continuationSeparator" w:id="0">
    <w:p w:rsidR="003A70F4" w:rsidRDefault="003A70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7"/>
  </w:num>
  <w:num w:numId="2">
    <w:abstractNumId w:val="26"/>
  </w:num>
  <w:num w:numId="3">
    <w:abstractNumId w:val="14"/>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4"/>
  </w:num>
  <w:num w:numId="8">
    <w:abstractNumId w:val="6"/>
  </w:num>
  <w:num w:numId="9">
    <w:abstractNumId w:val="20"/>
  </w:num>
  <w:num w:numId="10">
    <w:abstractNumId w:val="2"/>
  </w:num>
  <w:num w:numId="11">
    <w:abstractNumId w:val="0"/>
  </w:num>
  <w:num w:numId="12">
    <w:abstractNumId w:val="11"/>
  </w:num>
  <w:num w:numId="13">
    <w:abstractNumId w:val="13"/>
  </w:num>
  <w:num w:numId="14">
    <w:abstractNumId w:val="18"/>
  </w:num>
  <w:num w:numId="15">
    <w:abstractNumId w:val="19"/>
  </w:num>
  <w:num w:numId="16">
    <w:abstractNumId w:val="14"/>
  </w:num>
  <w:num w:numId="17">
    <w:abstractNumId w:val="22"/>
  </w:num>
  <w:num w:numId="18">
    <w:abstractNumId w:val="9"/>
  </w:num>
  <w:num w:numId="19">
    <w:abstractNumId w:val="1"/>
  </w:num>
  <w:num w:numId="20">
    <w:abstractNumId w:val="25"/>
  </w:num>
  <w:num w:numId="21">
    <w:abstractNumId w:val="8"/>
  </w:num>
  <w:num w:numId="22">
    <w:abstractNumId w:val="10"/>
  </w:num>
  <w:num w:numId="23">
    <w:abstractNumId w:val="24"/>
  </w:num>
  <w:num w:numId="24">
    <w:abstractNumId w:val="27"/>
  </w:num>
  <w:num w:numId="25">
    <w:abstractNumId w:val="5"/>
  </w:num>
  <w:num w:numId="26">
    <w:abstractNumId w:val="21"/>
  </w:num>
  <w:num w:numId="27">
    <w:abstractNumId w:val="12"/>
  </w:num>
  <w:num w:numId="28">
    <w:abstractNumId w:val="23"/>
  </w:num>
  <w:num w:numId="29">
    <w:abstractNumId w:val="17"/>
  </w:num>
  <w:num w:numId="30">
    <w:abstractNumId w:val="16"/>
  </w:num>
  <w:num w:numId="3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C6519"/>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69DA"/>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A70F4"/>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D76"/>
    <w:rsid w:val="007412AE"/>
    <w:rsid w:val="0074269F"/>
    <w:rsid w:val="00747E92"/>
    <w:rsid w:val="00751E52"/>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2D3D"/>
    <w:rsid w:val="008D55C5"/>
    <w:rsid w:val="008E02C8"/>
    <w:rsid w:val="008E0E4D"/>
    <w:rsid w:val="008E1CAE"/>
    <w:rsid w:val="008E2591"/>
    <w:rsid w:val="008E446A"/>
    <w:rsid w:val="008E5C09"/>
    <w:rsid w:val="008E611B"/>
    <w:rsid w:val="008E79C6"/>
    <w:rsid w:val="008F37CA"/>
    <w:rsid w:val="008F4CD0"/>
    <w:rsid w:val="008F67CF"/>
    <w:rsid w:val="008F6FDB"/>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4B9"/>
    <w:rsid w:val="009424DF"/>
    <w:rsid w:val="009450D8"/>
    <w:rsid w:val="009524AD"/>
    <w:rsid w:val="009549C4"/>
    <w:rsid w:val="00957098"/>
    <w:rsid w:val="009660E3"/>
    <w:rsid w:val="00970502"/>
    <w:rsid w:val="009708D0"/>
    <w:rsid w:val="00970D17"/>
    <w:rsid w:val="00972D26"/>
    <w:rsid w:val="00973C4C"/>
    <w:rsid w:val="00974A3B"/>
    <w:rsid w:val="00976156"/>
    <w:rsid w:val="009814D6"/>
    <w:rsid w:val="0099102E"/>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04097"/>
    <w:rsid w:val="00A12052"/>
    <w:rsid w:val="00A1597D"/>
    <w:rsid w:val="00A22790"/>
    <w:rsid w:val="00A25160"/>
    <w:rsid w:val="00A26AB0"/>
    <w:rsid w:val="00A26C29"/>
    <w:rsid w:val="00A33A5B"/>
    <w:rsid w:val="00A34913"/>
    <w:rsid w:val="00A35F07"/>
    <w:rsid w:val="00A36D03"/>
    <w:rsid w:val="00A42E3A"/>
    <w:rsid w:val="00A43D0D"/>
    <w:rsid w:val="00A558AB"/>
    <w:rsid w:val="00A622F7"/>
    <w:rsid w:val="00A63AF5"/>
    <w:rsid w:val="00A645AF"/>
    <w:rsid w:val="00A645FB"/>
    <w:rsid w:val="00A657C7"/>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B71D9"/>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00E7"/>
    <w:rsid w:val="00B22016"/>
    <w:rsid w:val="00B23292"/>
    <w:rsid w:val="00B26D02"/>
    <w:rsid w:val="00B277D5"/>
    <w:rsid w:val="00B343A3"/>
    <w:rsid w:val="00B419DE"/>
    <w:rsid w:val="00B41E6D"/>
    <w:rsid w:val="00B450D5"/>
    <w:rsid w:val="00B46C73"/>
    <w:rsid w:val="00B51F58"/>
    <w:rsid w:val="00B54E66"/>
    <w:rsid w:val="00B55463"/>
    <w:rsid w:val="00B56E67"/>
    <w:rsid w:val="00B57381"/>
    <w:rsid w:val="00B60998"/>
    <w:rsid w:val="00B643A4"/>
    <w:rsid w:val="00B6730C"/>
    <w:rsid w:val="00B7080A"/>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B6D7D"/>
    <w:rsid w:val="00BC24F8"/>
    <w:rsid w:val="00BC3920"/>
    <w:rsid w:val="00BC47AB"/>
    <w:rsid w:val="00BD0D7C"/>
    <w:rsid w:val="00BD2AB1"/>
    <w:rsid w:val="00BD3A7F"/>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6778D"/>
    <w:rsid w:val="00C710B7"/>
    <w:rsid w:val="00C71798"/>
    <w:rsid w:val="00C73515"/>
    <w:rsid w:val="00C74442"/>
    <w:rsid w:val="00C754BC"/>
    <w:rsid w:val="00C76E52"/>
    <w:rsid w:val="00C83525"/>
    <w:rsid w:val="00C83ED9"/>
    <w:rsid w:val="00C943F5"/>
    <w:rsid w:val="00C95356"/>
    <w:rsid w:val="00CA05BE"/>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442D"/>
    <w:rsid w:val="00D34F1B"/>
    <w:rsid w:val="00D35ED3"/>
    <w:rsid w:val="00D41D2D"/>
    <w:rsid w:val="00D463A3"/>
    <w:rsid w:val="00D46D47"/>
    <w:rsid w:val="00D47C8D"/>
    <w:rsid w:val="00D51833"/>
    <w:rsid w:val="00D55894"/>
    <w:rsid w:val="00D57BE5"/>
    <w:rsid w:val="00D67ABE"/>
    <w:rsid w:val="00D73373"/>
    <w:rsid w:val="00D73F2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31284"/>
    <w:rsid w:val="00E32D68"/>
    <w:rsid w:val="00E34071"/>
    <w:rsid w:val="00E3534D"/>
    <w:rsid w:val="00E406F2"/>
    <w:rsid w:val="00E41266"/>
    <w:rsid w:val="00E415BA"/>
    <w:rsid w:val="00E42C77"/>
    <w:rsid w:val="00E470EC"/>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A180D"/>
    <w:rsid w:val="00EA2254"/>
    <w:rsid w:val="00EA49BA"/>
    <w:rsid w:val="00EA4E79"/>
    <w:rsid w:val="00EA5149"/>
    <w:rsid w:val="00EA6EC3"/>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2699"/>
    <w:rsid w:val="00F64948"/>
    <w:rsid w:val="00F66108"/>
    <w:rsid w:val="00F72D98"/>
    <w:rsid w:val="00F7352F"/>
    <w:rsid w:val="00F76B81"/>
    <w:rsid w:val="00F778F3"/>
    <w:rsid w:val="00F83F8A"/>
    <w:rsid w:val="00F863C0"/>
    <w:rsid w:val="00F87DA1"/>
    <w:rsid w:val="00F941E7"/>
    <w:rsid w:val="00F9700D"/>
    <w:rsid w:val="00FA3BFA"/>
    <w:rsid w:val="00FA4943"/>
    <w:rsid w:val="00FA4CFA"/>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6E229-3E1C-4075-9AC5-34E5B6F2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17112</TotalTime>
  <Pages>1</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392</cp:revision>
  <dcterms:created xsi:type="dcterms:W3CDTF">2019-09-18T02:52:00Z</dcterms:created>
  <dcterms:modified xsi:type="dcterms:W3CDTF">2023-09-27T08:34:00Z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(3)pentx5S9v5MZTq+Ad070FdWvF4UE075J+3nJBopMy0k+MzCMLkSjgQkhCyZN3W1X/hOXqewy
8XeihapwZ9LxWfh56yoZvktUZn+s77pVa891fH6ZHwDq8ZfuixaUhIwi+b1c8PsQub2mqedO
LiITLP8MJWP621W4WdKUauEskOXva8gz3SmFXFl521z82wnsajgcmmSBlFM4CFe1NuwhpqLX
UfLiPKtMezo0RIOywO</vt:lpwstr>
  </property>
  <property fmtid="{D5CDD505-2E9C-101B-9397-08002B2CF9AE}" pid="3" name="_2015_ms_pID_7253431">
    <vt:lpwstr>VmC9F0ujaxGvedE/SPeZZfk044uJyk5SoBRQwEG4fMifjDBFXw+4JG
fRAzroWBTO/zvzBqKs5XNoLETe8+lemCpU2Q0gJJaIDynqXmauNcqXqniRSJgC8xDAXKj/eX
sPwUJmBd5d4+7jqXRGdPDxGhgV4YouI0KscH3VCilfbalCremJCqtp+HZ33VEkYXp2RNCYhP
qxIbgZLatnPk4R9kw23FmCg181DmhaljYFJL</vt:lpwstr>
  </property>
  <property fmtid="{D5CDD505-2E9C-101B-9397-08002B2CF9AE}" pid="4" name="_2015_ms_pID_7253432">
    <vt:lpwstr>uyt9h5CeDtLkq1aVs15APA0=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