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A3F4E" w14:textId="6B4BE84B" w:rsidR="00F1433D" w:rsidRDefault="00F1433D" w:rsidP="00F1433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r w:rsidR="00F37493" w:rsidRPr="00F37493">
        <w:rPr>
          <w:b/>
          <w:noProof/>
          <w:sz w:val="24"/>
        </w:rPr>
        <w:t>R4-2309718</w:t>
      </w:r>
    </w:p>
    <w:p w14:paraId="1C8B4D1C" w14:textId="77777777" w:rsidR="00F1433D" w:rsidRDefault="00F1433D" w:rsidP="00F1433D">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p w14:paraId="2A3CAE58"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4F91F96"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143DB17C" w14:textId="22CCFD80"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994DFA">
        <w:rPr>
          <w:rFonts w:ascii="Arial" w:eastAsia="Calibri" w:hAnsi="Arial" w:cs="Arial"/>
          <w:b/>
          <w:bCs/>
          <w:sz w:val="24"/>
        </w:rPr>
        <w:t xml:space="preserve">Discussion on </w:t>
      </w:r>
      <w:r w:rsidR="00F37493">
        <w:rPr>
          <w:rFonts w:ascii="Arial" w:eastAsia="Calibri" w:hAnsi="Arial" w:cs="Arial"/>
          <w:b/>
          <w:bCs/>
          <w:sz w:val="24"/>
        </w:rPr>
        <w:t>the impact of LS R2-2304565</w:t>
      </w:r>
    </w:p>
    <w:p w14:paraId="1DCE9C6B" w14:textId="5DAE858D"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264232">
        <w:rPr>
          <w:rFonts w:ascii="Arial" w:eastAsia="MS Mincho" w:hAnsi="Arial" w:cs="Arial"/>
          <w:b/>
          <w:bCs/>
          <w:sz w:val="24"/>
          <w:szCs w:val="20"/>
        </w:rPr>
        <w:t>8</w:t>
      </w:r>
      <w:r w:rsidR="00994DFA">
        <w:rPr>
          <w:rFonts w:ascii="Arial" w:eastAsia="MS Mincho" w:hAnsi="Arial" w:cs="Arial"/>
          <w:b/>
          <w:bCs/>
          <w:sz w:val="24"/>
          <w:szCs w:val="20"/>
        </w:rPr>
        <w:t>.14.4.</w:t>
      </w:r>
      <w:r w:rsidR="00F37493">
        <w:rPr>
          <w:rFonts w:ascii="Arial" w:eastAsia="MS Mincho" w:hAnsi="Arial" w:cs="Arial"/>
          <w:b/>
          <w:bCs/>
          <w:sz w:val="24"/>
          <w:szCs w:val="20"/>
        </w:rPr>
        <w:t>1</w:t>
      </w:r>
    </w:p>
    <w:p w14:paraId="1A537B75"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FB3EF07" w14:textId="77777777" w:rsidR="00E323E9" w:rsidRPr="00EF698B" w:rsidRDefault="00E323E9" w:rsidP="00841BCD">
      <w:pPr>
        <w:tabs>
          <w:tab w:val="left" w:pos="1985"/>
        </w:tabs>
        <w:rPr>
          <w:rFonts w:ascii="Arial" w:eastAsia="Calibri" w:hAnsi="Arial" w:cs="Arial"/>
          <w:b/>
          <w:bCs/>
          <w:sz w:val="24"/>
        </w:rPr>
      </w:pPr>
    </w:p>
    <w:p w14:paraId="48168C64" w14:textId="77777777" w:rsidR="00D1779B" w:rsidRPr="00EF698B" w:rsidRDefault="00D1779B" w:rsidP="00D1779B">
      <w:pPr>
        <w:pStyle w:val="RAN4H1"/>
        <w:rPr>
          <w:lang w:val="en-US"/>
        </w:rPr>
      </w:pPr>
      <w:bookmarkStart w:id="0" w:name="_Toc116995841"/>
      <w:r w:rsidRPr="00EF698B">
        <w:rPr>
          <w:lang w:val="en-US"/>
        </w:rPr>
        <w:t>Intro</w:t>
      </w:r>
      <w:r w:rsidRPr="00EF698B">
        <w:rPr>
          <w:rStyle w:val="RAN4H1Char"/>
          <w:lang w:val="en-US"/>
        </w:rPr>
        <w:t>ductio</w:t>
      </w:r>
      <w:r w:rsidRPr="00EF698B">
        <w:rPr>
          <w:lang w:val="en-US"/>
        </w:rPr>
        <w:t>n</w:t>
      </w:r>
      <w:bookmarkEnd w:id="0"/>
    </w:p>
    <w:p w14:paraId="2414B730" w14:textId="77777777" w:rsidR="00D1779B" w:rsidRPr="000E761E" w:rsidRDefault="00D1779B" w:rsidP="00D1779B">
      <w:r>
        <w:t xml:space="preserve">In </w:t>
      </w:r>
      <w:r>
        <w:fldChar w:fldCharType="begin"/>
      </w:r>
      <w:r>
        <w:instrText xml:space="preserve"> REF _Ref131674798 \r \h </w:instrText>
      </w:r>
      <w:r>
        <w:fldChar w:fldCharType="separate"/>
      </w:r>
      <w:r>
        <w:t>[1]</w:t>
      </w:r>
      <w:r>
        <w:fldChar w:fldCharType="end"/>
      </w:r>
      <w:r>
        <w:t xml:space="preserve">, the work item for Air-to-Ground communication was approved to discuss requirements for the deployments of ATG UEs. The discussions are intended to address the characteristics of ATG networks, such as extremely large inter-site distance, and the list of objectives for RRM discussion include  </w:t>
      </w:r>
      <w:r w:rsidRPr="000E761E">
        <w:rPr>
          <w:i/>
          <w:iCs/>
        </w:rPr>
        <w:t>“</w:t>
      </w:r>
      <w:r>
        <w:rPr>
          <w:i/>
          <w:iCs/>
        </w:rPr>
        <w:t>c</w:t>
      </w:r>
      <w:r w:rsidRPr="000E761E">
        <w:rPr>
          <w:i/>
          <w:iCs/>
        </w:rPr>
        <w:t>onsidering the different nature of ATG UEs and their view of the network, increased cell sizes and other relevant aspects”</w:t>
      </w:r>
      <w:r>
        <w:rPr>
          <w:i/>
          <w:iCs/>
        </w:rPr>
        <w:t xml:space="preserve">. </w:t>
      </w:r>
      <w:r>
        <w:t xml:space="preserve">The work has been progressing in RAN4 since then, and in RAN4 #106, a Way-Forward on the topic was discussed and approved in </w:t>
      </w:r>
      <w:r>
        <w:fldChar w:fldCharType="begin"/>
      </w:r>
      <w:r>
        <w:instrText xml:space="preserve"> REF _Ref131678419 \r \h </w:instrText>
      </w:r>
      <w:r>
        <w:fldChar w:fldCharType="separate"/>
      </w:r>
      <w:r>
        <w:t>[2]</w:t>
      </w:r>
      <w:r>
        <w:fldChar w:fldCharType="end"/>
      </w:r>
      <w:r>
        <w:t xml:space="preserve">. The WF presents still some relevant open issues to be addressed in this Work Item. In this document we’ll focus our contributions on the open item regarding the location information for the serving base station and its necessity for UL timing synchronization. </w:t>
      </w:r>
    </w:p>
    <w:p w14:paraId="49C484A1" w14:textId="77777777" w:rsidR="00D1779B" w:rsidRPr="00EF698B" w:rsidRDefault="00D1779B" w:rsidP="00D1779B"/>
    <w:p w14:paraId="1320E650" w14:textId="77777777" w:rsidR="00D1779B" w:rsidRPr="00EF698B" w:rsidRDefault="00D1779B" w:rsidP="00D1779B">
      <w:pPr>
        <w:pStyle w:val="RAN4H1"/>
        <w:rPr>
          <w:lang w:val="en-US"/>
        </w:rPr>
      </w:pPr>
      <w:bookmarkStart w:id="1" w:name="_Toc116995842"/>
      <w:r w:rsidRPr="00EF698B">
        <w:rPr>
          <w:lang w:val="en-US"/>
        </w:rPr>
        <w:t>Discussion</w:t>
      </w:r>
      <w:bookmarkEnd w:id="1"/>
    </w:p>
    <w:p w14:paraId="70304C06" w14:textId="77777777" w:rsidR="00D1779B" w:rsidRDefault="00D1779B" w:rsidP="00D1779B">
      <w:r>
        <w:t xml:space="preserve">In </w:t>
      </w:r>
      <w:r>
        <w:fldChar w:fldCharType="begin"/>
      </w:r>
      <w:r>
        <w:instrText xml:space="preserve"> REF _Ref131678419 \r \h </w:instrText>
      </w:r>
      <w:r>
        <w:fldChar w:fldCharType="separate"/>
      </w:r>
      <w:r>
        <w:t>[3]</w:t>
      </w:r>
      <w:r>
        <w:fldChar w:fldCharType="end"/>
      </w:r>
      <w:r>
        <w:t xml:space="preserve">, RAN 2 has submitted a LS Reply to RAN4 indicating that they will </w:t>
      </w:r>
      <w:proofErr w:type="gramStart"/>
      <w:r>
        <w:t>provide assistance</w:t>
      </w:r>
      <w:proofErr w:type="gramEnd"/>
      <w:r>
        <w:t xml:space="preserve"> information for the BS, although it is still not decided whether this information will be provided in SIB19 or in other SIB. </w:t>
      </w:r>
    </w:p>
    <w:p w14:paraId="07E16E88" w14:textId="77777777" w:rsidR="00D1779B" w:rsidRDefault="00D1779B" w:rsidP="00D1779B">
      <w:r>
        <w:t xml:space="preserve">RAN2 has demonstrated that some companies might have raised concern in disclosing the accurate position of their transmitters: </w:t>
      </w:r>
    </w:p>
    <w:tbl>
      <w:tblPr>
        <w:tblStyle w:val="TableGrid"/>
        <w:tblW w:w="0" w:type="auto"/>
        <w:tblLook w:val="04A0" w:firstRow="1" w:lastRow="0" w:firstColumn="1" w:lastColumn="0" w:noHBand="0" w:noVBand="1"/>
      </w:tblPr>
      <w:tblGrid>
        <w:gridCol w:w="9617"/>
      </w:tblGrid>
      <w:tr w:rsidR="00D1779B" w14:paraId="2CC525B7" w14:textId="77777777" w:rsidTr="005C67D8">
        <w:tc>
          <w:tcPr>
            <w:tcW w:w="9617" w:type="dxa"/>
          </w:tcPr>
          <w:p w14:paraId="6E59FDB1" w14:textId="77777777" w:rsidR="00D1779B" w:rsidRPr="00270C77" w:rsidRDefault="00D1779B" w:rsidP="005C67D8">
            <w:pPr>
              <w:rPr>
                <w:rFonts w:ascii="Arial" w:hAnsi="Arial" w:cs="Arial"/>
                <w:i/>
                <w:iCs/>
                <w:color w:val="000000"/>
                <w:lang w:eastAsia="ko-KR"/>
              </w:rPr>
            </w:pPr>
            <w:r w:rsidRPr="00270C77">
              <w:rPr>
                <w:rFonts w:ascii="Arial" w:hAnsi="Arial" w:cs="Arial"/>
                <w:i/>
                <w:iCs/>
                <w:color w:val="000000"/>
                <w:lang w:eastAsia="ko-KR"/>
              </w:rPr>
              <w:t>RAN2 will address this and intends to find a solution for Rel-18 (via SIB19 or other SIB). Some companies in RAN2 think sharing exact base station’s location is sensitive. RAN2 kindly asks RAN4 to provide information on any required ATG ground station reference location accuracy (i.e., uncertainty in exact base station location).</w:t>
            </w:r>
          </w:p>
          <w:p w14:paraId="0D66688A" w14:textId="77777777" w:rsidR="00D1779B" w:rsidRDefault="00D1779B" w:rsidP="005C67D8"/>
        </w:tc>
      </w:tr>
    </w:tbl>
    <w:p w14:paraId="22449E12" w14:textId="77777777" w:rsidR="00D1779B" w:rsidRDefault="00D1779B" w:rsidP="00D1779B">
      <w:r>
        <w:t xml:space="preserve"> </w:t>
      </w:r>
    </w:p>
    <w:p w14:paraId="3D70E20B" w14:textId="77777777" w:rsidR="00D1779B" w:rsidRDefault="00D1779B" w:rsidP="00D1779B">
      <w:r>
        <w:t>And because of that they ask RAN4 to provide information on the accuracy of the information for the position of the ATG ground stations:</w:t>
      </w:r>
    </w:p>
    <w:tbl>
      <w:tblPr>
        <w:tblStyle w:val="TableGrid"/>
        <w:tblW w:w="0" w:type="auto"/>
        <w:tblLook w:val="04A0" w:firstRow="1" w:lastRow="0" w:firstColumn="1" w:lastColumn="0" w:noHBand="0" w:noVBand="1"/>
      </w:tblPr>
      <w:tblGrid>
        <w:gridCol w:w="9617"/>
      </w:tblGrid>
      <w:tr w:rsidR="00D1779B" w14:paraId="2AB7D073" w14:textId="77777777" w:rsidTr="005C67D8">
        <w:tc>
          <w:tcPr>
            <w:tcW w:w="9617" w:type="dxa"/>
          </w:tcPr>
          <w:p w14:paraId="2E9CA11B" w14:textId="77777777" w:rsidR="00D1779B" w:rsidRDefault="00D1779B" w:rsidP="005C67D8">
            <w:pPr>
              <w:spacing w:after="120"/>
              <w:ind w:left="1985" w:hanging="1985"/>
              <w:rPr>
                <w:rFonts w:ascii="Arial" w:hAnsi="Arial" w:cs="Arial"/>
                <w:b/>
              </w:rPr>
            </w:pPr>
            <w:r>
              <w:rPr>
                <w:rFonts w:ascii="Arial" w:hAnsi="Arial" w:cs="Arial"/>
                <w:b/>
              </w:rPr>
              <w:t>To</w:t>
            </w:r>
            <w:bookmarkStart w:id="2" w:name="_Hlk46227635"/>
            <w:r>
              <w:rPr>
                <w:rFonts w:ascii="Arial" w:hAnsi="Arial" w:cs="Arial"/>
                <w:b/>
              </w:rPr>
              <w:t xml:space="preserve"> </w:t>
            </w:r>
            <w:bookmarkEnd w:id="2"/>
            <w:r>
              <w:rPr>
                <w:rFonts w:ascii="Arial" w:hAnsi="Arial" w:cs="Arial"/>
                <w:b/>
              </w:rPr>
              <w:t>RAN4 group.</w:t>
            </w:r>
          </w:p>
          <w:p w14:paraId="49DD4BDF" w14:textId="77777777" w:rsidR="00D1779B" w:rsidRDefault="00D1779B" w:rsidP="005C67D8">
            <w:pPr>
              <w:rPr>
                <w:rFonts w:ascii="Arial" w:hAnsi="Arial" w:cs="Arial"/>
                <w:color w:val="000000"/>
                <w:lang w:val="en-US" w:eastAsia="zh-CN"/>
              </w:rPr>
            </w:pPr>
            <w:r>
              <w:rPr>
                <w:rFonts w:ascii="Arial" w:hAnsi="Arial" w:cs="Arial"/>
                <w:b/>
              </w:rPr>
              <w:t>ACTION:</w:t>
            </w:r>
            <w:r>
              <w:rPr>
                <w:rFonts w:ascii="Arial" w:hAnsi="Arial" w:cs="Arial"/>
                <w:b/>
              </w:rPr>
              <w:tab/>
            </w:r>
            <w:r>
              <w:rPr>
                <w:rFonts w:ascii="Arial" w:hAnsi="Arial" w:cs="Arial"/>
                <w:color w:val="000000"/>
              </w:rPr>
              <w:t xml:space="preserve">RAN2 kindly asks RAN4 to </w:t>
            </w:r>
            <w:r>
              <w:rPr>
                <w:rFonts w:ascii="Arial" w:hAnsi="Arial" w:cs="Arial"/>
                <w:color w:val="000000"/>
                <w:lang w:eastAsia="ko-KR"/>
              </w:rPr>
              <w:t>provide information on any required ATG ground station reference location accuracy.</w:t>
            </w:r>
          </w:p>
          <w:p w14:paraId="49B4734B" w14:textId="77777777" w:rsidR="00D1779B" w:rsidRPr="00270C77" w:rsidRDefault="00D1779B" w:rsidP="005C67D8">
            <w:pPr>
              <w:rPr>
                <w:lang w:val="en-US"/>
              </w:rPr>
            </w:pPr>
          </w:p>
        </w:tc>
      </w:tr>
    </w:tbl>
    <w:p w14:paraId="68C49B33" w14:textId="77777777" w:rsidR="00D1779B" w:rsidRDefault="00D1779B" w:rsidP="00D1779B"/>
    <w:p w14:paraId="5982E20C" w14:textId="77777777" w:rsidR="00D1779B" w:rsidRDefault="00D1779B" w:rsidP="00D1779B">
      <w:r>
        <w:t xml:space="preserve">In this paper we discuss the required accuracy on the location information of the base station and its implications for the ATG UE. </w:t>
      </w:r>
    </w:p>
    <w:p w14:paraId="0D26BD21" w14:textId="77777777" w:rsidR="00D1779B" w:rsidRDefault="00D1779B" w:rsidP="00D1779B"/>
    <w:p w14:paraId="22325B81" w14:textId="77777777" w:rsidR="00D1779B" w:rsidRDefault="00D1779B" w:rsidP="00D1779B"/>
    <w:p w14:paraId="00ED2667" w14:textId="77777777" w:rsidR="00D1779B" w:rsidRDefault="00D1779B" w:rsidP="00D1779B">
      <w:pPr>
        <w:pStyle w:val="RAN4H2"/>
      </w:pPr>
      <w:r>
        <w:lastRenderedPageBreak/>
        <w:t>Accuracy of the ATG Ground Station Location on RACH</w:t>
      </w:r>
    </w:p>
    <w:p w14:paraId="6B18FAE3" w14:textId="77777777" w:rsidR="0069781C" w:rsidRDefault="0069781C" w:rsidP="0069781C">
      <w:pPr>
        <w:rPr>
          <w:rFonts w:eastAsiaTheme="minorEastAsia"/>
        </w:rPr>
      </w:pPr>
      <w:r>
        <w:t xml:space="preserve">There are two types of preamble format in NR: long and short. When short preamble format is configured, there are different preamble types that can be adopted, each of its own duration and duration of cyclic prefix. The cyclic prefix can be as short as </w:t>
      </w:r>
      <m:oMath>
        <m:r>
          <w:rPr>
            <w:rFonts w:ascii="Cambria Math" w:hAnsi="Cambria Math"/>
          </w:rPr>
          <m:t>216k*</m:t>
        </m:r>
        <m:sSup>
          <m:sSupPr>
            <m:ctrlPr>
              <w:rPr>
                <w:rFonts w:ascii="Cambria Math" w:hAnsi="Cambria Math"/>
                <w:i/>
              </w:rPr>
            </m:ctrlPr>
          </m:sSupPr>
          <m:e>
            <m:r>
              <w:rPr>
                <w:rFonts w:ascii="Cambria Math" w:hAnsi="Cambria Math"/>
              </w:rPr>
              <m:t>2</m:t>
            </m:r>
          </m:e>
          <m:sup>
            <m:r>
              <w:rPr>
                <w:rFonts w:ascii="Cambria Math" w:hAnsi="Cambria Math"/>
              </w:rPr>
              <m:t xml:space="preserve">-μ </m:t>
            </m:r>
          </m:sup>
        </m:sSup>
      </m:oMath>
      <w:r>
        <w:rPr>
          <w:rFonts w:eastAsiaTheme="minorEastAsia"/>
        </w:rPr>
        <w:t xml:space="preserve">(format B1) or </w:t>
      </w:r>
      <w:proofErr w:type="gramStart"/>
      <w:r>
        <w:rPr>
          <w:rFonts w:eastAsiaTheme="minorEastAsia"/>
        </w:rPr>
        <w:t>as long as</w:t>
      </w:r>
      <w:proofErr w:type="gramEnd"/>
      <w:r>
        <w:rPr>
          <w:rFonts w:eastAsiaTheme="minorEastAsia"/>
        </w:rPr>
        <w:t xml:space="preserve"> </w:t>
      </w:r>
      <m:oMath>
        <m:r>
          <w:rPr>
            <w:rFonts w:ascii="Cambria Math" w:hAnsi="Cambria Math"/>
          </w:rPr>
          <m:t>2048k*</m:t>
        </m:r>
        <m:sSup>
          <m:sSupPr>
            <m:ctrlPr>
              <w:rPr>
                <w:rFonts w:ascii="Cambria Math" w:hAnsi="Cambria Math"/>
                <w:i/>
              </w:rPr>
            </m:ctrlPr>
          </m:sSupPr>
          <m:e>
            <m:r>
              <w:rPr>
                <w:rFonts w:ascii="Cambria Math" w:hAnsi="Cambria Math"/>
              </w:rPr>
              <m:t>2</m:t>
            </m:r>
          </m:e>
          <m:sup>
            <m:r>
              <w:rPr>
                <w:rFonts w:ascii="Cambria Math" w:hAnsi="Cambria Math"/>
              </w:rPr>
              <m:t xml:space="preserve">-μ </m:t>
            </m:r>
          </m:sup>
        </m:sSup>
      </m:oMath>
      <w:r>
        <w:rPr>
          <w:rFonts w:eastAsiaTheme="minorEastAsia"/>
        </w:rPr>
        <w:t xml:space="preserve">(format C1). Considering The worst case scenario (30 kHz SCS), it corresponds respectively to 3.5 </w:t>
      </w:r>
      <w:r>
        <w:rPr>
          <w:rFonts w:eastAsiaTheme="minorEastAsia" w:cs="Times New Roman"/>
        </w:rPr>
        <w:t>µ</w:t>
      </w:r>
      <w:r>
        <w:rPr>
          <w:rFonts w:eastAsiaTheme="minorEastAsia"/>
        </w:rPr>
        <w:t xml:space="preserve">s and 40 </w:t>
      </w:r>
      <w:r>
        <w:rPr>
          <w:rFonts w:eastAsiaTheme="minorEastAsia" w:cs="Times New Roman"/>
        </w:rPr>
        <w:t>µ</w:t>
      </w:r>
      <w:r>
        <w:rPr>
          <w:rFonts w:eastAsiaTheme="minorEastAsia"/>
        </w:rPr>
        <w:t xml:space="preserve">s of cyclic prefix. </w:t>
      </w:r>
    </w:p>
    <w:p w14:paraId="385DC56F" w14:textId="3F97E8CA" w:rsidR="0069781C" w:rsidRDefault="0069781C" w:rsidP="0069781C">
      <w:pPr>
        <w:rPr>
          <w:rFonts w:eastAsiaTheme="minorEastAsia"/>
        </w:rPr>
      </w:pPr>
      <w:r>
        <w:rPr>
          <w:rFonts w:eastAsiaTheme="minorEastAsia"/>
        </w:rPr>
        <w:t>As the UE is expected to perform pre-compensation before the RACH access, the delay uncertainty expected by the ATG ground station depends on a few parameters:</w:t>
      </w:r>
    </w:p>
    <w:p w14:paraId="5A0DAD01" w14:textId="26F5172B" w:rsidR="0069781C" w:rsidRDefault="0069781C" w:rsidP="0069781C">
      <w:pPr>
        <w:pStyle w:val="ListParagraph"/>
        <w:numPr>
          <w:ilvl w:val="0"/>
          <w:numId w:val="33"/>
        </w:numPr>
      </w:pPr>
      <w:r>
        <w:t>Transmit timing error</w:t>
      </w:r>
    </w:p>
    <w:p w14:paraId="59B2D8FA" w14:textId="23869647" w:rsidR="0069781C" w:rsidRDefault="0069781C" w:rsidP="0069781C">
      <w:pPr>
        <w:pStyle w:val="ListParagraph"/>
        <w:numPr>
          <w:ilvl w:val="0"/>
          <w:numId w:val="33"/>
        </w:numPr>
      </w:pPr>
      <w:r>
        <w:t>Time dispersion of the channel</w:t>
      </w:r>
    </w:p>
    <w:p w14:paraId="7D3FEA78" w14:textId="3BBA3731" w:rsidR="0069781C" w:rsidRDefault="0069781C" w:rsidP="0069781C">
      <w:pPr>
        <w:pStyle w:val="ListParagraph"/>
        <w:numPr>
          <w:ilvl w:val="0"/>
          <w:numId w:val="33"/>
        </w:numPr>
      </w:pPr>
      <w:r>
        <w:t>Dispersion of the ATG ground station position</w:t>
      </w:r>
    </w:p>
    <w:p w14:paraId="5389A4FC" w14:textId="15C92EC2" w:rsidR="0069781C" w:rsidRDefault="0069781C" w:rsidP="0069781C">
      <w:pPr>
        <w:rPr>
          <w:rFonts w:cs="Times New Roman"/>
        </w:rPr>
      </w:pPr>
      <w:r>
        <w:t xml:space="preserve">The transmit </w:t>
      </w:r>
      <w:r w:rsidR="002079F7">
        <w:t>timing error allowed in ATG deployments is expected to be equivalent to 18</w:t>
      </w:r>
      <w:r w:rsidR="002079F7">
        <w:rPr>
          <w:rFonts w:cs="Times New Roman"/>
        </w:rPr>
        <w:t xml:space="preserve">κ. </w:t>
      </w:r>
      <w:r w:rsidR="002079F7">
        <w:rPr>
          <w:rFonts w:eastAsiaTheme="minorEastAsia"/>
        </w:rPr>
        <w:t>Assuming the transmit timing error limit, T</w:t>
      </w:r>
      <w:r w:rsidR="002079F7" w:rsidRPr="00AD0128">
        <w:rPr>
          <w:rFonts w:eastAsiaTheme="minorEastAsia"/>
          <w:vertAlign w:val="subscript"/>
        </w:rPr>
        <w:t>e</w:t>
      </w:r>
      <w:r w:rsidR="002079F7">
        <w:rPr>
          <w:rFonts w:eastAsiaTheme="minorEastAsia"/>
        </w:rPr>
        <w:t xml:space="preserve"> is the absolute timing error, the receiving system must be prepared to receive one UE with transmit timing error equal to +T</w:t>
      </w:r>
      <w:r w:rsidR="002079F7" w:rsidRPr="00826AE0">
        <w:rPr>
          <w:rFonts w:eastAsiaTheme="minorEastAsia"/>
          <w:vertAlign w:val="subscript"/>
        </w:rPr>
        <w:t>e</w:t>
      </w:r>
      <w:r w:rsidR="002079F7">
        <w:rPr>
          <w:rFonts w:eastAsiaTheme="minorEastAsia"/>
        </w:rPr>
        <w:t xml:space="preserve"> and another UE with transmit timing error equal to –T</w:t>
      </w:r>
      <w:r w:rsidR="002079F7" w:rsidRPr="00826AE0">
        <w:rPr>
          <w:rFonts w:eastAsiaTheme="minorEastAsia"/>
          <w:vertAlign w:val="subscript"/>
        </w:rPr>
        <w:t>e</w:t>
      </w:r>
      <w:r w:rsidR="00157B5A">
        <w:rPr>
          <w:rFonts w:eastAsiaTheme="minorEastAsia"/>
        </w:rPr>
        <w:t>; the same goes for the dilution of precision of the ATG ground station.</w:t>
      </w:r>
      <w:r w:rsidR="002079F7">
        <w:rPr>
          <w:rFonts w:eastAsiaTheme="minorEastAsia"/>
          <w:vertAlign w:val="subscript"/>
        </w:rPr>
        <w:t xml:space="preserve"> </w:t>
      </w:r>
      <w:r w:rsidR="002079F7">
        <w:rPr>
          <w:rFonts w:cs="Times New Roman"/>
        </w:rPr>
        <w:t xml:space="preserve">On top of that we should include the time dispersion of the channel (LOS), and that there </w:t>
      </w:r>
      <w:proofErr w:type="gramStart"/>
      <w:r w:rsidR="002079F7">
        <w:rPr>
          <w:rFonts w:cs="Times New Roman"/>
        </w:rPr>
        <w:t>has to</w:t>
      </w:r>
      <w:proofErr w:type="gramEnd"/>
      <w:r w:rsidR="002079F7">
        <w:rPr>
          <w:rFonts w:cs="Times New Roman"/>
        </w:rPr>
        <w:t xml:space="preserve"> be some margin for the implementation of the receive</w:t>
      </w:r>
      <w:r w:rsidR="00157B5A">
        <w:rPr>
          <w:rFonts w:cs="Times New Roman"/>
        </w:rPr>
        <w:t>r. As such, let’s assume the combination of the transmit timing error and the dispersion of the ATG ground stations shall not go beyond 25% of the CP during RACH procedure</w:t>
      </w:r>
      <w:r w:rsidR="009F68F1">
        <w:rPr>
          <w:rFonts w:cs="Times New Roman"/>
        </w:rPr>
        <w:t xml:space="preserve"> when the smallest CP is used.  </w:t>
      </w:r>
      <w:r w:rsidR="00157B5A">
        <w:rPr>
          <w:rFonts w:cs="Times New Roman"/>
        </w:rPr>
        <w:t>In the worst case scenario (format B1), this results in a total tolerated dispersion equivalent to 36</w:t>
      </w:r>
      <w:r w:rsidR="00157B5A" w:rsidRPr="00157B5A">
        <w:rPr>
          <w:rFonts w:cs="Times New Roman"/>
        </w:rPr>
        <w:t xml:space="preserve"> </w:t>
      </w:r>
      <w:r w:rsidR="00157B5A">
        <w:rPr>
          <w:rFonts w:cs="Times New Roman"/>
        </w:rPr>
        <w:t xml:space="preserve">κ = 1.1 µs. A total dispersion of 175 meters can be accepted by the UE. </w:t>
      </w:r>
      <w:r w:rsidR="009F68F1">
        <w:rPr>
          <w:rFonts w:cs="Times New Roman"/>
        </w:rPr>
        <w:t xml:space="preserve">A similar calculation can demonstrate that for the format C1 more than 2.5 kms of dispersion in position can be tolerated. </w:t>
      </w:r>
    </w:p>
    <w:p w14:paraId="5039F387" w14:textId="3E0127CA" w:rsidR="009F68F1" w:rsidRDefault="009F68F1" w:rsidP="0069781C">
      <w:pPr>
        <w:rPr>
          <w:rFonts w:cs="Times New Roman"/>
        </w:rPr>
      </w:pPr>
      <w:r>
        <w:rPr>
          <w:rFonts w:cs="Times New Roman"/>
        </w:rPr>
        <w:t xml:space="preserve">For PRACH if 500 m of dilution of precision is utilized, then most of the short formats are still preserved. </w:t>
      </w:r>
    </w:p>
    <w:p w14:paraId="52F17B78" w14:textId="77777777" w:rsidR="009F68F1" w:rsidRDefault="009F68F1" w:rsidP="0069781C">
      <w:pPr>
        <w:rPr>
          <w:rFonts w:cs="Times New Roman"/>
        </w:rPr>
      </w:pPr>
    </w:p>
    <w:p w14:paraId="6AD91BF6" w14:textId="7DF9EEA1" w:rsidR="009F68F1" w:rsidRDefault="009F68F1" w:rsidP="009F68F1">
      <w:pPr>
        <w:pStyle w:val="RAN4H2"/>
      </w:pPr>
      <w:r>
        <w:t>Accuracy of the ATG Ground Station Location on PUSCH</w:t>
      </w:r>
    </w:p>
    <w:p w14:paraId="78448741" w14:textId="1DBE6FAC" w:rsidR="009F68F1" w:rsidRDefault="009F68F1" w:rsidP="009F68F1">
      <w:pPr>
        <w:rPr>
          <w:lang w:val="en-US"/>
        </w:rPr>
      </w:pPr>
      <w:r>
        <w:rPr>
          <w:lang w:val="en-US"/>
        </w:rPr>
        <w:t xml:space="preserve">For PUSCH the calculation is more stringent, as the Cyclic Prefix is smaller (144k). In this case, the UE will have to rely on timing advance commands and autonomous adjustments to account for errors due to the dilution of precision after RACH. </w:t>
      </w:r>
    </w:p>
    <w:p w14:paraId="2DCECACA" w14:textId="1A16698D" w:rsidR="009F68F1" w:rsidRDefault="009F68F1" w:rsidP="009F68F1">
      <w:pPr>
        <w:pStyle w:val="RAN4observation0"/>
        <w:rPr>
          <w:lang w:val="en-US"/>
        </w:rPr>
      </w:pPr>
      <w:bookmarkStart w:id="3" w:name="_Toc135090058"/>
      <w:r>
        <w:rPr>
          <w:lang w:val="en-US"/>
        </w:rPr>
        <w:t xml:space="preserve">If MAC-CE TA commands and UE autonomous adjustments are used in combination with UE pre-compensation the UE </w:t>
      </w:r>
      <w:r w:rsidR="00C470C8">
        <w:rPr>
          <w:lang w:val="en-US"/>
        </w:rPr>
        <w:t>may be capable to maintain UL synchronization</w:t>
      </w:r>
      <w:bookmarkEnd w:id="3"/>
      <w:r w:rsidR="00C470C8">
        <w:rPr>
          <w:lang w:val="en-US"/>
        </w:rPr>
        <w:t xml:space="preserve"> </w:t>
      </w:r>
    </w:p>
    <w:p w14:paraId="68DC0217" w14:textId="0296B6D3" w:rsidR="00C470C8" w:rsidRDefault="00C470C8" w:rsidP="00C470C8">
      <w:pPr>
        <w:pStyle w:val="RAN4observation0"/>
        <w:rPr>
          <w:lang w:val="en-US"/>
        </w:rPr>
      </w:pPr>
      <w:bookmarkStart w:id="4" w:name="_Toc135090059"/>
      <w:r>
        <w:rPr>
          <w:lang w:val="en-US"/>
        </w:rPr>
        <w:t>Up to 500 m of dispersion can be tolerated by the ATG UE. If long PRACH format is used the dilution of the ATG position may be even larger</w:t>
      </w:r>
      <w:bookmarkEnd w:id="4"/>
    </w:p>
    <w:p w14:paraId="5761CD1C" w14:textId="5E06A06F" w:rsidR="00C470C8" w:rsidRDefault="00C470C8" w:rsidP="00C470C8">
      <w:pPr>
        <w:rPr>
          <w:lang w:val="en-US"/>
        </w:rPr>
      </w:pPr>
    </w:p>
    <w:p w14:paraId="3F45B1E5" w14:textId="48AA09E0" w:rsidR="00C470C8" w:rsidRPr="005C69A3" w:rsidRDefault="00C470C8" w:rsidP="005C69A3">
      <w:pPr>
        <w:pStyle w:val="RAN4proposal"/>
        <w:rPr>
          <w:lang w:val="en-US"/>
        </w:rPr>
      </w:pPr>
      <w:bookmarkStart w:id="5" w:name="_Toc135090060"/>
      <w:r>
        <w:rPr>
          <w:lang w:val="en-US"/>
        </w:rPr>
        <w:t>RAN4 to discuss how much dilution of precision on the position of the ATG ground stations can be supported for both long and short PRACH formats and for operation in PUSCH.</w:t>
      </w:r>
      <w:bookmarkEnd w:id="5"/>
      <w:r w:rsidRPr="005C69A3">
        <w:rPr>
          <w:lang w:val="en-US"/>
        </w:rPr>
        <w:t xml:space="preserve"> </w:t>
      </w:r>
    </w:p>
    <w:p w14:paraId="75D4D1DA" w14:textId="502D38D3" w:rsidR="009F68F1" w:rsidRPr="009F68F1" w:rsidRDefault="009F68F1" w:rsidP="0069781C">
      <w:pPr>
        <w:rPr>
          <w:rFonts w:cs="Times New Roman"/>
          <w:lang w:val="en-US"/>
        </w:rPr>
      </w:pPr>
    </w:p>
    <w:p w14:paraId="41CA6F17" w14:textId="77777777" w:rsidR="0069781C" w:rsidRDefault="0069781C" w:rsidP="0069781C"/>
    <w:p w14:paraId="005E3F8D" w14:textId="77777777" w:rsidR="009C1E82" w:rsidRPr="009C1E82" w:rsidRDefault="009C1E82" w:rsidP="009C1E82"/>
    <w:p w14:paraId="0087DD56" w14:textId="77777777" w:rsidR="0060543D" w:rsidRDefault="0060543D" w:rsidP="0060543D"/>
    <w:p w14:paraId="7742CB7C" w14:textId="77777777" w:rsidR="0060543D" w:rsidRPr="0060543D" w:rsidRDefault="0060543D" w:rsidP="0060543D"/>
    <w:p w14:paraId="58854A6F" w14:textId="77777777" w:rsidR="00CD7492" w:rsidRPr="00EF698B" w:rsidRDefault="00CD7492" w:rsidP="00A37002">
      <w:pPr>
        <w:pStyle w:val="RAN4H1"/>
        <w:rPr>
          <w:lang w:val="en-US"/>
        </w:rPr>
      </w:pPr>
      <w:bookmarkStart w:id="6" w:name="_Toc116995848"/>
      <w:r w:rsidRPr="00EF698B">
        <w:rPr>
          <w:lang w:val="en-US"/>
        </w:rPr>
        <w:t>Conclusion</w:t>
      </w:r>
      <w:bookmarkEnd w:id="6"/>
    </w:p>
    <w:p w14:paraId="51A88973" w14:textId="01A48A21" w:rsidR="00E55751" w:rsidRPr="00592A86" w:rsidRDefault="008B0961" w:rsidP="00936159">
      <w:r>
        <w:t>In the paper,</w:t>
      </w:r>
      <w:r w:rsidR="00F16B66">
        <w:t xml:space="preserve"> we analysed some of the open issues for ATG timing requirements. T</w:t>
      </w:r>
      <w:r w:rsidR="005B4801">
        <w:t xml:space="preserve">he </w:t>
      </w:r>
      <w:r w:rsidR="005B4801" w:rsidRPr="00E55751">
        <w:t xml:space="preserve">following Observations </w:t>
      </w:r>
      <w:r w:rsidRPr="00E55751">
        <w:t>and</w:t>
      </w:r>
      <w:r w:rsidR="005B4801">
        <w:t xml:space="preserve"> Proposals were made:</w:t>
      </w:r>
    </w:p>
    <w:p w14:paraId="2E9A2635" w14:textId="77777777" w:rsidR="00D5270B" w:rsidRPr="000D0F93" w:rsidRDefault="00D5270B" w:rsidP="00936159">
      <w:pPr>
        <w:rPr>
          <w:highlight w:val="yellow"/>
        </w:rPr>
      </w:pPr>
    </w:p>
    <w:bookmarkStart w:id="7" w:name="_Toc116995849"/>
    <w:p w14:paraId="5E7B7CB7" w14:textId="77777777" w:rsidR="00F37493" w:rsidRPr="00F37493" w:rsidRDefault="009F5872">
      <w:pPr>
        <w:pStyle w:val="TOC1"/>
        <w:rPr>
          <w:rFonts w:asciiTheme="minorHAnsi" w:eastAsiaTheme="minorEastAsia" w:hAnsiTheme="minorHAnsi"/>
          <w:b/>
          <w:bCs/>
          <w:i w:val="0"/>
          <w:iCs w:val="0"/>
          <w:sz w:val="22"/>
          <w:u w:val="none"/>
          <w:lang w:eastAsia="en-GB"/>
        </w:rPr>
      </w:pPr>
      <w:r w:rsidRPr="00F37493">
        <w:rPr>
          <w:b/>
          <w:bCs/>
          <w:i w:val="0"/>
          <w:iCs w:val="0"/>
          <w:u w:val="none"/>
          <w:lang w:val="en-US"/>
        </w:rPr>
        <w:lastRenderedPageBreak/>
        <w:fldChar w:fldCharType="begin"/>
      </w:r>
      <w:r w:rsidRPr="00F37493">
        <w:rPr>
          <w:b/>
          <w:bCs/>
          <w:i w:val="0"/>
          <w:iCs w:val="0"/>
          <w:u w:val="none"/>
          <w:lang w:val="en-US"/>
        </w:rPr>
        <w:instrText xml:space="preserve"> TOC \n \p " " \t "RAN4 proposal;1;RAN4 observation;1" </w:instrText>
      </w:r>
      <w:r w:rsidRPr="00F37493">
        <w:rPr>
          <w:b/>
          <w:bCs/>
          <w:i w:val="0"/>
          <w:iCs w:val="0"/>
          <w:u w:val="none"/>
          <w:lang w:val="en-US"/>
        </w:rPr>
        <w:fldChar w:fldCharType="separate"/>
      </w:r>
      <w:r w:rsidR="00F37493" w:rsidRPr="00F37493">
        <w:rPr>
          <w:b/>
          <w:bCs/>
          <w:i w:val="0"/>
          <w:iCs w:val="0"/>
          <w:u w:val="none"/>
          <w:lang w:val="en-US"/>
        </w:rPr>
        <w:t>Observation 1: If MAC-CE TA commands and UE autonomous adjustments are used in combination with UE pre-compensation the UE may be capable to maintain UL synchronization</w:t>
      </w:r>
    </w:p>
    <w:p w14:paraId="426C7264" w14:textId="77777777" w:rsidR="00F37493" w:rsidRPr="00F37493" w:rsidRDefault="00F37493">
      <w:pPr>
        <w:pStyle w:val="TOC1"/>
        <w:rPr>
          <w:rFonts w:asciiTheme="minorHAnsi" w:eastAsiaTheme="minorEastAsia" w:hAnsiTheme="minorHAnsi"/>
          <w:b/>
          <w:bCs/>
          <w:i w:val="0"/>
          <w:iCs w:val="0"/>
          <w:sz w:val="22"/>
          <w:u w:val="none"/>
          <w:lang w:eastAsia="en-GB"/>
        </w:rPr>
      </w:pPr>
      <w:r w:rsidRPr="00F37493">
        <w:rPr>
          <w:b/>
          <w:bCs/>
          <w:i w:val="0"/>
          <w:iCs w:val="0"/>
          <w:u w:val="none"/>
          <w:lang w:val="en-US"/>
        </w:rPr>
        <w:t>Observation 2: Up to 500 m of dispersion can be tolerated by the ATG UE. If long PRACH format is used the dilution of the ATG position may be even larger</w:t>
      </w:r>
    </w:p>
    <w:p w14:paraId="556D2E1C" w14:textId="77777777" w:rsidR="00F37493" w:rsidRPr="00F37493" w:rsidRDefault="00F37493">
      <w:pPr>
        <w:pStyle w:val="TOC1"/>
        <w:rPr>
          <w:rFonts w:asciiTheme="minorHAnsi" w:eastAsiaTheme="minorEastAsia" w:hAnsiTheme="minorHAnsi"/>
          <w:b/>
          <w:bCs/>
          <w:i w:val="0"/>
          <w:iCs w:val="0"/>
          <w:sz w:val="22"/>
          <w:u w:val="none"/>
          <w:lang w:eastAsia="en-GB"/>
        </w:rPr>
      </w:pPr>
      <w:r w:rsidRPr="00F37493">
        <w:rPr>
          <w:b/>
          <w:bCs/>
          <w:i w:val="0"/>
          <w:iCs w:val="0"/>
          <w:u w:val="none"/>
          <w:lang w:val="en-US"/>
        </w:rPr>
        <w:t>Proposal 1: RAN4 to discuss how much dilution of precision on the position of the ATG ground stations can be supported for both long and short PRACH formats and for operation in PUSCH.</w:t>
      </w:r>
    </w:p>
    <w:p w14:paraId="163FF8D0" w14:textId="588EC276" w:rsidR="003B659E" w:rsidRPr="0060543D" w:rsidRDefault="009F5872" w:rsidP="0060543D">
      <w:pPr>
        <w:pStyle w:val="RAN4H1"/>
        <w:numPr>
          <w:ilvl w:val="0"/>
          <w:numId w:val="0"/>
        </w:numPr>
        <w:ind w:left="360" w:hanging="360"/>
      </w:pPr>
      <w:r w:rsidRPr="00F37493">
        <w:rPr>
          <w:rFonts w:ascii="Times New Roman" w:eastAsiaTheme="minorHAnsi" w:hAnsi="Times New Roman" w:cstheme="minorBidi"/>
          <w:b/>
          <w:bCs/>
          <w:noProof/>
          <w:sz w:val="20"/>
          <w:szCs w:val="22"/>
          <w:lang w:val="en-US"/>
        </w:rPr>
        <w:fldChar w:fldCharType="end"/>
      </w:r>
      <w:r w:rsidR="003B659E" w:rsidRPr="00EF698B">
        <w:t>References</w:t>
      </w:r>
      <w:bookmarkEnd w:id="7"/>
    </w:p>
    <w:p w14:paraId="2F38FBC3" w14:textId="14C1A23C" w:rsidR="00687FA0" w:rsidRPr="003C4FDE" w:rsidRDefault="00935232" w:rsidP="00D66188">
      <w:pPr>
        <w:pStyle w:val="ListParagraph"/>
        <w:numPr>
          <w:ilvl w:val="0"/>
          <w:numId w:val="21"/>
        </w:numPr>
        <w:ind w:right="-22"/>
      </w:pPr>
      <w:bookmarkStart w:id="8" w:name="_Ref114500673"/>
      <w:bookmarkStart w:id="9" w:name="_Ref131674798"/>
      <w:bookmarkEnd w:id="8"/>
      <w:r w:rsidRPr="00935232">
        <w:t>RP-220962</w:t>
      </w:r>
      <w:r w:rsidR="00D40288" w:rsidRPr="003C4FDE">
        <w:t>,</w:t>
      </w:r>
      <w:r w:rsidR="000040DC" w:rsidRPr="003C4FDE">
        <w:t xml:space="preserve"> </w:t>
      </w:r>
      <w:r>
        <w:t>“</w:t>
      </w:r>
      <w:r w:rsidRPr="00935232">
        <w:rPr>
          <w:i/>
          <w:iCs/>
        </w:rPr>
        <w:t>New WID: Air-to-ground network for NR</w:t>
      </w:r>
      <w:r>
        <w:rPr>
          <w:i/>
          <w:iCs/>
        </w:rPr>
        <w:t>”</w:t>
      </w:r>
      <w:r w:rsidR="000040DC" w:rsidRPr="003C4FDE">
        <w:t xml:space="preserve">, </w:t>
      </w:r>
      <w:r w:rsidRPr="00935232">
        <w:t>CMCC</w:t>
      </w:r>
      <w:r w:rsidR="00B408B6" w:rsidRPr="003C4FDE">
        <w:t xml:space="preserve">, </w:t>
      </w:r>
      <w:r w:rsidR="00D40288" w:rsidRPr="003C4FDE">
        <w:t>RAN #</w:t>
      </w:r>
      <w:r>
        <w:t>95-e</w:t>
      </w:r>
      <w:r w:rsidR="00D40288" w:rsidRPr="003C4FDE">
        <w:t xml:space="preserve">, </w:t>
      </w:r>
      <w:r>
        <w:t>March 17 – March 23</w:t>
      </w:r>
      <w:r w:rsidR="00D40288" w:rsidRPr="003C4FDE">
        <w:t>, 2022</w:t>
      </w:r>
      <w:r w:rsidR="000040DC" w:rsidRPr="003C4FDE">
        <w:t>.</w:t>
      </w:r>
      <w:bookmarkEnd w:id="9"/>
      <w:r w:rsidR="000040DC" w:rsidRPr="003C4FDE">
        <w:t xml:space="preserve"> </w:t>
      </w:r>
    </w:p>
    <w:p w14:paraId="1DBAF4D7" w14:textId="35033A74" w:rsidR="000040DC" w:rsidRPr="00893330" w:rsidRDefault="00F1433D" w:rsidP="000040DC">
      <w:pPr>
        <w:pStyle w:val="ListParagraph"/>
        <w:numPr>
          <w:ilvl w:val="0"/>
          <w:numId w:val="21"/>
        </w:numPr>
        <w:ind w:right="-22"/>
      </w:pPr>
      <w:bookmarkStart w:id="10" w:name="_Ref131678419"/>
      <w:r w:rsidRPr="00F1433D">
        <w:t>R4-2306344</w:t>
      </w:r>
      <w:r w:rsidR="008D142A" w:rsidRPr="003C4FDE">
        <w:t xml:space="preserve">, </w:t>
      </w:r>
      <w:r w:rsidR="008D142A">
        <w:t>“</w:t>
      </w:r>
      <w:r w:rsidR="008D142A" w:rsidRPr="008D142A">
        <w:rPr>
          <w:i/>
          <w:iCs/>
        </w:rPr>
        <w:t>WF on NR ATG RRM requirements</w:t>
      </w:r>
      <w:r w:rsidR="008D142A">
        <w:rPr>
          <w:i/>
          <w:iCs/>
        </w:rPr>
        <w:t>”</w:t>
      </w:r>
      <w:r w:rsidR="008D142A" w:rsidRPr="003C4FDE">
        <w:t xml:space="preserve">, </w:t>
      </w:r>
      <w:r w:rsidR="008D142A" w:rsidRPr="00935232">
        <w:t>CMCC</w:t>
      </w:r>
      <w:r w:rsidR="008D142A" w:rsidRPr="003C4FDE">
        <w:t>, RAN</w:t>
      </w:r>
      <w:r w:rsidR="008D142A">
        <w:t>4</w:t>
      </w:r>
      <w:r w:rsidR="008D142A" w:rsidRPr="003C4FDE">
        <w:t xml:space="preserve"> #</w:t>
      </w:r>
      <w:r w:rsidR="008D142A">
        <w:t>106</w:t>
      </w:r>
      <w:r w:rsidR="008D142A" w:rsidRPr="003C4FDE">
        <w:t xml:space="preserve">, </w:t>
      </w:r>
      <w:r w:rsidR="008D142A">
        <w:t>Feb 27 – March 03</w:t>
      </w:r>
      <w:r w:rsidR="008D142A" w:rsidRPr="003C4FDE">
        <w:t>, 202</w:t>
      </w:r>
      <w:r w:rsidR="008D142A">
        <w:t>3, Athens, Greece</w:t>
      </w:r>
      <w:bookmarkEnd w:id="10"/>
      <w:r w:rsidR="008D142A" w:rsidRPr="003C4FDE">
        <w:t xml:space="preserve"> </w:t>
      </w:r>
    </w:p>
    <w:p w14:paraId="284F9B92" w14:textId="77777777" w:rsidR="0060543D" w:rsidRDefault="0060543D" w:rsidP="000040DC">
      <w:pPr>
        <w:ind w:right="-22"/>
        <w:rPr>
          <w:highlight w:val="yellow"/>
        </w:rPr>
      </w:pPr>
    </w:p>
    <w:sectPr w:rsid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59E49" w14:textId="77777777" w:rsidR="00AF3A4C" w:rsidRDefault="00AF3A4C" w:rsidP="00001C9B">
      <w:pPr>
        <w:spacing w:after="0" w:line="240" w:lineRule="auto"/>
      </w:pPr>
      <w:r>
        <w:separator/>
      </w:r>
    </w:p>
  </w:endnote>
  <w:endnote w:type="continuationSeparator" w:id="0">
    <w:p w14:paraId="47FAB73C" w14:textId="77777777" w:rsidR="00AF3A4C" w:rsidRDefault="00AF3A4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97DA3" w14:textId="77777777" w:rsidR="00AF3A4C" w:rsidRDefault="00AF3A4C" w:rsidP="00001C9B">
      <w:pPr>
        <w:spacing w:after="0" w:line="240" w:lineRule="auto"/>
      </w:pPr>
      <w:r>
        <w:separator/>
      </w:r>
    </w:p>
  </w:footnote>
  <w:footnote w:type="continuationSeparator" w:id="0">
    <w:p w14:paraId="56CF436C" w14:textId="77777777" w:rsidR="00AF3A4C" w:rsidRDefault="00AF3A4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9A4127"/>
    <w:multiLevelType w:val="hybridMultilevel"/>
    <w:tmpl w:val="C8785362"/>
    <w:lvl w:ilvl="0" w:tplc="98A2EFF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FE558BC"/>
    <w:multiLevelType w:val="hybridMultilevel"/>
    <w:tmpl w:val="AC049BA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E2859"/>
    <w:multiLevelType w:val="hybridMultilevel"/>
    <w:tmpl w:val="156C2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5D9A6A1E"/>
    <w:lvl w:ilvl="0" w:tplc="630298E6">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EF03D0F"/>
    <w:multiLevelType w:val="hybridMultilevel"/>
    <w:tmpl w:val="690ED3F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8" w15:restartNumberingAfterBreak="0">
    <w:nsid w:val="703C7ED3"/>
    <w:multiLevelType w:val="hybridMultilevel"/>
    <w:tmpl w:val="8D1A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2"/>
  </w:num>
  <w:num w:numId="4" w16cid:durableId="517735681">
    <w:abstractNumId w:val="6"/>
  </w:num>
  <w:num w:numId="5" w16cid:durableId="1142041724">
    <w:abstractNumId w:val="16"/>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9"/>
  </w:num>
  <w:num w:numId="16" w16cid:durableId="516113510">
    <w:abstractNumId w:val="4"/>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4"/>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60541467">
    <w:abstractNumId w:val="3"/>
  </w:num>
  <w:num w:numId="28" w16cid:durableId="1941139119">
    <w:abstractNumId w:val="13"/>
  </w:num>
  <w:num w:numId="29" w16cid:durableId="1080445979">
    <w:abstractNumId w:val="13"/>
  </w:num>
  <w:num w:numId="30" w16cid:durableId="405566104">
    <w:abstractNumId w:val="17"/>
  </w:num>
  <w:num w:numId="31" w16cid:durableId="962614232">
    <w:abstractNumId w:val="5"/>
  </w:num>
  <w:num w:numId="32" w16cid:durableId="856232470">
    <w:abstractNumId w:val="8"/>
  </w:num>
  <w:num w:numId="33" w16cid:durableId="19866631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94DFA"/>
    <w:rsid w:val="00001C9B"/>
    <w:rsid w:val="000040DC"/>
    <w:rsid w:val="000108B1"/>
    <w:rsid w:val="000151EF"/>
    <w:rsid w:val="000239F5"/>
    <w:rsid w:val="000322BE"/>
    <w:rsid w:val="0004155B"/>
    <w:rsid w:val="0008612A"/>
    <w:rsid w:val="00090E18"/>
    <w:rsid w:val="000A10BC"/>
    <w:rsid w:val="000B0056"/>
    <w:rsid w:val="000B3DC4"/>
    <w:rsid w:val="000C3C7B"/>
    <w:rsid w:val="000D0F93"/>
    <w:rsid w:val="000E761E"/>
    <w:rsid w:val="00106416"/>
    <w:rsid w:val="00110481"/>
    <w:rsid w:val="001127C9"/>
    <w:rsid w:val="001138D5"/>
    <w:rsid w:val="00115B88"/>
    <w:rsid w:val="00132F6A"/>
    <w:rsid w:val="00133913"/>
    <w:rsid w:val="00140221"/>
    <w:rsid w:val="00147E19"/>
    <w:rsid w:val="00150A36"/>
    <w:rsid w:val="00157B5A"/>
    <w:rsid w:val="001642FC"/>
    <w:rsid w:val="0016496B"/>
    <w:rsid w:val="001743E2"/>
    <w:rsid w:val="001745F8"/>
    <w:rsid w:val="001838CF"/>
    <w:rsid w:val="001868EE"/>
    <w:rsid w:val="001A3BA4"/>
    <w:rsid w:val="001A6D1F"/>
    <w:rsid w:val="001C4428"/>
    <w:rsid w:val="001D415C"/>
    <w:rsid w:val="001E30F6"/>
    <w:rsid w:val="001E7E8C"/>
    <w:rsid w:val="002079F7"/>
    <w:rsid w:val="00213769"/>
    <w:rsid w:val="00217EE5"/>
    <w:rsid w:val="00235F5C"/>
    <w:rsid w:val="00257FA3"/>
    <w:rsid w:val="00264232"/>
    <w:rsid w:val="00277B56"/>
    <w:rsid w:val="002A19F5"/>
    <w:rsid w:val="002A729B"/>
    <w:rsid w:val="002B4922"/>
    <w:rsid w:val="002C22C3"/>
    <w:rsid w:val="002C2D19"/>
    <w:rsid w:val="002D10FA"/>
    <w:rsid w:val="002D4C55"/>
    <w:rsid w:val="002D5E8E"/>
    <w:rsid w:val="002E6DED"/>
    <w:rsid w:val="00300956"/>
    <w:rsid w:val="00301613"/>
    <w:rsid w:val="00317187"/>
    <w:rsid w:val="0032499A"/>
    <w:rsid w:val="003341F7"/>
    <w:rsid w:val="003464BC"/>
    <w:rsid w:val="00347FEC"/>
    <w:rsid w:val="00356F45"/>
    <w:rsid w:val="00366B74"/>
    <w:rsid w:val="003672FB"/>
    <w:rsid w:val="00380E07"/>
    <w:rsid w:val="003A710A"/>
    <w:rsid w:val="003B659E"/>
    <w:rsid w:val="003C275E"/>
    <w:rsid w:val="003C4FDE"/>
    <w:rsid w:val="003E58DF"/>
    <w:rsid w:val="003F0922"/>
    <w:rsid w:val="00404C4C"/>
    <w:rsid w:val="0041423F"/>
    <w:rsid w:val="00414F81"/>
    <w:rsid w:val="00436A0F"/>
    <w:rsid w:val="00437150"/>
    <w:rsid w:val="0043750A"/>
    <w:rsid w:val="00452A97"/>
    <w:rsid w:val="00452BA7"/>
    <w:rsid w:val="00463761"/>
    <w:rsid w:val="004732E9"/>
    <w:rsid w:val="004803D9"/>
    <w:rsid w:val="004854BB"/>
    <w:rsid w:val="00494493"/>
    <w:rsid w:val="00496606"/>
    <w:rsid w:val="004B71C6"/>
    <w:rsid w:val="004E5E66"/>
    <w:rsid w:val="004E7ADB"/>
    <w:rsid w:val="00503B4D"/>
    <w:rsid w:val="00504EE9"/>
    <w:rsid w:val="00510CBF"/>
    <w:rsid w:val="0051103F"/>
    <w:rsid w:val="00521576"/>
    <w:rsid w:val="005250E6"/>
    <w:rsid w:val="00542D23"/>
    <w:rsid w:val="0054442C"/>
    <w:rsid w:val="00550285"/>
    <w:rsid w:val="00562492"/>
    <w:rsid w:val="00572A20"/>
    <w:rsid w:val="00573EF7"/>
    <w:rsid w:val="005836F8"/>
    <w:rsid w:val="005918FA"/>
    <w:rsid w:val="00592A86"/>
    <w:rsid w:val="00592D37"/>
    <w:rsid w:val="005A3045"/>
    <w:rsid w:val="005A6AF6"/>
    <w:rsid w:val="005B03C5"/>
    <w:rsid w:val="005B4801"/>
    <w:rsid w:val="005C23A4"/>
    <w:rsid w:val="005C69A3"/>
    <w:rsid w:val="005D1CDF"/>
    <w:rsid w:val="005D2BB7"/>
    <w:rsid w:val="005E61A8"/>
    <w:rsid w:val="005F6419"/>
    <w:rsid w:val="0060543D"/>
    <w:rsid w:val="006104DD"/>
    <w:rsid w:val="006130B5"/>
    <w:rsid w:val="00617400"/>
    <w:rsid w:val="00632D29"/>
    <w:rsid w:val="00664950"/>
    <w:rsid w:val="00683220"/>
    <w:rsid w:val="006838BC"/>
    <w:rsid w:val="00687FA0"/>
    <w:rsid w:val="0069781C"/>
    <w:rsid w:val="006A3C11"/>
    <w:rsid w:val="006B7010"/>
    <w:rsid w:val="006C03AD"/>
    <w:rsid w:val="006C3095"/>
    <w:rsid w:val="006C7F38"/>
    <w:rsid w:val="006E1151"/>
    <w:rsid w:val="006E2BC3"/>
    <w:rsid w:val="006E6311"/>
    <w:rsid w:val="007145FF"/>
    <w:rsid w:val="00715B2A"/>
    <w:rsid w:val="00734C65"/>
    <w:rsid w:val="007450F1"/>
    <w:rsid w:val="00751515"/>
    <w:rsid w:val="007626B7"/>
    <w:rsid w:val="0078212B"/>
    <w:rsid w:val="00784DF6"/>
    <w:rsid w:val="00785232"/>
    <w:rsid w:val="007B186C"/>
    <w:rsid w:val="007B58D8"/>
    <w:rsid w:val="007B63C0"/>
    <w:rsid w:val="007C1696"/>
    <w:rsid w:val="007C3ED0"/>
    <w:rsid w:val="007C5971"/>
    <w:rsid w:val="007F54B9"/>
    <w:rsid w:val="00805724"/>
    <w:rsid w:val="00806A76"/>
    <w:rsid w:val="00811C9D"/>
    <w:rsid w:val="00816C80"/>
    <w:rsid w:val="00824F20"/>
    <w:rsid w:val="00841BCD"/>
    <w:rsid w:val="008509EC"/>
    <w:rsid w:val="00851A8E"/>
    <w:rsid w:val="0085365B"/>
    <w:rsid w:val="00873C03"/>
    <w:rsid w:val="008826C1"/>
    <w:rsid w:val="00883DFD"/>
    <w:rsid w:val="00893330"/>
    <w:rsid w:val="008A1BF7"/>
    <w:rsid w:val="008A5B0E"/>
    <w:rsid w:val="008B0961"/>
    <w:rsid w:val="008D142A"/>
    <w:rsid w:val="0090091A"/>
    <w:rsid w:val="009042BD"/>
    <w:rsid w:val="00904FE4"/>
    <w:rsid w:val="00935232"/>
    <w:rsid w:val="00936159"/>
    <w:rsid w:val="00937203"/>
    <w:rsid w:val="00942664"/>
    <w:rsid w:val="00944279"/>
    <w:rsid w:val="009445D3"/>
    <w:rsid w:val="00977E1D"/>
    <w:rsid w:val="00985468"/>
    <w:rsid w:val="00994DFA"/>
    <w:rsid w:val="009B0573"/>
    <w:rsid w:val="009B7B4B"/>
    <w:rsid w:val="009B7C21"/>
    <w:rsid w:val="009C1E82"/>
    <w:rsid w:val="009D708F"/>
    <w:rsid w:val="009E17E9"/>
    <w:rsid w:val="009F5872"/>
    <w:rsid w:val="009F68F1"/>
    <w:rsid w:val="00A04992"/>
    <w:rsid w:val="00A1381C"/>
    <w:rsid w:val="00A147AA"/>
    <w:rsid w:val="00A201B7"/>
    <w:rsid w:val="00A21D71"/>
    <w:rsid w:val="00A22B78"/>
    <w:rsid w:val="00A25AE5"/>
    <w:rsid w:val="00A37002"/>
    <w:rsid w:val="00A4355E"/>
    <w:rsid w:val="00A672A8"/>
    <w:rsid w:val="00A67D2F"/>
    <w:rsid w:val="00A92BCD"/>
    <w:rsid w:val="00AA1B0E"/>
    <w:rsid w:val="00AA47B6"/>
    <w:rsid w:val="00AC163B"/>
    <w:rsid w:val="00AC5CA7"/>
    <w:rsid w:val="00AC6058"/>
    <w:rsid w:val="00AE2BA5"/>
    <w:rsid w:val="00AE56B1"/>
    <w:rsid w:val="00AE5AEF"/>
    <w:rsid w:val="00AE6D09"/>
    <w:rsid w:val="00AF3A4C"/>
    <w:rsid w:val="00AF7A7C"/>
    <w:rsid w:val="00B12F4E"/>
    <w:rsid w:val="00B15AF0"/>
    <w:rsid w:val="00B258E5"/>
    <w:rsid w:val="00B274AF"/>
    <w:rsid w:val="00B3094F"/>
    <w:rsid w:val="00B408B6"/>
    <w:rsid w:val="00B542DA"/>
    <w:rsid w:val="00B73862"/>
    <w:rsid w:val="00B73F43"/>
    <w:rsid w:val="00B9791E"/>
    <w:rsid w:val="00BA3B96"/>
    <w:rsid w:val="00BA6B66"/>
    <w:rsid w:val="00BA6E48"/>
    <w:rsid w:val="00BE0AF6"/>
    <w:rsid w:val="00BE1F03"/>
    <w:rsid w:val="00BE58A7"/>
    <w:rsid w:val="00BF0176"/>
    <w:rsid w:val="00BF2218"/>
    <w:rsid w:val="00BF2692"/>
    <w:rsid w:val="00C0426B"/>
    <w:rsid w:val="00C045DF"/>
    <w:rsid w:val="00C26D43"/>
    <w:rsid w:val="00C27254"/>
    <w:rsid w:val="00C46548"/>
    <w:rsid w:val="00C470C8"/>
    <w:rsid w:val="00C574D5"/>
    <w:rsid w:val="00C62061"/>
    <w:rsid w:val="00C7029C"/>
    <w:rsid w:val="00C73F32"/>
    <w:rsid w:val="00C84910"/>
    <w:rsid w:val="00C87462"/>
    <w:rsid w:val="00CA180C"/>
    <w:rsid w:val="00CA64B0"/>
    <w:rsid w:val="00CB22B2"/>
    <w:rsid w:val="00CC3EE2"/>
    <w:rsid w:val="00CD7492"/>
    <w:rsid w:val="00CE3A6B"/>
    <w:rsid w:val="00CF3BE2"/>
    <w:rsid w:val="00D00211"/>
    <w:rsid w:val="00D06309"/>
    <w:rsid w:val="00D13868"/>
    <w:rsid w:val="00D1779B"/>
    <w:rsid w:val="00D32D67"/>
    <w:rsid w:val="00D351EA"/>
    <w:rsid w:val="00D40288"/>
    <w:rsid w:val="00D43403"/>
    <w:rsid w:val="00D5270B"/>
    <w:rsid w:val="00D62E71"/>
    <w:rsid w:val="00D6430D"/>
    <w:rsid w:val="00D66188"/>
    <w:rsid w:val="00D67934"/>
    <w:rsid w:val="00D731F6"/>
    <w:rsid w:val="00D740CA"/>
    <w:rsid w:val="00D85728"/>
    <w:rsid w:val="00D935DE"/>
    <w:rsid w:val="00D95481"/>
    <w:rsid w:val="00DA4976"/>
    <w:rsid w:val="00DC0F25"/>
    <w:rsid w:val="00DC581A"/>
    <w:rsid w:val="00DC7A13"/>
    <w:rsid w:val="00DF2997"/>
    <w:rsid w:val="00E10BC4"/>
    <w:rsid w:val="00E1415D"/>
    <w:rsid w:val="00E271B8"/>
    <w:rsid w:val="00E323E9"/>
    <w:rsid w:val="00E34018"/>
    <w:rsid w:val="00E437D2"/>
    <w:rsid w:val="00E55751"/>
    <w:rsid w:val="00E624B2"/>
    <w:rsid w:val="00E90497"/>
    <w:rsid w:val="00EA2311"/>
    <w:rsid w:val="00EC7BC3"/>
    <w:rsid w:val="00ED7600"/>
    <w:rsid w:val="00EF6073"/>
    <w:rsid w:val="00EF698B"/>
    <w:rsid w:val="00F1362C"/>
    <w:rsid w:val="00F1433D"/>
    <w:rsid w:val="00F16B66"/>
    <w:rsid w:val="00F232E4"/>
    <w:rsid w:val="00F37493"/>
    <w:rsid w:val="00F414F1"/>
    <w:rsid w:val="00F508B8"/>
    <w:rsid w:val="00F72CB1"/>
    <w:rsid w:val="00F73F4C"/>
    <w:rsid w:val="00F8215E"/>
    <w:rsid w:val="00F824F5"/>
    <w:rsid w:val="00F90FAB"/>
    <w:rsid w:val="00F9374D"/>
    <w:rsid w:val="00FC29B9"/>
    <w:rsid w:val="00FC6FD3"/>
    <w:rsid w:val="00FD403A"/>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F4E06"/>
  <w15:chartTrackingRefBased/>
  <w15:docId w15:val="{B081E89B-3CA9-491E-8001-68E37D564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R4_bullets,列表段落1,—ño’i—Ž,¥¡¡¡¡ì¬º¥¹¥È¶ÎÂä,ÁÐ³ö¶ÎÂä,¥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TALCar">
    <w:name w:val="TAL Car"/>
    <w:link w:val="TAL"/>
    <w:qFormat/>
    <w:locked/>
    <w:rsid w:val="00C84910"/>
    <w:rPr>
      <w:rFonts w:ascii="Arial" w:eastAsia="Times New Roman" w:hAnsi="Arial" w:cs="Arial"/>
      <w:sz w:val="18"/>
    </w:rPr>
  </w:style>
  <w:style w:type="paragraph" w:customStyle="1" w:styleId="TAL">
    <w:name w:val="TAL"/>
    <w:basedOn w:val="Normal"/>
    <w:link w:val="TALCar"/>
    <w:qFormat/>
    <w:rsid w:val="00C84910"/>
    <w:pPr>
      <w:keepNext/>
      <w:keepLines/>
      <w:overflowPunct w:val="0"/>
      <w:autoSpaceDE w:val="0"/>
      <w:autoSpaceDN w:val="0"/>
      <w:adjustRightInd w:val="0"/>
      <w:spacing w:after="0" w:line="240" w:lineRule="auto"/>
    </w:pPr>
    <w:rPr>
      <w:rFonts w:ascii="Arial" w:eastAsia="Times New Roman" w:hAnsi="Arial" w:cs="Arial"/>
      <w:sz w:val="18"/>
      <w:lang w:val="en-US"/>
    </w:rPr>
  </w:style>
  <w:style w:type="paragraph" w:customStyle="1" w:styleId="CRCoverPage">
    <w:name w:val="CR Cover Page"/>
    <w:rsid w:val="00F1433D"/>
    <w:pPr>
      <w:spacing w:after="120" w:line="240" w:lineRule="auto"/>
    </w:pPr>
    <w:rPr>
      <w:rFonts w:ascii="Arial" w:eastAsia="Times New Roman" w:hAnsi="Arial" w:cs="Times New Roman"/>
      <w:sz w:val="20"/>
      <w:szCs w:val="20"/>
      <w:lang w:val="en-GB"/>
    </w:rPr>
  </w:style>
  <w:style w:type="paragraph" w:customStyle="1" w:styleId="TAH">
    <w:name w:val="TAH"/>
    <w:basedOn w:val="TAC"/>
    <w:link w:val="TAHCar"/>
    <w:rsid w:val="009C1E82"/>
    <w:rPr>
      <w:b/>
    </w:rPr>
  </w:style>
  <w:style w:type="paragraph" w:customStyle="1" w:styleId="TAC">
    <w:name w:val="TAC"/>
    <w:basedOn w:val="Normal"/>
    <w:link w:val="TACChar"/>
    <w:rsid w:val="009C1E82"/>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9C1E82"/>
    <w:rPr>
      <w:rFonts w:ascii="Arial" w:eastAsia="Times New Roman" w:hAnsi="Arial" w:cs="Times New Roman"/>
      <w:sz w:val="18"/>
      <w:szCs w:val="20"/>
      <w:lang w:val="en-GB" w:eastAsia="en-GB"/>
    </w:rPr>
  </w:style>
  <w:style w:type="character" w:customStyle="1" w:styleId="TAHCar">
    <w:name w:val="TAH Car"/>
    <w:link w:val="TAH"/>
    <w:qFormat/>
    <w:rsid w:val="009C1E82"/>
    <w:rPr>
      <w:rFonts w:ascii="Arial" w:eastAsia="Times New Roman" w:hAnsi="Arial" w:cs="Times New Roman"/>
      <w:b/>
      <w:sz w:val="18"/>
      <w:szCs w:val="20"/>
      <w:lang w:val="en-GB" w:eastAsia="en-GB"/>
    </w:rPr>
  </w:style>
  <w:style w:type="paragraph" w:customStyle="1" w:styleId="TH">
    <w:name w:val="TH"/>
    <w:basedOn w:val="Normal"/>
    <w:link w:val="THChar"/>
    <w:rsid w:val="009C1E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9C1E82"/>
    <w:rPr>
      <w:rFonts w:ascii="Arial" w:eastAsia="Times New Roman" w:hAnsi="Arial" w:cs="Times New Roman"/>
      <w:b/>
      <w:sz w:val="20"/>
      <w:szCs w:val="20"/>
      <w:lang w:val="en-GB" w:eastAsia="en-GB"/>
    </w:rPr>
  </w:style>
  <w:style w:type="paragraph" w:customStyle="1" w:styleId="TAN">
    <w:name w:val="TAN"/>
    <w:basedOn w:val="Normal"/>
    <w:link w:val="TANChar"/>
    <w:rsid w:val="009C1E82"/>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9C1E82"/>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18584">
      <w:bodyDiv w:val="1"/>
      <w:marLeft w:val="0"/>
      <w:marRight w:val="0"/>
      <w:marTop w:val="0"/>
      <w:marBottom w:val="0"/>
      <w:divBdr>
        <w:top w:val="none" w:sz="0" w:space="0" w:color="auto"/>
        <w:left w:val="none" w:sz="0" w:space="0" w:color="auto"/>
        <w:bottom w:val="none" w:sz="0" w:space="0" w:color="auto"/>
        <w:right w:val="none" w:sz="0" w:space="0" w:color="auto"/>
      </w:divBdr>
    </w:div>
    <w:div w:id="1327442387">
      <w:bodyDiv w:val="1"/>
      <w:marLeft w:val="0"/>
      <w:marRight w:val="0"/>
      <w:marTop w:val="0"/>
      <w:marBottom w:val="0"/>
      <w:divBdr>
        <w:top w:val="none" w:sz="0" w:space="0" w:color="auto"/>
        <w:left w:val="none" w:sz="0" w:space="0" w:color="auto"/>
        <w:bottom w:val="none" w:sz="0" w:space="0" w:color="auto"/>
        <w:right w:val="none" w:sz="0" w:space="0" w:color="auto"/>
      </w:divBdr>
    </w:div>
    <w:div w:id="1631595236">
      <w:bodyDiv w:val="1"/>
      <w:marLeft w:val="0"/>
      <w:marRight w:val="0"/>
      <w:marTop w:val="0"/>
      <w:marBottom w:val="0"/>
      <w:divBdr>
        <w:top w:val="none" w:sz="0" w:space="0" w:color="auto"/>
        <w:left w:val="none" w:sz="0" w:space="0" w:color="auto"/>
        <w:bottom w:val="none" w:sz="0" w:space="0" w:color="auto"/>
        <w:right w:val="none" w:sz="0" w:space="0" w:color="auto"/>
      </w:divBdr>
    </w:div>
    <w:div w:id="2023702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5G%20Radio%20-%20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5AIRPNAIUNRU-1328258698-23674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https://nokia.sharepoint.com/sites/c5g/5gradio/_layouts/15/DocIdRedir.aspx?ID=5AIRPNAIUNRU-1328258698-23674</Url>
      <Description>5AIRPNAIUNRU-1328258698-23674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3GPP_Paper_Template_RAN4_#106bis-e_Dimitri.dotx</Template>
  <TotalTime>0</TotalTime>
  <Pages>3</Pages>
  <Words>915</Words>
  <Characters>5218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Rafhael</dc:creator>
  <cp:keywords>3GPP;RAN4</cp:keywords>
  <dc:description/>
  <cp:lastModifiedBy>Nokia</cp:lastModifiedBy>
  <cp:revision>2</cp:revision>
  <dcterms:created xsi:type="dcterms:W3CDTF">2023-05-15T22:41:00Z</dcterms:created>
  <dcterms:modified xsi:type="dcterms:W3CDTF">2023-05-15T22:41:00Z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4de1a2d1-eea6-4bcf-ac7e-7917f972cbf4</vt:lpwstr>
  </property>
  <property fmtid="{D5CDD505-2E9C-101B-9397-08002B2CF9AE}" pid="11" name="MediaServiceImageTags">
    <vt:lpwstr/>
  </property>
</Properties>
</file>