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8D600" w14:textId="07D3B1F4"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10</w:t>
      </w:r>
      <w:r w:rsidR="00011784" w:rsidRPr="008C39F7">
        <w:rPr>
          <w:rFonts w:ascii="Arial" w:eastAsia="SimSun" w:hAnsi="Arial" w:cs="Times New Roman"/>
          <w:b/>
          <w:sz w:val="24"/>
          <w:szCs w:val="20"/>
        </w:rPr>
        <w:t>7</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00FE6F40" w:rsidRPr="00FE6F40">
        <w:rPr>
          <w:rFonts w:ascii="Arial" w:eastAsia="SimSun" w:hAnsi="Arial" w:cs="Times New Roman"/>
          <w:b/>
          <w:bCs/>
          <w:sz w:val="24"/>
          <w:szCs w:val="20"/>
          <w:lang w:eastAsia="ja-JP"/>
        </w:rPr>
        <w:t>R4-2308035</w:t>
      </w:r>
    </w:p>
    <w:p w14:paraId="5A36C47F" w14:textId="77777777" w:rsidR="00841BCD" w:rsidRPr="008C39F7" w:rsidRDefault="0001178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8C39F7">
        <w:rPr>
          <w:rFonts w:ascii="Arial" w:eastAsia="SimSun" w:hAnsi="Arial" w:cs="Times New Roman"/>
          <w:b/>
          <w:sz w:val="24"/>
          <w:szCs w:val="20"/>
        </w:rPr>
        <w:t>Incheon, Korea</w:t>
      </w:r>
      <w:r w:rsidR="005C23A4" w:rsidRPr="008C39F7">
        <w:rPr>
          <w:rFonts w:ascii="Arial" w:eastAsia="SimSun" w:hAnsi="Arial" w:cs="Times New Roman"/>
          <w:b/>
          <w:sz w:val="24"/>
          <w:szCs w:val="20"/>
        </w:rPr>
        <w:t xml:space="preserve">, </w:t>
      </w:r>
      <w:r w:rsidRPr="008C39F7">
        <w:rPr>
          <w:rFonts w:ascii="Arial" w:eastAsia="SimSun" w:hAnsi="Arial" w:cs="Times New Roman"/>
          <w:b/>
          <w:sz w:val="24"/>
          <w:szCs w:val="20"/>
        </w:rPr>
        <w:t>May</w:t>
      </w:r>
      <w:r w:rsidR="00521576" w:rsidRPr="008C39F7">
        <w:rPr>
          <w:rFonts w:ascii="Arial" w:eastAsia="SimSun" w:hAnsi="Arial" w:cs="Times New Roman"/>
          <w:b/>
          <w:sz w:val="24"/>
          <w:szCs w:val="20"/>
        </w:rPr>
        <w:t xml:space="preserve"> </w:t>
      </w:r>
      <w:r w:rsidRPr="008C39F7">
        <w:rPr>
          <w:rFonts w:ascii="Arial" w:eastAsia="SimSun" w:hAnsi="Arial" w:cs="Times New Roman"/>
          <w:b/>
          <w:sz w:val="24"/>
          <w:szCs w:val="20"/>
        </w:rPr>
        <w:t>22</w:t>
      </w:r>
      <w:r w:rsidR="00A04992" w:rsidRPr="008C39F7">
        <w:rPr>
          <w:rFonts w:ascii="Arial" w:eastAsia="SimSun" w:hAnsi="Arial" w:cs="Times New Roman"/>
          <w:b/>
          <w:sz w:val="24"/>
          <w:szCs w:val="20"/>
        </w:rPr>
        <w:t xml:space="preserve"> – </w:t>
      </w:r>
      <w:r w:rsidR="003C4FDE" w:rsidRPr="008C39F7">
        <w:rPr>
          <w:rFonts w:ascii="Arial" w:eastAsia="SimSun" w:hAnsi="Arial" w:cs="Times New Roman"/>
          <w:b/>
          <w:sz w:val="24"/>
          <w:szCs w:val="20"/>
        </w:rPr>
        <w:t>26</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0"/>
    <w:bookmarkEnd w:id="1"/>
    <w:p w14:paraId="021D17C7"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125E664"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16044D8B" w14:textId="29FDD03F"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B01BFF" w:rsidRPr="00B01BFF">
        <w:rPr>
          <w:rFonts w:ascii="Arial" w:eastAsia="Calibri" w:hAnsi="Arial" w:cs="Arial"/>
          <w:b/>
          <w:bCs/>
          <w:sz w:val="24"/>
        </w:rPr>
        <w:t>On RRM Aspects of Tunnel Deployment Scenarios in HST FR2 Enhanced</w:t>
      </w:r>
    </w:p>
    <w:p w14:paraId="3E1F955A" w14:textId="515BA4D3"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9E0926" w:rsidRPr="009E0926">
        <w:rPr>
          <w:rFonts w:ascii="Arial" w:eastAsia="MS Mincho" w:hAnsi="Arial" w:cs="Arial"/>
          <w:b/>
          <w:bCs/>
          <w:sz w:val="24"/>
          <w:szCs w:val="20"/>
        </w:rPr>
        <w:t>8.13.4.4</w:t>
      </w:r>
    </w:p>
    <w:p w14:paraId="5CB17EF3"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206027A4" w14:textId="77777777" w:rsidR="00E323E9" w:rsidRPr="008C39F7" w:rsidRDefault="00E323E9" w:rsidP="00841BCD">
      <w:pPr>
        <w:tabs>
          <w:tab w:val="left" w:pos="1985"/>
        </w:tabs>
        <w:rPr>
          <w:rFonts w:ascii="Arial" w:eastAsia="Calibri" w:hAnsi="Arial" w:cs="Arial"/>
          <w:b/>
          <w:bCs/>
          <w:sz w:val="24"/>
        </w:rPr>
      </w:pPr>
    </w:p>
    <w:p w14:paraId="23DD7F9E"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72DDA915" w14:textId="36B331A9" w:rsidR="001B5C8D" w:rsidRDefault="001B5C8D" w:rsidP="001B5C8D">
      <w:pPr>
        <w:spacing w:line="254" w:lineRule="auto"/>
        <w:rPr>
          <w:rFonts w:eastAsia="Calibri" w:cs="Times New Roman"/>
        </w:rPr>
      </w:pPr>
      <w:bookmarkStart w:id="4" w:name="_Hlk131281055"/>
      <w:r>
        <w:rPr>
          <w:rFonts w:eastAsia="Calibri" w:cs="Times New Roman"/>
        </w:rPr>
        <w:t>HST FR2 tunnel deployment is one of the key scenarios to be studied in the NR</w:t>
      </w:r>
      <w:r w:rsidRPr="00C75950">
        <w:rPr>
          <w:rFonts w:eastAsia="Calibri" w:cs="Times New Roman"/>
        </w:rPr>
        <w:t>_</w:t>
      </w:r>
      <w:r>
        <w:rPr>
          <w:rFonts w:eastAsia="Calibri" w:cs="Times New Roman"/>
        </w:rPr>
        <w:t>HST</w:t>
      </w:r>
      <w:r w:rsidRPr="00C75950">
        <w:rPr>
          <w:rFonts w:eastAsia="Calibri" w:cs="Times New Roman"/>
        </w:rPr>
        <w:t>_</w:t>
      </w:r>
      <w:r>
        <w:rPr>
          <w:rFonts w:eastAsia="Calibri" w:cs="Times New Roman"/>
        </w:rPr>
        <w:t>FR2</w:t>
      </w:r>
      <w:r w:rsidRPr="00C75950">
        <w:rPr>
          <w:rFonts w:eastAsia="Calibri" w:cs="Times New Roman"/>
        </w:rPr>
        <w:t>_</w:t>
      </w:r>
      <w:r>
        <w:rPr>
          <w:rFonts w:eastAsia="Calibri" w:cs="Times New Roman"/>
        </w:rPr>
        <w:t xml:space="preserve">Enh WI </w:t>
      </w:r>
      <w:r>
        <w:rPr>
          <w:rFonts w:eastAsia="Calibri" w:cs="Times New Roman"/>
        </w:rPr>
        <w:fldChar w:fldCharType="begin"/>
      </w:r>
      <w:r>
        <w:rPr>
          <w:rFonts w:eastAsia="Calibri" w:cs="Times New Roman"/>
        </w:rPr>
        <w:instrText xml:space="preserve"> REF _Ref118741312 \r \h </w:instrText>
      </w:r>
      <w:r>
        <w:rPr>
          <w:rFonts w:eastAsia="Calibri" w:cs="Times New Roman"/>
        </w:rPr>
      </w:r>
      <w:r>
        <w:rPr>
          <w:rFonts w:eastAsia="Calibri" w:cs="Times New Roman"/>
        </w:rPr>
        <w:fldChar w:fldCharType="separate"/>
      </w:r>
      <w:r w:rsidR="008E66F1">
        <w:rPr>
          <w:rFonts w:eastAsia="Calibri" w:cs="Times New Roman"/>
        </w:rPr>
        <w:t>[1]</w:t>
      </w:r>
      <w:r>
        <w:rPr>
          <w:rFonts w:eastAsia="Calibri" w:cs="Times New Roman"/>
        </w:rPr>
        <w:fldChar w:fldCharType="end"/>
      </w:r>
      <w:r>
        <w:rPr>
          <w:rFonts w:eastAsia="Calibri" w:cs="Times New Roman"/>
        </w:rPr>
        <w:t>:</w:t>
      </w:r>
    </w:p>
    <w:tbl>
      <w:tblPr>
        <w:tblStyle w:val="TableGrid1"/>
        <w:tblW w:w="0" w:type="auto"/>
        <w:jc w:val="center"/>
        <w:tblInd w:w="0" w:type="dxa"/>
        <w:tblLook w:val="04A0" w:firstRow="1" w:lastRow="0" w:firstColumn="1" w:lastColumn="0" w:noHBand="0" w:noVBand="1"/>
      </w:tblPr>
      <w:tblGrid>
        <w:gridCol w:w="9000"/>
      </w:tblGrid>
      <w:tr w:rsidR="001B5C8D" w14:paraId="40123940" w14:textId="77777777" w:rsidTr="00047E9E">
        <w:trPr>
          <w:jc w:val="center"/>
        </w:trPr>
        <w:tc>
          <w:tcPr>
            <w:tcW w:w="9000" w:type="dxa"/>
            <w:tcBorders>
              <w:top w:val="single" w:sz="4" w:space="0" w:color="auto"/>
              <w:left w:val="single" w:sz="4" w:space="0" w:color="auto"/>
              <w:bottom w:val="single" w:sz="4" w:space="0" w:color="auto"/>
              <w:right w:val="single" w:sz="4" w:space="0" w:color="auto"/>
            </w:tcBorders>
            <w:hideMark/>
          </w:tcPr>
          <w:p w14:paraId="3CAC7BB2" w14:textId="77777777" w:rsidR="001B5C8D" w:rsidRDefault="001B5C8D" w:rsidP="00047E9E">
            <w:pPr>
              <w:numPr>
                <w:ilvl w:val="0"/>
                <w:numId w:val="27"/>
              </w:numPr>
              <w:spacing w:after="255" w:line="254" w:lineRule="auto"/>
              <w:contextualSpacing/>
            </w:pPr>
            <w:bookmarkStart w:id="5" w:name="_Hlk130998496"/>
            <w:r>
              <w:rPr>
                <w:szCs w:val="20"/>
                <w:lang w:val="en-GB"/>
              </w:rPr>
              <w:t>Study on reference tunnel deployment scenario for FR2 HST and specify the channel model and corresponding core requirements if any [RAN4]</w:t>
            </w:r>
          </w:p>
        </w:tc>
      </w:tr>
      <w:bookmarkEnd w:id="5"/>
    </w:tbl>
    <w:p w14:paraId="162B2112" w14:textId="77777777" w:rsidR="001B5C8D" w:rsidRDefault="001B5C8D" w:rsidP="001B5C8D">
      <w:pPr>
        <w:spacing w:line="254" w:lineRule="auto"/>
        <w:rPr>
          <w:rFonts w:eastAsia="Calibri" w:cs="Times New Roman"/>
        </w:rPr>
      </w:pPr>
    </w:p>
    <w:p w14:paraId="6ADE6E89" w14:textId="17F44E87" w:rsidR="001B5C8D" w:rsidRDefault="001B5C8D" w:rsidP="001B5C8D">
      <w:pPr>
        <w:spacing w:line="254" w:lineRule="auto"/>
        <w:rPr>
          <w:rFonts w:eastAsia="Calibri" w:cs="Times New Roman"/>
        </w:rPr>
      </w:pPr>
      <w:r>
        <w:rPr>
          <w:rFonts w:eastAsia="Calibri" w:cs="Times New Roman"/>
        </w:rPr>
        <w:t>The enhanced RRM requirements for HST FR2 in tunnel deployments have been discussed in several RAN4 meetings, and the recent RAN4#106bis-e has reached agreements on the</w:t>
      </w:r>
      <w:r w:rsidR="00AD422A">
        <w:rPr>
          <w:rFonts w:eastAsia="Calibri" w:cs="Times New Roman"/>
        </w:rPr>
        <w:t xml:space="preserve"> following</w:t>
      </w:r>
      <w:r>
        <w:rPr>
          <w:rFonts w:eastAsia="Calibri" w:cs="Times New Roman"/>
        </w:rPr>
        <w:t xml:space="preserve"> important aspects </w:t>
      </w:r>
      <w:r w:rsidR="009D12B9">
        <w:rPr>
          <w:rFonts w:eastAsia="Calibri" w:cs="Times New Roman"/>
        </w:rPr>
        <w:t>[2]</w:t>
      </w:r>
    </w:p>
    <w:tbl>
      <w:tblPr>
        <w:tblStyle w:val="TableGrid"/>
        <w:tblW w:w="0" w:type="auto"/>
        <w:jc w:val="center"/>
        <w:tblLook w:val="04A0" w:firstRow="1" w:lastRow="0" w:firstColumn="1" w:lastColumn="0" w:noHBand="0" w:noVBand="1"/>
      </w:tblPr>
      <w:tblGrid>
        <w:gridCol w:w="9000"/>
      </w:tblGrid>
      <w:tr w:rsidR="001B5C8D" w:rsidRPr="008C39F7" w14:paraId="73EE47A9" w14:textId="77777777" w:rsidTr="00047E9E">
        <w:trPr>
          <w:jc w:val="center"/>
        </w:trPr>
        <w:tc>
          <w:tcPr>
            <w:tcW w:w="9000" w:type="dxa"/>
          </w:tcPr>
          <w:p w14:paraId="736F4872" w14:textId="550F6935" w:rsidR="001B5C8D" w:rsidRPr="001B5C8D" w:rsidRDefault="001B5C8D" w:rsidP="001B5C8D">
            <w:pPr>
              <w:pStyle w:val="Heading2"/>
              <w:outlineLvl w:val="1"/>
            </w:pPr>
            <w:r>
              <w:t>Sub-t</w:t>
            </w:r>
            <w:r w:rsidRPr="00D96EDD">
              <w:t>opic #2</w:t>
            </w:r>
            <w:r>
              <w:t>-1</w:t>
            </w:r>
            <w:r w:rsidRPr="00D96EDD">
              <w:t>: Tunnel deployment</w:t>
            </w:r>
          </w:p>
          <w:p w14:paraId="50FB9E55" w14:textId="3BF9A658" w:rsidR="001B5C8D" w:rsidRPr="006357D8" w:rsidRDefault="001B5C8D" w:rsidP="001B5C8D">
            <w:pPr>
              <w:rPr>
                <w:lang w:eastAsia="zh-CN"/>
              </w:rPr>
            </w:pPr>
            <w:r w:rsidRPr="00961E4D">
              <w:rPr>
                <w:rFonts w:eastAsiaTheme="minorEastAsia"/>
                <w:b/>
                <w:bCs/>
                <w:iCs/>
                <w:u w:val="single"/>
                <w:lang w:eastAsia="zh-CN"/>
              </w:rPr>
              <w:t>Issue 2-1-1: Deployment assumptions for Scenario#1</w:t>
            </w:r>
          </w:p>
          <w:p w14:paraId="5FF5FBE4" w14:textId="77777777" w:rsidR="001B5C8D" w:rsidRDefault="001B5C8D" w:rsidP="001B5C8D">
            <w:pPr>
              <w:rPr>
                <w:b/>
                <w:lang w:eastAsia="zh-CN"/>
              </w:rPr>
            </w:pPr>
            <w:r w:rsidRPr="00D7566B">
              <w:rPr>
                <w:b/>
                <w:highlight w:val="green"/>
                <w:lang w:eastAsia="zh-CN"/>
              </w:rPr>
              <w:t>Agreement:</w:t>
            </w:r>
          </w:p>
          <w:p w14:paraId="7ACD51EF" w14:textId="77777777" w:rsidR="001B5C8D" w:rsidRPr="00D7566B" w:rsidRDefault="001B5C8D" w:rsidP="001B5C8D">
            <w:pPr>
              <w:pStyle w:val="ListParagraph"/>
              <w:numPr>
                <w:ilvl w:val="0"/>
                <w:numId w:val="29"/>
              </w:numPr>
              <w:overflowPunct w:val="0"/>
              <w:autoSpaceDE w:val="0"/>
              <w:autoSpaceDN w:val="0"/>
              <w:adjustRightInd w:val="0"/>
              <w:spacing w:after="180"/>
              <w:contextualSpacing w:val="0"/>
              <w:textAlignment w:val="baseline"/>
              <w:rPr>
                <w:bCs/>
                <w:lang w:eastAsia="zh-CN"/>
              </w:rPr>
            </w:pPr>
            <w:r w:rsidRPr="00D7566B">
              <w:rPr>
                <w:bCs/>
                <w:lang w:eastAsia="zh-CN"/>
              </w:rPr>
              <w:t xml:space="preserve">Consider both </w:t>
            </w:r>
            <w:proofErr w:type="spellStart"/>
            <w:r w:rsidRPr="00D7566B">
              <w:rPr>
                <w:bCs/>
                <w:lang w:eastAsia="zh-CN"/>
              </w:rPr>
              <w:t>uni</w:t>
            </w:r>
            <w:proofErr w:type="spellEnd"/>
            <w:r w:rsidRPr="00D7566B">
              <w:rPr>
                <w:bCs/>
                <w:lang w:eastAsia="zh-CN"/>
              </w:rPr>
              <w:t>-directional and bi-directional deployments in the tunnel for Sceanrio#1 (single-panel reception UE and DPS transition scheme).</w:t>
            </w:r>
          </w:p>
          <w:p w14:paraId="49AFF115" w14:textId="77777777" w:rsidR="001B5C8D" w:rsidRPr="005F09D4" w:rsidRDefault="001B5C8D" w:rsidP="001B5C8D">
            <w:pPr>
              <w:rPr>
                <w:rFonts w:eastAsiaTheme="minorEastAsia"/>
                <w:b/>
                <w:bCs/>
                <w:iCs/>
                <w:u w:val="single"/>
                <w:lang w:eastAsia="zh-CN"/>
              </w:rPr>
            </w:pPr>
            <w:r w:rsidRPr="005F09D4">
              <w:rPr>
                <w:rFonts w:eastAsiaTheme="minorEastAsia"/>
                <w:b/>
                <w:bCs/>
                <w:iCs/>
                <w:u w:val="single"/>
                <w:lang w:eastAsia="zh-CN"/>
              </w:rPr>
              <w:t>Issue 2-1-2:</w:t>
            </w:r>
            <w:r>
              <w:rPr>
                <w:rFonts w:eastAsiaTheme="minorEastAsia"/>
                <w:b/>
                <w:bCs/>
                <w:iCs/>
                <w:u w:val="single"/>
                <w:lang w:eastAsia="zh-CN"/>
              </w:rPr>
              <w:t xml:space="preserve"> </w:t>
            </w:r>
            <w:r w:rsidRPr="00CD6A07">
              <w:rPr>
                <w:rFonts w:eastAsiaTheme="minorEastAsia"/>
                <w:b/>
                <w:bCs/>
                <w:iCs/>
                <w:u w:val="single"/>
                <w:lang w:eastAsia="zh-CN"/>
              </w:rPr>
              <w:t>Channel model inside the tunnel</w:t>
            </w:r>
          </w:p>
          <w:p w14:paraId="7DC09A2D" w14:textId="77777777" w:rsidR="001B5C8D" w:rsidRDefault="001B5C8D" w:rsidP="001B5C8D">
            <w:pPr>
              <w:rPr>
                <w:b/>
                <w:lang w:eastAsia="zh-CN"/>
              </w:rPr>
            </w:pPr>
            <w:r w:rsidRPr="00D7566B">
              <w:rPr>
                <w:b/>
                <w:highlight w:val="green"/>
                <w:lang w:eastAsia="zh-CN"/>
              </w:rPr>
              <w:t>Agreement:</w:t>
            </w:r>
          </w:p>
          <w:p w14:paraId="60E7B199" w14:textId="77777777" w:rsidR="001B5C8D" w:rsidRPr="00D7566B" w:rsidRDefault="001B5C8D" w:rsidP="001B5C8D">
            <w:pPr>
              <w:pStyle w:val="ListParagraph"/>
              <w:numPr>
                <w:ilvl w:val="0"/>
                <w:numId w:val="32"/>
              </w:numPr>
              <w:overflowPunct w:val="0"/>
              <w:autoSpaceDE w:val="0"/>
              <w:autoSpaceDN w:val="0"/>
              <w:adjustRightInd w:val="0"/>
              <w:spacing w:after="180"/>
              <w:contextualSpacing w:val="0"/>
              <w:textAlignment w:val="baseline"/>
              <w:rPr>
                <w:rFonts w:eastAsia="MS Mincho"/>
                <w:b/>
                <w:lang w:eastAsia="zh-CN"/>
              </w:rPr>
            </w:pPr>
            <w:r w:rsidRPr="00D7566B">
              <w:rPr>
                <w:rFonts w:eastAsiaTheme="minorEastAsia"/>
                <w:iCs/>
                <w:lang w:eastAsia="zh-CN"/>
              </w:rPr>
              <w:t xml:space="preserve">Continue the discussion of the channel models in the </w:t>
            </w:r>
            <w:proofErr w:type="spellStart"/>
            <w:r w:rsidRPr="00D7566B">
              <w:rPr>
                <w:rFonts w:eastAsiaTheme="minorEastAsia"/>
                <w:iCs/>
                <w:lang w:eastAsia="zh-CN"/>
              </w:rPr>
              <w:t>Demod</w:t>
            </w:r>
            <w:proofErr w:type="spellEnd"/>
            <w:r w:rsidRPr="00D7566B">
              <w:rPr>
                <w:rFonts w:eastAsiaTheme="minorEastAsia"/>
                <w:iCs/>
                <w:lang w:eastAsia="zh-CN"/>
              </w:rPr>
              <w:t xml:space="preserve"> track </w:t>
            </w:r>
          </w:p>
          <w:p w14:paraId="02F45F07" w14:textId="682B7FBB" w:rsidR="001B5C8D" w:rsidRPr="008C39F7" w:rsidRDefault="001B5C8D" w:rsidP="00274120">
            <w:pPr>
              <w:pStyle w:val="ListParagraph"/>
              <w:numPr>
                <w:ilvl w:val="1"/>
                <w:numId w:val="32"/>
              </w:numPr>
              <w:overflowPunct w:val="0"/>
              <w:autoSpaceDE w:val="0"/>
              <w:autoSpaceDN w:val="0"/>
              <w:adjustRightInd w:val="0"/>
              <w:spacing w:after="180"/>
              <w:contextualSpacing w:val="0"/>
              <w:textAlignment w:val="baseline"/>
            </w:pPr>
            <w:proofErr w:type="spellStart"/>
            <w:r w:rsidRPr="00D7566B">
              <w:rPr>
                <w:bCs/>
                <w:lang w:eastAsia="zh-CN"/>
              </w:rPr>
              <w:t>Dmin</w:t>
            </w:r>
            <w:proofErr w:type="spellEnd"/>
            <w:r w:rsidRPr="00D7566B">
              <w:rPr>
                <w:bCs/>
                <w:lang w:eastAsia="zh-CN"/>
              </w:rPr>
              <w:t xml:space="preserve"> and Ds agreed in the RRM session can be used for reference </w:t>
            </w:r>
            <w:r w:rsidRPr="00D7566B">
              <w:rPr>
                <w:rFonts w:eastAsiaTheme="minorEastAsia"/>
                <w:iCs/>
                <w:lang w:eastAsia="zh-CN"/>
              </w:rPr>
              <w:t>[R4-2220396]</w:t>
            </w:r>
          </w:p>
        </w:tc>
      </w:tr>
    </w:tbl>
    <w:p w14:paraId="3BCC17DC" w14:textId="77777777" w:rsidR="001B5C8D" w:rsidRDefault="001B5C8D" w:rsidP="001B5C8D">
      <w:pPr>
        <w:spacing w:line="254" w:lineRule="auto"/>
        <w:rPr>
          <w:rFonts w:eastAsia="Calibri" w:cs="Times New Roman"/>
        </w:rPr>
      </w:pPr>
    </w:p>
    <w:p w14:paraId="72650B42" w14:textId="2F86C316" w:rsidR="00C655D3" w:rsidRDefault="00274120" w:rsidP="00274120">
      <w:pPr>
        <w:rPr>
          <w:rFonts w:eastAsia="Calibri" w:cs="Times New Roman"/>
        </w:rPr>
      </w:pPr>
      <w:r>
        <w:rPr>
          <w:rFonts w:eastAsia="Calibri" w:cs="Times New Roman"/>
        </w:rPr>
        <w:t xml:space="preserve">However, </w:t>
      </w:r>
      <w:bookmarkEnd w:id="4"/>
      <w:r>
        <w:rPr>
          <w:rFonts w:eastAsia="Calibri" w:cs="Times New Roman"/>
        </w:rPr>
        <w:t xml:space="preserve">some open issues </w:t>
      </w:r>
      <w:r w:rsidR="003D38B3">
        <w:rPr>
          <w:rFonts w:eastAsia="Calibri" w:cs="Times New Roman"/>
        </w:rPr>
        <w:t xml:space="preserve">were </w:t>
      </w:r>
      <w:proofErr w:type="gramStart"/>
      <w:r w:rsidR="003D38B3" w:rsidRPr="002B2A8C">
        <w:rPr>
          <w:rFonts w:eastAsia="Calibri" w:cs="Times New Roman"/>
        </w:rPr>
        <w:t>still kept</w:t>
      </w:r>
      <w:proofErr w:type="gramEnd"/>
      <w:r w:rsidR="003D38B3" w:rsidRPr="002B2A8C">
        <w:rPr>
          <w:rFonts w:eastAsia="Calibri" w:cs="Times New Roman"/>
        </w:rPr>
        <w:t xml:space="preserve"> open in WF [2]</w:t>
      </w:r>
      <w:r w:rsidR="003D38B3">
        <w:rPr>
          <w:rFonts w:eastAsia="Calibri" w:cs="Times New Roman"/>
        </w:rPr>
        <w:t xml:space="preserve"> </w:t>
      </w:r>
      <w:r w:rsidR="003D38B3" w:rsidRPr="002B2A8C">
        <w:rPr>
          <w:rFonts w:eastAsia="Calibri" w:cs="Times New Roman"/>
        </w:rPr>
        <w:t>which need to be addressed</w:t>
      </w:r>
      <w:r w:rsidR="003D38B3">
        <w:rPr>
          <w:rFonts w:eastAsia="Calibri" w:cs="Times New Roman"/>
        </w:rPr>
        <w:t xml:space="preserve"> including</w:t>
      </w:r>
    </w:p>
    <w:p w14:paraId="36573FC3" w14:textId="77777777" w:rsidR="00C655D3" w:rsidRPr="002B2A8C" w:rsidRDefault="00C655D3" w:rsidP="00C655D3">
      <w:pPr>
        <w:pStyle w:val="ListParagraph"/>
        <w:numPr>
          <w:ilvl w:val="0"/>
          <w:numId w:val="42"/>
        </w:numPr>
        <w:rPr>
          <w:rFonts w:eastAsia="Calibri" w:cs="Times New Roman"/>
        </w:rPr>
      </w:pPr>
      <w:r w:rsidRPr="002B2A8C">
        <w:rPr>
          <w:rFonts w:eastAsia="Calibri" w:cs="Times New Roman"/>
        </w:rPr>
        <w:t>de</w:t>
      </w:r>
      <w:r w:rsidRPr="002B2A8C">
        <w:t xml:space="preserve">ployment assumptions at entrance/exit of the tunnel and channel </w:t>
      </w:r>
    </w:p>
    <w:p w14:paraId="3531D322" w14:textId="27242F86" w:rsidR="00274120" w:rsidRPr="00FA16D0" w:rsidRDefault="00C655D3" w:rsidP="00047E9E">
      <w:pPr>
        <w:pStyle w:val="ListParagraph"/>
        <w:numPr>
          <w:ilvl w:val="0"/>
          <w:numId w:val="42"/>
        </w:numPr>
        <w:rPr>
          <w:rFonts w:eastAsia="Calibri" w:cs="Times New Roman"/>
        </w:rPr>
      </w:pPr>
      <w:r w:rsidRPr="002B2A8C">
        <w:t>solutions for mobility issue in the tunnel</w:t>
      </w:r>
      <w:r w:rsidRPr="00FA16D0">
        <w:rPr>
          <w:rFonts w:eastAsia="Calibri" w:cs="Times New Roman"/>
        </w:rPr>
        <w:t xml:space="preserve"> </w:t>
      </w:r>
    </w:p>
    <w:p w14:paraId="1AF2FA73" w14:textId="64B6988F" w:rsidR="001021B7" w:rsidRDefault="00274120" w:rsidP="005B5E9A">
      <w:r w:rsidRPr="00233C95">
        <w:rPr>
          <w:rFonts w:eastAsia="Calibri" w:cs="Times New Roman"/>
        </w:rPr>
        <w:t xml:space="preserve">In this paper, we </w:t>
      </w:r>
      <w:r w:rsidR="005F08A8">
        <w:rPr>
          <w:rFonts w:eastAsia="Calibri" w:cs="Times New Roman"/>
        </w:rPr>
        <w:t xml:space="preserve">share </w:t>
      </w:r>
      <w:r>
        <w:rPr>
          <w:rFonts w:eastAsia="Calibri" w:cs="Times New Roman"/>
        </w:rPr>
        <w:t>our views on the</w:t>
      </w:r>
      <w:r w:rsidR="00FA16D0">
        <w:rPr>
          <w:rFonts w:eastAsia="Calibri" w:cs="Times New Roman"/>
        </w:rPr>
        <w:t>se</w:t>
      </w:r>
      <w:r>
        <w:rPr>
          <w:rFonts w:eastAsia="Calibri" w:cs="Times New Roman"/>
        </w:rPr>
        <w:t xml:space="preserve"> </w:t>
      </w:r>
      <w:r w:rsidR="00FA16D0">
        <w:rPr>
          <w:rFonts w:eastAsia="Calibri" w:cs="Times New Roman"/>
        </w:rPr>
        <w:t xml:space="preserve">issues. </w:t>
      </w:r>
      <w:r w:rsidR="00C5518E">
        <w:rPr>
          <w:rFonts w:eastAsia="Calibri" w:cs="Times New Roman"/>
        </w:rPr>
        <w:t>Especially, w</w:t>
      </w:r>
      <w:r w:rsidR="00AC15AB">
        <w:rPr>
          <w:rFonts w:eastAsia="Calibri" w:cs="Times New Roman"/>
        </w:rPr>
        <w:t xml:space="preserve">e pay more attention </w:t>
      </w:r>
      <w:r w:rsidR="00854348">
        <w:rPr>
          <w:rFonts w:eastAsia="Calibri" w:cs="Times New Roman"/>
        </w:rPr>
        <w:t>to address</w:t>
      </w:r>
      <w:r w:rsidR="003E632C">
        <w:rPr>
          <w:rFonts w:eastAsia="Calibri" w:cs="Times New Roman"/>
        </w:rPr>
        <w:t xml:space="preserve"> the second </w:t>
      </w:r>
      <w:r w:rsidR="009200D1">
        <w:rPr>
          <w:rFonts w:eastAsia="Calibri" w:cs="Times New Roman"/>
        </w:rPr>
        <w:t>bullet, i.e., mobility issue in the tune</w:t>
      </w:r>
      <w:r w:rsidR="00854348">
        <w:rPr>
          <w:rFonts w:eastAsia="Calibri" w:cs="Times New Roman"/>
        </w:rPr>
        <w:t>,</w:t>
      </w:r>
      <w:r w:rsidR="009200D1">
        <w:rPr>
          <w:rFonts w:eastAsia="Calibri" w:cs="Times New Roman"/>
        </w:rPr>
        <w:t xml:space="preserve"> </w:t>
      </w:r>
      <w:r w:rsidR="005B5E9A">
        <w:rPr>
          <w:rFonts w:eastAsia="Calibri" w:cs="Times New Roman"/>
        </w:rPr>
        <w:t xml:space="preserve">since this problem </w:t>
      </w:r>
      <w:r w:rsidR="007C5223">
        <w:t>has</w:t>
      </w:r>
      <w:r w:rsidR="00B141CE">
        <w:t xml:space="preserve"> been discussed since RAN4#105 </w:t>
      </w:r>
      <w:r w:rsidR="00C65AC1">
        <w:fldChar w:fldCharType="begin"/>
      </w:r>
      <w:r w:rsidR="00C65AC1">
        <w:instrText xml:space="preserve"> REF _Ref134608248 \r \h </w:instrText>
      </w:r>
      <w:r w:rsidR="00C65AC1">
        <w:fldChar w:fldCharType="separate"/>
      </w:r>
      <w:r w:rsidR="008E66F1">
        <w:t>[3]</w:t>
      </w:r>
      <w:r w:rsidR="00C65AC1">
        <w:fldChar w:fldCharType="end"/>
      </w:r>
      <w:r w:rsidR="00B141CE">
        <w:t xml:space="preserve"> but the consensus has not been achieved yet</w:t>
      </w:r>
      <w:r w:rsidR="00BE2ECA">
        <w:t>.</w:t>
      </w:r>
      <w:r w:rsidR="005F08A8">
        <w:t xml:space="preserve"> </w:t>
      </w:r>
      <w:proofErr w:type="gramStart"/>
      <w:r w:rsidR="005F08A8">
        <w:t>In particular, we</w:t>
      </w:r>
      <w:proofErr w:type="gramEnd"/>
      <w:r w:rsidR="005F08A8">
        <w:t xml:space="preserve"> provide more</w:t>
      </w:r>
      <w:r w:rsidR="00C65AC1">
        <w:t xml:space="preserve"> detailed analysis for the </w:t>
      </w:r>
      <w:r w:rsidR="00AC3AE2">
        <w:t xml:space="preserve">existing </w:t>
      </w:r>
      <w:r w:rsidR="00C65AC1">
        <w:t xml:space="preserve">options </w:t>
      </w:r>
      <w:r w:rsidR="005F08A8">
        <w:t xml:space="preserve">and also </w:t>
      </w:r>
      <w:r w:rsidR="008F0DD7">
        <w:t>discuss</w:t>
      </w:r>
      <w:r w:rsidR="005F08A8">
        <w:t xml:space="preserve"> </w:t>
      </w:r>
      <w:r w:rsidR="00AC3AE2">
        <w:t xml:space="preserve">new </w:t>
      </w:r>
      <w:r w:rsidR="00A2305C">
        <w:t xml:space="preserve">potential </w:t>
      </w:r>
      <w:r w:rsidR="00B141CE">
        <w:t>solution</w:t>
      </w:r>
      <w:r w:rsidR="00695E4B">
        <w:t>s</w:t>
      </w:r>
      <w:r w:rsidR="00B141CE">
        <w:t xml:space="preserve"> </w:t>
      </w:r>
      <w:r w:rsidR="00AC3AE2">
        <w:t>for this issue.</w:t>
      </w:r>
      <w:r w:rsidR="00F20ECA">
        <w:t xml:space="preserve"> </w:t>
      </w:r>
    </w:p>
    <w:p w14:paraId="5AE97611" w14:textId="3D44AC93" w:rsidR="00274120" w:rsidRDefault="001021B7" w:rsidP="005B5E9A">
      <w:r>
        <w:t>In addition, w</w:t>
      </w:r>
      <w:r w:rsidR="00F20ECA">
        <w:t xml:space="preserve">e also raise a question whether indication </w:t>
      </w:r>
      <w:r w:rsidR="002C3E96">
        <w:t>for tunnel deployment scenario is needed.</w:t>
      </w:r>
    </w:p>
    <w:p w14:paraId="671D8860" w14:textId="77777777" w:rsidR="0060543D" w:rsidRPr="008C39F7" w:rsidRDefault="0060543D" w:rsidP="005C23A4"/>
    <w:p w14:paraId="7305BB7D" w14:textId="77777777" w:rsidR="003B659E" w:rsidRPr="008C39F7" w:rsidRDefault="003B659E" w:rsidP="00AE56B1">
      <w:pPr>
        <w:pStyle w:val="RAN4H1"/>
      </w:pPr>
      <w:bookmarkStart w:id="6" w:name="_Toc116995842"/>
      <w:r w:rsidRPr="008C39F7">
        <w:t>Discussion</w:t>
      </w:r>
      <w:bookmarkEnd w:id="6"/>
    </w:p>
    <w:p w14:paraId="7B87AA4A" w14:textId="3B3F892E" w:rsidR="00695E4B" w:rsidRDefault="00CE20B5" w:rsidP="00695E4B">
      <w:pPr>
        <w:pStyle w:val="RAN4H2"/>
      </w:pPr>
      <w:r>
        <w:t>Deployment assumptions</w:t>
      </w:r>
      <w:r w:rsidR="00695E4B">
        <w:t xml:space="preserve"> at the entrance/exit of the tunnel</w:t>
      </w:r>
    </w:p>
    <w:p w14:paraId="1BE3D323" w14:textId="570336F3" w:rsidR="00695E4B" w:rsidRPr="00695E4B" w:rsidRDefault="00695E4B" w:rsidP="00695E4B">
      <w:r>
        <w:t xml:space="preserve">The deployment </w:t>
      </w:r>
      <w:r w:rsidR="00BD624E">
        <w:t xml:space="preserve">assumption </w:t>
      </w:r>
      <w:r>
        <w:t>at the tunnel</w:t>
      </w:r>
      <w:r w:rsidR="00BD624E">
        <w:t xml:space="preserve"> entrance/exit is kept open in RAN4#107 WF </w:t>
      </w:r>
      <w:r w:rsidR="00304BDC">
        <w:fldChar w:fldCharType="begin"/>
      </w:r>
      <w:r w:rsidR="00304BDC">
        <w:instrText xml:space="preserve"> REF _Ref134706649 \r \h </w:instrText>
      </w:r>
      <w:r w:rsidR="00304BDC">
        <w:fldChar w:fldCharType="separate"/>
      </w:r>
      <w:r w:rsidR="008E66F1">
        <w:t>[2]</w:t>
      </w:r>
      <w:r w:rsidR="00304BDC">
        <w:fldChar w:fldCharType="end"/>
      </w:r>
    </w:p>
    <w:tbl>
      <w:tblPr>
        <w:tblStyle w:val="TableGrid1"/>
        <w:tblW w:w="0" w:type="auto"/>
        <w:jc w:val="center"/>
        <w:tblInd w:w="0" w:type="dxa"/>
        <w:tblLook w:val="04A0" w:firstRow="1" w:lastRow="0" w:firstColumn="1" w:lastColumn="0" w:noHBand="0" w:noVBand="1"/>
      </w:tblPr>
      <w:tblGrid>
        <w:gridCol w:w="9000"/>
      </w:tblGrid>
      <w:tr w:rsidR="00BD624E" w14:paraId="72D140DC" w14:textId="77777777" w:rsidTr="00047E9E">
        <w:trPr>
          <w:jc w:val="center"/>
        </w:trPr>
        <w:tc>
          <w:tcPr>
            <w:tcW w:w="9000" w:type="dxa"/>
            <w:tcBorders>
              <w:top w:val="single" w:sz="4" w:space="0" w:color="auto"/>
              <w:left w:val="single" w:sz="4" w:space="0" w:color="auto"/>
              <w:bottom w:val="single" w:sz="4" w:space="0" w:color="auto"/>
              <w:right w:val="single" w:sz="4" w:space="0" w:color="auto"/>
            </w:tcBorders>
            <w:hideMark/>
          </w:tcPr>
          <w:p w14:paraId="15410F4B" w14:textId="77777777" w:rsidR="00BD624E" w:rsidRPr="006357D8" w:rsidRDefault="00BD624E" w:rsidP="00BD624E">
            <w:pPr>
              <w:rPr>
                <w:lang w:eastAsia="zh-CN"/>
              </w:rPr>
            </w:pPr>
            <w:r w:rsidRPr="00961E4D">
              <w:rPr>
                <w:rFonts w:eastAsiaTheme="minorEastAsia"/>
                <w:b/>
                <w:bCs/>
                <w:iCs/>
                <w:u w:val="single"/>
                <w:lang w:eastAsia="zh-CN"/>
              </w:rPr>
              <w:lastRenderedPageBreak/>
              <w:t>Issue 2-1-1: Deployment assumptions for Scenario#1</w:t>
            </w:r>
          </w:p>
          <w:p w14:paraId="282A1F27" w14:textId="77777777" w:rsidR="00BD624E" w:rsidRDefault="00BD624E" w:rsidP="00BD624E">
            <w:pPr>
              <w:rPr>
                <w:lang w:eastAsia="zh-CN"/>
              </w:rPr>
            </w:pPr>
            <w:r>
              <w:rPr>
                <w:b/>
                <w:lang w:eastAsia="zh-CN"/>
              </w:rPr>
              <w:t>Way forward:</w:t>
            </w:r>
          </w:p>
          <w:p w14:paraId="72F9F454" w14:textId="77777777" w:rsidR="00BD624E" w:rsidRPr="005C1B08" w:rsidRDefault="00BD624E" w:rsidP="00BD624E">
            <w:pPr>
              <w:pStyle w:val="ListParagraph"/>
              <w:numPr>
                <w:ilvl w:val="0"/>
                <w:numId w:val="29"/>
              </w:numPr>
              <w:overflowPunct w:val="0"/>
              <w:autoSpaceDE w:val="0"/>
              <w:autoSpaceDN w:val="0"/>
              <w:adjustRightInd w:val="0"/>
              <w:spacing w:after="180"/>
              <w:contextualSpacing w:val="0"/>
              <w:textAlignment w:val="baseline"/>
              <w:rPr>
                <w:lang w:eastAsia="zh-CN"/>
              </w:rPr>
            </w:pPr>
            <w:r w:rsidRPr="005C1B08">
              <w:rPr>
                <w:lang w:eastAsia="zh-CN"/>
              </w:rPr>
              <w:t>FFS additional assumptions on tunnel deployment:</w:t>
            </w:r>
          </w:p>
          <w:p w14:paraId="7A1F408F" w14:textId="77777777" w:rsidR="00BD624E" w:rsidRPr="00DF6A2B" w:rsidRDefault="00BD624E" w:rsidP="00BD624E">
            <w:pPr>
              <w:pStyle w:val="ListParagraph"/>
              <w:numPr>
                <w:ilvl w:val="1"/>
                <w:numId w:val="30"/>
              </w:numPr>
              <w:overflowPunct w:val="0"/>
              <w:autoSpaceDE w:val="0"/>
              <w:autoSpaceDN w:val="0"/>
              <w:adjustRightInd w:val="0"/>
              <w:spacing w:after="180"/>
              <w:contextualSpacing w:val="0"/>
              <w:textAlignment w:val="baseline"/>
              <w:rPr>
                <w:rFonts w:eastAsiaTheme="minorEastAsia"/>
                <w:iCs/>
                <w:lang w:eastAsia="zh-CN"/>
              </w:rPr>
            </w:pPr>
            <w:r w:rsidRPr="00DF6A2B">
              <w:rPr>
                <w:rFonts w:eastAsiaTheme="minorEastAsia"/>
                <w:iCs/>
                <w:lang w:eastAsia="zh-CN"/>
              </w:rPr>
              <w:t>Option 1:</w:t>
            </w:r>
            <w:r>
              <w:rPr>
                <w:rFonts w:eastAsiaTheme="minorEastAsia"/>
                <w:iCs/>
                <w:lang w:eastAsia="zh-CN"/>
              </w:rPr>
              <w:t xml:space="preserve"> </w:t>
            </w:r>
            <w:r w:rsidRPr="007E6F34">
              <w:rPr>
                <w:rFonts w:eastAsiaTheme="minorEastAsia"/>
                <w:iCs/>
                <w:lang w:eastAsia="zh-CN"/>
              </w:rPr>
              <w:t xml:space="preserve">In </w:t>
            </w:r>
            <w:proofErr w:type="spellStart"/>
            <w:r w:rsidRPr="007E6F34">
              <w:rPr>
                <w:rFonts w:eastAsiaTheme="minorEastAsia"/>
                <w:iCs/>
                <w:lang w:eastAsia="zh-CN"/>
              </w:rPr>
              <w:t>uni</w:t>
            </w:r>
            <w:proofErr w:type="spellEnd"/>
            <w:r w:rsidRPr="007E6F34">
              <w:rPr>
                <w:rFonts w:eastAsiaTheme="minorEastAsia"/>
                <w:iCs/>
                <w:lang w:eastAsia="zh-CN"/>
              </w:rPr>
              <w:t>-directional scenarios assume the at least one open-space RRH is deployed close to railway, e.g., with tunnel deployment parameters, and orientations of RRH panels are the same in open-space and in the tunnel.</w:t>
            </w:r>
          </w:p>
          <w:p w14:paraId="225004B4" w14:textId="1BFCAC81" w:rsidR="00BD624E" w:rsidRDefault="00BD624E" w:rsidP="00BD624E">
            <w:pPr>
              <w:spacing w:after="255" w:line="254" w:lineRule="auto"/>
              <w:ind w:left="720"/>
              <w:contextualSpacing/>
            </w:pPr>
            <w:r w:rsidRPr="005F09D4">
              <w:rPr>
                <w:rFonts w:eastAsiaTheme="minorEastAsia"/>
                <w:iCs/>
                <w:lang w:eastAsia="zh-CN"/>
              </w:rPr>
              <w:t xml:space="preserve">Option 2: </w:t>
            </w:r>
            <w:r w:rsidRPr="007E6F34">
              <w:rPr>
                <w:rFonts w:eastAsiaTheme="minorEastAsia"/>
                <w:iCs/>
                <w:lang w:eastAsia="zh-CN"/>
              </w:rPr>
              <w:t>No need to taking exit/entrance of the tunnel into account of tunnel scenario and channel.</w:t>
            </w:r>
          </w:p>
        </w:tc>
      </w:tr>
    </w:tbl>
    <w:p w14:paraId="7EA49D71" w14:textId="399F8573" w:rsidR="00695E4B" w:rsidRDefault="00695E4B" w:rsidP="00695E4B"/>
    <w:p w14:paraId="0106B05A" w14:textId="48CE0F69" w:rsidR="00A34154" w:rsidRDefault="00BD624E" w:rsidP="00695E4B">
      <w:pPr>
        <w:rPr>
          <w:lang w:val="en-GB"/>
        </w:rPr>
      </w:pPr>
      <w:r>
        <w:t xml:space="preserve">As analyzed in </w:t>
      </w:r>
      <w:r w:rsidR="00F26E4C">
        <w:t>our previous paper</w:t>
      </w:r>
      <w:r w:rsidR="00FB75FB">
        <w:t xml:space="preserve"> </w:t>
      </w:r>
      <w:r w:rsidR="00B23D53">
        <w:fldChar w:fldCharType="begin"/>
      </w:r>
      <w:r w:rsidR="00B23D53">
        <w:instrText xml:space="preserve"> REF _Ref134706746 \r \h </w:instrText>
      </w:r>
      <w:r w:rsidR="00B23D53">
        <w:fldChar w:fldCharType="separate"/>
      </w:r>
      <w:r w:rsidR="008E66F1">
        <w:t>[4]</w:t>
      </w:r>
      <w:r w:rsidR="00B23D53">
        <w:fldChar w:fldCharType="end"/>
      </w:r>
      <w:r w:rsidR="00F26E4C">
        <w:t xml:space="preserve">, the </w:t>
      </w:r>
      <w:proofErr w:type="spellStart"/>
      <w:r w:rsidR="00F26E4C">
        <w:t>LoS</w:t>
      </w:r>
      <w:proofErr w:type="spellEnd"/>
      <w:r w:rsidR="00F26E4C">
        <w:t xml:space="preserve"> components of signal from the open-space RRH can be blocked by the tunnel outer surfaces. In the worst case when the open-space RRH follows Scenario B deployment parameters, the</w:t>
      </w:r>
      <w:r w:rsidR="00246503">
        <w:t xml:space="preserve"> </w:t>
      </w:r>
      <w:proofErr w:type="spellStart"/>
      <w:r w:rsidR="00246503">
        <w:t>LoS</w:t>
      </w:r>
      <w:proofErr w:type="spellEnd"/>
      <w:r w:rsidR="00246503">
        <w:t xml:space="preserve"> signal can only travel up to tens of meters inside the tunnel. </w:t>
      </w:r>
      <w:r w:rsidR="00B033A2">
        <w:t>It is worth noting that the PDCCH which carries the HO command in practice is</w:t>
      </w:r>
      <w:r w:rsidR="00B033A2" w:rsidRPr="003B71AD">
        <w:rPr>
          <w:lang w:val="en-GB"/>
        </w:rPr>
        <w:t xml:space="preserve"> error prone in low SINR conditions</w:t>
      </w:r>
      <w:r w:rsidR="00B033A2">
        <w:rPr>
          <w:lang w:val="en-GB"/>
        </w:rPr>
        <w:t>. This implies</w:t>
      </w:r>
      <w:r w:rsidR="00602AB6">
        <w:rPr>
          <w:lang w:val="en-GB"/>
        </w:rPr>
        <w:t xml:space="preserve"> that</w:t>
      </w:r>
      <w:r w:rsidR="00B033A2">
        <w:rPr>
          <w:lang w:val="en-GB"/>
        </w:rPr>
        <w:t xml:space="preserve"> there are potentially radio link failure</w:t>
      </w:r>
      <w:r w:rsidR="00CB495A">
        <w:rPr>
          <w:lang w:val="en-GB"/>
        </w:rPr>
        <w:t xml:space="preserve"> (RLF)</w:t>
      </w:r>
      <w:r w:rsidR="00B033A2">
        <w:rPr>
          <w:lang w:val="en-GB"/>
        </w:rPr>
        <w:t xml:space="preserve"> and HO failure issue at the tunnel entrance</w:t>
      </w:r>
      <w:r w:rsidR="00AA3FAD">
        <w:rPr>
          <w:lang w:val="en-GB"/>
        </w:rPr>
        <w:t xml:space="preserve"> if the HO is trigger</w:t>
      </w:r>
      <w:r w:rsidR="00CB495A">
        <w:rPr>
          <w:lang w:val="en-GB"/>
        </w:rPr>
        <w:t>ed</w:t>
      </w:r>
      <w:r w:rsidR="00AA3FAD">
        <w:rPr>
          <w:lang w:val="en-GB"/>
        </w:rPr>
        <w:t xml:space="preserve"> at further distance behind the source RRH</w:t>
      </w:r>
      <w:r w:rsidR="00D40F98">
        <w:rPr>
          <w:lang w:val="en-GB"/>
        </w:rPr>
        <w:t xml:space="preserve"> </w:t>
      </w:r>
      <w:r w:rsidR="00A34154">
        <w:rPr>
          <w:lang w:val="en-GB"/>
        </w:rPr>
        <w:t xml:space="preserve">at the tunnel entrance </w:t>
      </w:r>
      <w:r w:rsidR="00A32556">
        <w:rPr>
          <w:lang w:val="en-GB"/>
        </w:rPr>
        <w:t xml:space="preserve">in Uni-directional deployment </w:t>
      </w:r>
      <w:r w:rsidR="00D40F98">
        <w:rPr>
          <w:lang w:val="en-GB"/>
        </w:rPr>
        <w:t xml:space="preserve">when </w:t>
      </w:r>
      <w:r w:rsidR="00AA0F7D">
        <w:rPr>
          <w:lang w:val="en-GB"/>
        </w:rPr>
        <w:t>the train</w:t>
      </w:r>
      <w:r w:rsidR="00854C4F">
        <w:rPr>
          <w:lang w:val="en-GB"/>
        </w:rPr>
        <w:t xml:space="preserve"> is travelling same direction as </w:t>
      </w:r>
      <w:r w:rsidR="00A34154">
        <w:rPr>
          <w:lang w:val="en-GB"/>
        </w:rPr>
        <w:t xml:space="preserve">the beam orientation </w:t>
      </w:r>
      <w:r w:rsidR="00AA0F7D">
        <w:rPr>
          <w:lang w:val="en-GB"/>
        </w:rPr>
        <w:t>enters the tunnel</w:t>
      </w:r>
      <w:r w:rsidR="00AA3FAD">
        <w:rPr>
          <w:lang w:val="en-GB"/>
        </w:rPr>
        <w:t>.</w:t>
      </w:r>
    </w:p>
    <w:p w14:paraId="0A5F6CB3" w14:textId="78A81B13" w:rsidR="00067A39" w:rsidRDefault="00B033A2" w:rsidP="00695E4B">
      <w:pPr>
        <w:rPr>
          <w:lang w:val="en-GB"/>
        </w:rPr>
      </w:pPr>
      <w:r>
        <w:rPr>
          <w:lang w:val="en-GB"/>
        </w:rPr>
        <w:t>Similar issue could occur at the tunnel exit when the train is travel opposite to beams orientation in which the UE/CPE may not see the signal from the target RRHs early enough to make the HO</w:t>
      </w:r>
      <w:r w:rsidR="00602AB6">
        <w:rPr>
          <w:lang w:val="en-GB"/>
        </w:rPr>
        <w:t xml:space="preserve"> (</w:t>
      </w:r>
      <w:proofErr w:type="gramStart"/>
      <w:r w:rsidR="00602AB6">
        <w:rPr>
          <w:lang w:val="en-GB"/>
        </w:rPr>
        <w:t>assuming that</w:t>
      </w:r>
      <w:proofErr w:type="gramEnd"/>
      <w:r w:rsidR="00602AB6">
        <w:rPr>
          <w:lang w:val="en-GB"/>
        </w:rPr>
        <w:t xml:space="preserve"> the UE has some mechanism to do early HO).</w:t>
      </w:r>
    </w:p>
    <w:p w14:paraId="1DC1711F" w14:textId="3107E0C5" w:rsidR="00B033A2" w:rsidRPr="00B033A2" w:rsidRDefault="00B033A2" w:rsidP="00695E4B">
      <w:pPr>
        <w:rPr>
          <w:lang w:val="en-GB"/>
        </w:rPr>
      </w:pPr>
      <w:r>
        <w:rPr>
          <w:lang w:val="en-GB"/>
        </w:rPr>
        <w:t xml:space="preserve">Our analysis above was confirmed by the system simulation results reported in the accompanying paper </w:t>
      </w:r>
      <w:r w:rsidR="00C943C0">
        <w:rPr>
          <w:lang w:val="en-GB"/>
        </w:rPr>
        <w:fldChar w:fldCharType="begin"/>
      </w:r>
      <w:r w:rsidR="00C943C0">
        <w:rPr>
          <w:lang w:val="en-GB"/>
        </w:rPr>
        <w:instrText xml:space="preserve"> REF _Ref134706966 \r \h </w:instrText>
      </w:r>
      <w:r w:rsidR="00C943C0">
        <w:rPr>
          <w:lang w:val="en-GB"/>
        </w:rPr>
      </w:r>
      <w:r w:rsidR="00C943C0">
        <w:rPr>
          <w:lang w:val="en-GB"/>
        </w:rPr>
        <w:fldChar w:fldCharType="separate"/>
      </w:r>
      <w:r w:rsidR="008E66F1">
        <w:rPr>
          <w:lang w:val="en-GB"/>
        </w:rPr>
        <w:t>[5]</w:t>
      </w:r>
      <w:r w:rsidR="00C943C0">
        <w:rPr>
          <w:lang w:val="en-GB"/>
        </w:rPr>
        <w:fldChar w:fldCharType="end"/>
      </w:r>
      <w:r w:rsidR="00067A39">
        <w:rPr>
          <w:lang w:val="en-GB"/>
        </w:rPr>
        <w:t>, where we showed that the mobility failure rate increase</w:t>
      </w:r>
      <w:r w:rsidR="002A3D9E">
        <w:rPr>
          <w:lang w:val="en-GB"/>
        </w:rPr>
        <w:t>s</w:t>
      </w:r>
      <w:r w:rsidR="00067A39">
        <w:rPr>
          <w:lang w:val="en-GB"/>
        </w:rPr>
        <w:t xml:space="preserve"> if </w:t>
      </w:r>
      <w:proofErr w:type="spellStart"/>
      <w:r w:rsidR="00067A39">
        <w:rPr>
          <w:lang w:val="en-GB"/>
        </w:rPr>
        <w:t>NLoS</w:t>
      </w:r>
      <w:proofErr w:type="spellEnd"/>
      <w:r w:rsidR="00067A39">
        <w:rPr>
          <w:lang w:val="en-GB"/>
        </w:rPr>
        <w:t xml:space="preserve"> condition </w:t>
      </w:r>
      <w:proofErr w:type="spellStart"/>
      <w:r w:rsidR="00067A39">
        <w:rPr>
          <w:lang w:val="en-GB"/>
        </w:rPr>
        <w:t>w.r.t.</w:t>
      </w:r>
      <w:proofErr w:type="spellEnd"/>
      <w:r w:rsidR="00067A39">
        <w:rPr>
          <w:lang w:val="en-GB"/>
        </w:rPr>
        <w:t xml:space="preserve"> source transmit signal is considered tens to one hundred meters behind the target RRH.</w:t>
      </w:r>
    </w:p>
    <w:p w14:paraId="787BFCCF" w14:textId="41671D09" w:rsidR="00BD624E" w:rsidRDefault="00067A39" w:rsidP="00695E4B">
      <w:r>
        <w:t>We also pointed out that the issue is potentially solved by</w:t>
      </w:r>
      <w:r w:rsidR="00BD624E">
        <w:t xml:space="preserve"> implementation</w:t>
      </w:r>
      <w:r>
        <w:t xml:space="preserve"> solution, i.e., by deploying an open space RRH close the track next the tunnel entrance.</w:t>
      </w:r>
    </w:p>
    <w:p w14:paraId="2BD1C780" w14:textId="67192879" w:rsidR="00167F6C" w:rsidRDefault="00167F6C" w:rsidP="00695E4B">
      <w:pPr>
        <w:pStyle w:val="RAN4observation0"/>
      </w:pPr>
      <w:bookmarkStart w:id="7" w:name="_Toc135077478"/>
      <w:r>
        <w:t xml:space="preserve">The mobility issue may occur at the tunnel entrance/exit due to the signal blockage caused by tunnel outer surface. </w:t>
      </w:r>
      <w:r w:rsidR="00DD409D">
        <w:t>Nevertheless, such issue</w:t>
      </w:r>
      <w:r>
        <w:t xml:space="preserve"> can be resolved by deployment approach, i.e., by deploying an open space RRH close the track next the tunnel entrance. Therefore, new RRM requirements are not needed.</w:t>
      </w:r>
      <w:bookmarkEnd w:id="7"/>
    </w:p>
    <w:p w14:paraId="70E0314E" w14:textId="316C7C6F" w:rsidR="00BD624E" w:rsidRDefault="00067A39" w:rsidP="00695E4B">
      <w:r>
        <w:t xml:space="preserve">As the issue can be resolved by </w:t>
      </w:r>
      <w:r w:rsidR="00602AB6">
        <w:t>a</w:t>
      </w:r>
      <w:r w:rsidR="00E53F60">
        <w:t xml:space="preserve"> </w:t>
      </w:r>
      <w:r>
        <w:t>deployment</w:t>
      </w:r>
      <w:r w:rsidR="00E53F60">
        <w:t>-based</w:t>
      </w:r>
      <w:r>
        <w:t xml:space="preserve"> approach, </w:t>
      </w:r>
      <w:r w:rsidR="00B95B51">
        <w:t xml:space="preserve">new </w:t>
      </w:r>
      <w:r>
        <w:t xml:space="preserve">RRM requirements are not needed to be defined. However, </w:t>
      </w:r>
      <w:r w:rsidR="00E53F60">
        <w:t>since the</w:t>
      </w:r>
      <w:r w:rsidR="00167F6C">
        <w:t xml:space="preserve"> deployment at the entrance/exit of the tunnel may cause</w:t>
      </w:r>
      <w:r w:rsidR="00E53F60">
        <w:t xml:space="preserve"> </w:t>
      </w:r>
      <w:r w:rsidR="00167F6C">
        <w:t>mobility issue</w:t>
      </w:r>
      <w:r w:rsidR="00E56547">
        <w:t xml:space="preserve"> in realistic</w:t>
      </w:r>
      <w:r w:rsidR="00167F6C">
        <w:t xml:space="preserve"> if enough attention is not paid</w:t>
      </w:r>
      <w:r w:rsidR="00E53F60">
        <w:t>, hence</w:t>
      </w:r>
      <w:r w:rsidR="00167F6C">
        <w:t xml:space="preserve">, we propose to capture this issue in the technical report dedicated for this WI. </w:t>
      </w:r>
    </w:p>
    <w:p w14:paraId="4C6AB720" w14:textId="3F522E42" w:rsidR="00BD624E" w:rsidRDefault="00BD624E" w:rsidP="00BD624E">
      <w:pPr>
        <w:pStyle w:val="RAN4proposal"/>
        <w:rPr>
          <w:rFonts w:eastAsia="Calibri" w:cs="Times New Roman"/>
        </w:rPr>
      </w:pPr>
      <w:bookmarkStart w:id="8" w:name="_Toc135077479"/>
      <w:r>
        <w:t>RAN4 to capture the assumption on deployments at the tunnel entrance/exit in the</w:t>
      </w:r>
      <w:r w:rsidR="00F4462D">
        <w:t xml:space="preserve"> TR on HST FR2</w:t>
      </w:r>
      <w:r w:rsidR="00763396">
        <w:rPr>
          <w:rFonts w:eastAsia="Calibri" w:cs="Times New Roman"/>
        </w:rPr>
        <w:t>.</w:t>
      </w:r>
      <w:bookmarkEnd w:id="8"/>
    </w:p>
    <w:p w14:paraId="157BE6EF" w14:textId="77777777" w:rsidR="00080C89" w:rsidRPr="00080C89" w:rsidRDefault="00080C89" w:rsidP="00080C89"/>
    <w:p w14:paraId="23D35979" w14:textId="7C614776" w:rsidR="00695E4B" w:rsidRDefault="00695E4B" w:rsidP="00695E4B">
      <w:pPr>
        <w:pStyle w:val="RAN4H2"/>
      </w:pPr>
      <w:r>
        <w:t>Mobility issues in tunnel deployment</w:t>
      </w:r>
    </w:p>
    <w:p w14:paraId="7D07236B" w14:textId="5B7D9161" w:rsidR="00E76733" w:rsidRPr="00421094" w:rsidRDefault="00E76733" w:rsidP="00E76733">
      <w:r>
        <w:t xml:space="preserve">RAN4#106bis-e kept discussing the potential solutions for the mobility issue seen in </w:t>
      </w:r>
      <w:r w:rsidR="007307F9">
        <w:t>U</w:t>
      </w:r>
      <w:r>
        <w:t>ni-directional deployment inside the tunnel when the train is moving opposite to the serving beam orientation</w:t>
      </w:r>
      <w:r w:rsidR="003D6DFF">
        <w:t xml:space="preserve"> (so-called Uni-directional “</w:t>
      </w:r>
      <w:proofErr w:type="spellStart"/>
      <w:r w:rsidR="003D6DFF">
        <w:t>Opp</w:t>
      </w:r>
      <w:proofErr w:type="spellEnd"/>
      <w:r w:rsidR="003D6DFF">
        <w:t>” deployment)</w:t>
      </w:r>
      <w:r>
        <w:t xml:space="preserve">. However, the consensus has not </w:t>
      </w:r>
      <w:r w:rsidR="003D6DFF">
        <w:t xml:space="preserve">yet </w:t>
      </w:r>
      <w:r>
        <w:t>been reached</w:t>
      </w:r>
      <w:r w:rsidR="003D6DFF">
        <w:t xml:space="preserve">, </w:t>
      </w:r>
      <w:r>
        <w:t xml:space="preserve">and the following options are </w:t>
      </w:r>
      <w:r w:rsidR="007307F9">
        <w:t xml:space="preserve">still </w:t>
      </w:r>
      <w:r>
        <w:t xml:space="preserve">open: </w:t>
      </w:r>
    </w:p>
    <w:tbl>
      <w:tblPr>
        <w:tblStyle w:val="TableGrid1"/>
        <w:tblW w:w="0" w:type="auto"/>
        <w:jc w:val="center"/>
        <w:tblInd w:w="0" w:type="dxa"/>
        <w:tblLook w:val="04A0" w:firstRow="1" w:lastRow="0" w:firstColumn="1" w:lastColumn="0" w:noHBand="0" w:noVBand="1"/>
      </w:tblPr>
      <w:tblGrid>
        <w:gridCol w:w="9000"/>
      </w:tblGrid>
      <w:tr w:rsidR="00E76733" w14:paraId="7E540B0E" w14:textId="77777777" w:rsidTr="00047E9E">
        <w:trPr>
          <w:jc w:val="center"/>
        </w:trPr>
        <w:tc>
          <w:tcPr>
            <w:tcW w:w="9000" w:type="dxa"/>
            <w:tcBorders>
              <w:top w:val="single" w:sz="4" w:space="0" w:color="auto"/>
              <w:left w:val="single" w:sz="4" w:space="0" w:color="auto"/>
              <w:bottom w:val="single" w:sz="4" w:space="0" w:color="auto"/>
              <w:right w:val="single" w:sz="4" w:space="0" w:color="auto"/>
            </w:tcBorders>
            <w:hideMark/>
          </w:tcPr>
          <w:p w14:paraId="577ECE67" w14:textId="77777777" w:rsidR="00E76733" w:rsidRPr="005F09D4" w:rsidRDefault="00E76733" w:rsidP="00E76733">
            <w:pPr>
              <w:rPr>
                <w:rFonts w:eastAsiaTheme="minorEastAsia"/>
                <w:b/>
                <w:bCs/>
                <w:iCs/>
                <w:u w:val="single"/>
                <w:lang w:eastAsia="zh-CN"/>
              </w:rPr>
            </w:pPr>
            <w:r w:rsidRPr="005F09D4">
              <w:rPr>
                <w:rFonts w:eastAsiaTheme="minorEastAsia"/>
                <w:b/>
                <w:bCs/>
                <w:iCs/>
                <w:u w:val="single"/>
                <w:lang w:eastAsia="zh-CN"/>
              </w:rPr>
              <w:t>Issue 2-1-</w:t>
            </w:r>
            <w:r>
              <w:rPr>
                <w:rFonts w:eastAsiaTheme="minorEastAsia"/>
                <w:b/>
                <w:bCs/>
                <w:iCs/>
                <w:u w:val="single"/>
                <w:lang w:eastAsia="zh-CN"/>
              </w:rPr>
              <w:t>3</w:t>
            </w:r>
            <w:r w:rsidRPr="005F09D4">
              <w:rPr>
                <w:rFonts w:eastAsiaTheme="minorEastAsia"/>
                <w:b/>
                <w:bCs/>
                <w:iCs/>
                <w:u w:val="single"/>
                <w:lang w:eastAsia="zh-CN"/>
              </w:rPr>
              <w:t xml:space="preserve">: </w:t>
            </w:r>
            <w:r w:rsidRPr="00C7240B">
              <w:rPr>
                <w:rFonts w:eastAsiaTheme="minorEastAsia"/>
                <w:b/>
                <w:bCs/>
                <w:iCs/>
                <w:u w:val="single"/>
                <w:lang w:eastAsia="zh-CN"/>
              </w:rPr>
              <w:t>Solution to the mobility issue in the tunnel</w:t>
            </w:r>
          </w:p>
          <w:p w14:paraId="40F3576D" w14:textId="77777777" w:rsidR="007307F9" w:rsidRDefault="007307F9" w:rsidP="00E76733">
            <w:pPr>
              <w:rPr>
                <w:b/>
                <w:lang w:eastAsia="zh-CN"/>
              </w:rPr>
            </w:pPr>
          </w:p>
          <w:p w14:paraId="63F8B684" w14:textId="7B3F2820" w:rsidR="00E76733" w:rsidRPr="00E76733" w:rsidRDefault="00E76733" w:rsidP="00E76733">
            <w:pPr>
              <w:rPr>
                <w:lang w:eastAsia="zh-CN"/>
              </w:rPr>
            </w:pPr>
            <w:r>
              <w:rPr>
                <w:b/>
                <w:lang w:eastAsia="zh-CN"/>
              </w:rPr>
              <w:t>Way forward:</w:t>
            </w:r>
          </w:p>
          <w:p w14:paraId="42E1F7FA" w14:textId="3416A65B" w:rsidR="00E76733" w:rsidRPr="004C0F32" w:rsidRDefault="00E76733" w:rsidP="00E76733">
            <w:pPr>
              <w:pStyle w:val="ListParagraph"/>
              <w:numPr>
                <w:ilvl w:val="0"/>
                <w:numId w:val="31"/>
              </w:numPr>
              <w:overflowPunct w:val="0"/>
              <w:autoSpaceDE w:val="0"/>
              <w:autoSpaceDN w:val="0"/>
              <w:adjustRightInd w:val="0"/>
              <w:spacing w:after="180"/>
              <w:contextualSpacing w:val="0"/>
              <w:textAlignment w:val="baseline"/>
              <w:rPr>
                <w:rFonts w:eastAsiaTheme="minorEastAsia"/>
                <w:iCs/>
                <w:lang w:eastAsia="zh-CN"/>
              </w:rPr>
            </w:pPr>
            <w:r w:rsidRPr="004C0F32">
              <w:rPr>
                <w:rFonts w:eastAsiaTheme="minorEastAsia"/>
                <w:iCs/>
                <w:lang w:eastAsia="zh-CN"/>
              </w:rPr>
              <w:t>FFS possible solution to the mobility issue inside the tunnel when CPE is travelling in the direction opposite to the serving beam:</w:t>
            </w:r>
          </w:p>
          <w:p w14:paraId="71F307D6" w14:textId="77777777" w:rsidR="00E76733" w:rsidRPr="00BB5F61" w:rsidRDefault="00E76733" w:rsidP="00E76733">
            <w:pPr>
              <w:pStyle w:val="ListParagraph"/>
              <w:numPr>
                <w:ilvl w:val="1"/>
                <w:numId w:val="30"/>
              </w:numPr>
              <w:overflowPunct w:val="0"/>
              <w:autoSpaceDE w:val="0"/>
              <w:autoSpaceDN w:val="0"/>
              <w:adjustRightInd w:val="0"/>
              <w:spacing w:after="180"/>
              <w:contextualSpacing w:val="0"/>
              <w:textAlignment w:val="baseline"/>
              <w:rPr>
                <w:rFonts w:eastAsiaTheme="minorEastAsia"/>
                <w:iCs/>
                <w:lang w:eastAsia="zh-CN"/>
              </w:rPr>
            </w:pPr>
            <w:r w:rsidRPr="00BB5F61">
              <w:rPr>
                <w:rFonts w:eastAsiaTheme="minorEastAsia"/>
                <w:iCs/>
                <w:lang w:eastAsia="zh-CN"/>
              </w:rPr>
              <w:t>Option 2: Solutions that allow network to trigger early handover/beam switch</w:t>
            </w:r>
          </w:p>
          <w:p w14:paraId="13808AAA" w14:textId="77777777" w:rsidR="00E76733" w:rsidRPr="00BB5F61" w:rsidRDefault="00E76733" w:rsidP="00E76733">
            <w:pPr>
              <w:pStyle w:val="ListParagraph"/>
              <w:numPr>
                <w:ilvl w:val="1"/>
                <w:numId w:val="30"/>
              </w:numPr>
              <w:overflowPunct w:val="0"/>
              <w:autoSpaceDE w:val="0"/>
              <w:autoSpaceDN w:val="0"/>
              <w:adjustRightInd w:val="0"/>
              <w:spacing w:after="180"/>
              <w:contextualSpacing w:val="0"/>
              <w:textAlignment w:val="baseline"/>
              <w:rPr>
                <w:rFonts w:eastAsiaTheme="minorEastAsia"/>
                <w:iCs/>
                <w:lang w:eastAsia="zh-CN"/>
              </w:rPr>
            </w:pPr>
            <w:r w:rsidRPr="00BB5F61">
              <w:rPr>
                <w:rFonts w:eastAsiaTheme="minorEastAsia"/>
                <w:iCs/>
                <w:lang w:eastAsia="zh-CN"/>
              </w:rPr>
              <w:t>Option 2a: Enabling CHO with special settings next to the RRH</w:t>
            </w:r>
          </w:p>
          <w:p w14:paraId="45546137" w14:textId="77777777" w:rsidR="00E76733" w:rsidRPr="00BB5F61" w:rsidRDefault="00E76733" w:rsidP="00E76733">
            <w:pPr>
              <w:pStyle w:val="ListParagraph"/>
              <w:numPr>
                <w:ilvl w:val="1"/>
                <w:numId w:val="30"/>
              </w:numPr>
              <w:overflowPunct w:val="0"/>
              <w:autoSpaceDE w:val="0"/>
              <w:autoSpaceDN w:val="0"/>
              <w:adjustRightInd w:val="0"/>
              <w:spacing w:after="180"/>
              <w:contextualSpacing w:val="0"/>
              <w:textAlignment w:val="baseline"/>
              <w:rPr>
                <w:rFonts w:eastAsiaTheme="minorEastAsia"/>
                <w:iCs/>
                <w:lang w:eastAsia="zh-CN"/>
              </w:rPr>
            </w:pPr>
            <w:r w:rsidRPr="00BB5F61">
              <w:rPr>
                <w:rFonts w:eastAsiaTheme="minorEastAsia"/>
                <w:iCs/>
                <w:lang w:eastAsia="zh-CN"/>
              </w:rPr>
              <w:t>Option 3: UE-initiated beam selection/activation based on beam measurement</w:t>
            </w:r>
          </w:p>
          <w:p w14:paraId="5122636E" w14:textId="77777777" w:rsidR="00E76733" w:rsidRPr="00BB5F61" w:rsidRDefault="00E76733" w:rsidP="00E76733">
            <w:pPr>
              <w:pStyle w:val="ListParagraph"/>
              <w:numPr>
                <w:ilvl w:val="1"/>
                <w:numId w:val="30"/>
              </w:numPr>
              <w:overflowPunct w:val="0"/>
              <w:autoSpaceDE w:val="0"/>
              <w:autoSpaceDN w:val="0"/>
              <w:adjustRightInd w:val="0"/>
              <w:spacing w:after="180"/>
              <w:contextualSpacing w:val="0"/>
              <w:textAlignment w:val="baseline"/>
              <w:rPr>
                <w:rFonts w:eastAsiaTheme="minorEastAsia"/>
                <w:iCs/>
                <w:lang w:eastAsia="zh-CN"/>
              </w:rPr>
            </w:pPr>
            <w:r w:rsidRPr="00BB5F61">
              <w:rPr>
                <w:rFonts w:eastAsiaTheme="minorEastAsia"/>
                <w:iCs/>
                <w:lang w:eastAsia="zh-CN"/>
              </w:rPr>
              <w:t>Option 5: No need to introduce new mechanism for mobility issue when the train is travelling opposite to the serving beam orientation</w:t>
            </w:r>
          </w:p>
          <w:p w14:paraId="3E3B2700" w14:textId="2AC1507D" w:rsidR="00E76733" w:rsidRPr="008F369C" w:rsidRDefault="00E76733" w:rsidP="00E76733">
            <w:pPr>
              <w:pStyle w:val="ListParagraph"/>
              <w:numPr>
                <w:ilvl w:val="1"/>
                <w:numId w:val="30"/>
              </w:numPr>
              <w:overflowPunct w:val="0"/>
              <w:autoSpaceDE w:val="0"/>
              <w:autoSpaceDN w:val="0"/>
              <w:adjustRightInd w:val="0"/>
              <w:spacing w:after="180"/>
              <w:contextualSpacing w:val="0"/>
              <w:textAlignment w:val="baseline"/>
            </w:pPr>
            <w:r w:rsidRPr="00BB5F61">
              <w:rPr>
                <w:rFonts w:eastAsiaTheme="minorEastAsia"/>
                <w:iCs/>
                <w:lang w:eastAsia="zh-CN"/>
              </w:rPr>
              <w:lastRenderedPageBreak/>
              <w:t>Option 6: Consider bi-directional deployment with simultaneous multi-panel reception in the tunnel scenario to alleviate the mobility issues.</w:t>
            </w:r>
          </w:p>
        </w:tc>
      </w:tr>
    </w:tbl>
    <w:p w14:paraId="5240BBC7" w14:textId="6C0007F3" w:rsidR="00D63D35" w:rsidRDefault="00D63D35" w:rsidP="00D63D35"/>
    <w:p w14:paraId="07B31BA9" w14:textId="77777777" w:rsidR="0081409B" w:rsidRDefault="003D6DFF" w:rsidP="00D63D35">
      <w:r>
        <w:t xml:space="preserve">We first highlighted that the </w:t>
      </w:r>
      <w:r w:rsidR="00F7374C">
        <w:t>Uni-directional “</w:t>
      </w:r>
      <w:proofErr w:type="spellStart"/>
      <w:r w:rsidR="00F7374C">
        <w:t>Opp</w:t>
      </w:r>
      <w:proofErr w:type="spellEnd"/>
      <w:r w:rsidR="00F7374C">
        <w:t>” deployment will not work in the tunnel case.</w:t>
      </w:r>
      <w:r w:rsidR="00F54FC9">
        <w:t xml:space="preserve"> </w:t>
      </w:r>
      <w:r w:rsidR="007440E1">
        <w:t xml:space="preserve"> </w:t>
      </w:r>
      <w:r w:rsidR="00F7374C">
        <w:t>Thus, solution for this issue needs to be defined to ensure mobility robustness inside the tunnel for different use cases (e.g., different train travelling direction).</w:t>
      </w:r>
    </w:p>
    <w:p w14:paraId="601E1AF8" w14:textId="53937543" w:rsidR="00337E11" w:rsidRDefault="0081409B" w:rsidP="00D63D35">
      <w:r>
        <w:t xml:space="preserve">Taking closer look to RSRP trace in </w:t>
      </w:r>
      <w:r w:rsidR="00CB2250">
        <w:fldChar w:fldCharType="begin"/>
      </w:r>
      <w:r w:rsidR="00CB2250">
        <w:instrText xml:space="preserve"> REF _Ref134698707 \h </w:instrText>
      </w:r>
      <w:r w:rsidR="00CB2250">
        <w:fldChar w:fldCharType="separate"/>
      </w:r>
      <w:r w:rsidR="008E66F1">
        <w:t xml:space="preserve">Figure </w:t>
      </w:r>
      <w:r w:rsidR="008E66F1">
        <w:rPr>
          <w:noProof/>
        </w:rPr>
        <w:t>1</w:t>
      </w:r>
      <w:r w:rsidR="00CB2250">
        <w:fldChar w:fldCharType="end"/>
      </w:r>
      <w:r>
        <w:t>, one can see that the HO is triggered when the UE is right below RRH when there is no coverage from the source RRH as such a successful HO cannot be achieved, and the UE will stay outage until new cell selection is triggered.</w:t>
      </w:r>
    </w:p>
    <w:p w14:paraId="0F8EBB39" w14:textId="77777777" w:rsidR="005C02F1" w:rsidRDefault="0043203D" w:rsidP="005C02F1">
      <w:pPr>
        <w:pStyle w:val="Caption"/>
      </w:pPr>
      <w:r>
        <w:rPr>
          <w:noProof/>
          <w:lang w:val="en-GB"/>
        </w:rPr>
        <w:drawing>
          <wp:inline distT="0" distB="0" distL="0" distR="0" wp14:anchorId="64928ED5" wp14:editId="1552E86E">
            <wp:extent cx="3209343" cy="2407006"/>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pic:nvPicPr>
                  <pic:blipFill>
                    <a:blip r:embed="rId13"/>
                    <a:stretch>
                      <a:fillRect/>
                    </a:stretch>
                  </pic:blipFill>
                  <pic:spPr>
                    <a:xfrm>
                      <a:off x="0" y="0"/>
                      <a:ext cx="3222261" cy="2416694"/>
                    </a:xfrm>
                    <a:prstGeom prst="rect">
                      <a:avLst/>
                    </a:prstGeom>
                  </pic:spPr>
                </pic:pic>
              </a:graphicData>
            </a:graphic>
          </wp:inline>
        </w:drawing>
      </w:r>
    </w:p>
    <w:p w14:paraId="2982FE83" w14:textId="6D70D5B7" w:rsidR="005C02F1" w:rsidRDefault="005C02F1" w:rsidP="005C02F1">
      <w:pPr>
        <w:pStyle w:val="Caption"/>
      </w:pPr>
      <w:bookmarkStart w:id="9" w:name="_Ref134698707"/>
      <w:r>
        <w:t xml:space="preserve">Figure </w:t>
      </w:r>
      <w:fldSimple w:instr=" SEQ Figure \* ARABIC ">
        <w:r w:rsidR="008E66F1">
          <w:rPr>
            <w:noProof/>
          </w:rPr>
          <w:t>1</w:t>
        </w:r>
      </w:fldSimple>
      <w:bookmarkEnd w:id="9"/>
      <w:r>
        <w:t xml:space="preserve">: </w:t>
      </w:r>
      <w:r w:rsidR="002661A9">
        <w:t>RSRP trace when the train is approaching the serving RRH from the opposite direction of the serving beam</w:t>
      </w:r>
    </w:p>
    <w:p w14:paraId="483BEB29" w14:textId="1E5FDEED" w:rsidR="00337E11" w:rsidRDefault="007465A5" w:rsidP="00D63D35">
      <w:r>
        <w:t>Therefore</w:t>
      </w:r>
      <w:r w:rsidR="00F7374C">
        <w:t>, there are</w:t>
      </w:r>
      <w:r w:rsidR="00010AFB">
        <w:t xml:space="preserve"> in general</w:t>
      </w:r>
      <w:r w:rsidR="00F7374C">
        <w:t xml:space="preserve"> two approaches which can potentially resolve the issue, i.e., either </w:t>
      </w:r>
    </w:p>
    <w:p w14:paraId="2E749C38" w14:textId="47F73B6A" w:rsidR="00337E11" w:rsidRDefault="00337E11" w:rsidP="00656435">
      <w:pPr>
        <w:pStyle w:val="ListParagraph"/>
        <w:numPr>
          <w:ilvl w:val="0"/>
          <w:numId w:val="34"/>
        </w:numPr>
      </w:pPr>
      <w:r w:rsidRPr="006B460E">
        <w:rPr>
          <w:b/>
          <w:bCs/>
        </w:rPr>
        <w:t>triggering</w:t>
      </w:r>
      <w:r w:rsidR="00F7374C" w:rsidRPr="006B460E">
        <w:rPr>
          <w:b/>
          <w:bCs/>
        </w:rPr>
        <w:t xml:space="preserve"> early HO/beam </w:t>
      </w:r>
      <w:proofErr w:type="gramStart"/>
      <w:r w:rsidR="00F7374C" w:rsidRPr="006B460E">
        <w:rPr>
          <w:b/>
          <w:bCs/>
        </w:rPr>
        <w:t>switch</w:t>
      </w:r>
      <w:r w:rsidR="00CD44D5" w:rsidRPr="006B460E">
        <w:rPr>
          <w:b/>
          <w:bCs/>
        </w:rPr>
        <w:t>ing</w:t>
      </w:r>
      <w:r w:rsidR="009B440F">
        <w:t>:</w:t>
      </w:r>
      <w:proofErr w:type="gramEnd"/>
      <w:r w:rsidR="009B440F">
        <w:t xml:space="preserve"> allows the UE connecting to the target beam before the quality of communication between the network and the UE gets worse or even lost, as such increases successful HO/beam switching rates</w:t>
      </w:r>
      <w:r w:rsidR="00F41A2D">
        <w:t>.</w:t>
      </w:r>
      <w:r w:rsidR="00AC2DAC">
        <w:t xml:space="preserve"> This means </w:t>
      </w:r>
      <w:r w:rsidR="004906D2">
        <w:t>the HO/beam switch is</w:t>
      </w:r>
      <w:r w:rsidR="00AC2DAC">
        <w:t xml:space="preserve"> forced to</w:t>
      </w:r>
      <w:r w:rsidR="004906D2">
        <w:t xml:space="preserve"> </w:t>
      </w:r>
      <w:r w:rsidR="00AC2DAC">
        <w:t xml:space="preserve">be </w:t>
      </w:r>
      <w:r w:rsidR="004906D2">
        <w:t>execute</w:t>
      </w:r>
      <w:r w:rsidR="00AC2DAC">
        <w:t>d before conventional trigger</w:t>
      </w:r>
      <w:r w:rsidR="00656435">
        <w:t>ing</w:t>
      </w:r>
      <w:r w:rsidR="00AC2DAC">
        <w:t xml:space="preserve"> conditions (e.g., target cell/beam signal quality is an offset above th</w:t>
      </w:r>
      <w:r w:rsidR="00A707ED">
        <w:t xml:space="preserve">at of the </w:t>
      </w:r>
      <w:r w:rsidR="00AC2DAC">
        <w:t xml:space="preserve">source) are met. </w:t>
      </w:r>
      <w:r w:rsidR="00911AB3" w:rsidRPr="006B460E">
        <w:rPr>
          <w:b/>
          <w:bCs/>
        </w:rPr>
        <w:t xml:space="preserve">This is the main ideas </w:t>
      </w:r>
      <w:r w:rsidR="00656435" w:rsidRPr="006B460E">
        <w:rPr>
          <w:b/>
          <w:bCs/>
        </w:rPr>
        <w:t>behind the</w:t>
      </w:r>
      <w:r w:rsidR="00911AB3" w:rsidRPr="006B460E">
        <w:rPr>
          <w:b/>
          <w:bCs/>
        </w:rPr>
        <w:t xml:space="preserve"> solutions proposed in Option 2, 3 and 5</w:t>
      </w:r>
      <w:r w:rsidR="00911AB3">
        <w:t xml:space="preserve">. </w:t>
      </w:r>
    </w:p>
    <w:p w14:paraId="72AF2C78" w14:textId="77777777" w:rsidR="006B460E" w:rsidRDefault="006B460E" w:rsidP="006B460E"/>
    <w:p w14:paraId="0D870AF5" w14:textId="603BADC5" w:rsidR="00F7374C" w:rsidRDefault="00F7374C" w:rsidP="00656435">
      <w:pPr>
        <w:pStyle w:val="ListParagraph"/>
        <w:numPr>
          <w:ilvl w:val="0"/>
          <w:numId w:val="34"/>
        </w:numPr>
      </w:pPr>
      <w:r w:rsidRPr="006B460E">
        <w:rPr>
          <w:b/>
          <w:bCs/>
        </w:rPr>
        <w:t>ensuring the</w:t>
      </w:r>
      <w:r w:rsidR="00010AFB" w:rsidRPr="006B460E">
        <w:rPr>
          <w:b/>
          <w:bCs/>
        </w:rPr>
        <w:t xml:space="preserve"> sudden drop of signal</w:t>
      </w:r>
      <w:r w:rsidR="008171A0" w:rsidRPr="006B460E">
        <w:rPr>
          <w:b/>
          <w:bCs/>
        </w:rPr>
        <w:t xml:space="preserve"> level not happened</w:t>
      </w:r>
      <w:r w:rsidR="008171A0">
        <w:t>, i.e.,</w:t>
      </w:r>
      <w:r>
        <w:t xml:space="preserve"> train is always served by the beams having orientation same with the train travelling direction</w:t>
      </w:r>
      <w:r w:rsidR="00DD3668">
        <w:t>.</w:t>
      </w:r>
      <w:r>
        <w:t xml:space="preserve"> </w:t>
      </w:r>
      <w:r w:rsidR="00861BED">
        <w:t xml:space="preserve">This </w:t>
      </w:r>
      <w:r w:rsidR="009C5BAC">
        <w:t xml:space="preserve">can be done by selecting </w:t>
      </w:r>
      <w:r w:rsidR="00FC2C79">
        <w:t xml:space="preserve">serving beam orientation according to the UE traveling </w:t>
      </w:r>
      <w:r w:rsidR="00DD3668">
        <w:t>direction by means of special deployment and/or configurations.</w:t>
      </w:r>
    </w:p>
    <w:p w14:paraId="78CF0A2B" w14:textId="77777777" w:rsidR="006B460E" w:rsidRDefault="006B460E" w:rsidP="006B460E">
      <w:pPr>
        <w:pStyle w:val="ListParagraph"/>
      </w:pPr>
    </w:p>
    <w:p w14:paraId="2F9055E6" w14:textId="084D290E" w:rsidR="00911AB3" w:rsidRDefault="00337E11" w:rsidP="00F7374C">
      <w:pPr>
        <w:pStyle w:val="RAN4observation0"/>
      </w:pPr>
      <w:bookmarkStart w:id="10" w:name="_Toc135077480"/>
      <w:r>
        <w:t xml:space="preserve">The mobility issues in the tunnel when the train is travelling opposite </w:t>
      </w:r>
      <w:r w:rsidR="00A24C6B">
        <w:t xml:space="preserve">to </w:t>
      </w:r>
      <w:r>
        <w:t>the serving beam orientation can be solved by two approaches: a) triggering early HO/Beam switch</w:t>
      </w:r>
      <w:r w:rsidR="00911AB3">
        <w:t xml:space="preserve"> (Option 2, 3 and 5)</w:t>
      </w:r>
      <w:r>
        <w:t>; b) making the UE connecting only to the beam having</w:t>
      </w:r>
      <w:r w:rsidR="00377611">
        <w:t xml:space="preserve"> the same</w:t>
      </w:r>
      <w:r>
        <w:t xml:space="preserve"> orientation</w:t>
      </w:r>
      <w:r w:rsidR="00911AB3">
        <w:t xml:space="preserve"> </w:t>
      </w:r>
      <w:r w:rsidR="00377611">
        <w:t>with travelling direction</w:t>
      </w:r>
      <w:r w:rsidR="00911AB3">
        <w:t>.</w:t>
      </w:r>
      <w:bookmarkEnd w:id="10"/>
    </w:p>
    <w:p w14:paraId="3888B09B" w14:textId="77777777" w:rsidR="00843246" w:rsidRPr="00843246" w:rsidRDefault="00843246" w:rsidP="00843246"/>
    <w:p w14:paraId="3C9E4EF1" w14:textId="2CFE4EA5" w:rsidR="00911AB3" w:rsidRDefault="00911AB3" w:rsidP="00911AB3">
      <w:pPr>
        <w:pStyle w:val="RAN4H3"/>
      </w:pPr>
      <w:r>
        <w:t>Triggering early HO/Beam switch</w:t>
      </w:r>
    </w:p>
    <w:p w14:paraId="473E75B2" w14:textId="0F5B98E5" w:rsidR="00802702" w:rsidRDefault="005E6E4D" w:rsidP="00802702">
      <w:pPr>
        <w:rPr>
          <w:b/>
          <w:bCs/>
        </w:rPr>
      </w:pPr>
      <w:r>
        <w:t>In principle, the</w:t>
      </w:r>
      <w:r w:rsidR="00942FF3">
        <w:t xml:space="preserve"> HO/beam switch needs to be executed </w:t>
      </w:r>
      <w:r w:rsidR="006552BF">
        <w:t xml:space="preserve">at a certain distance </w:t>
      </w:r>
      <w:r w:rsidR="00D167E0">
        <w:t>ahead</w:t>
      </w:r>
      <w:r w:rsidR="006552BF">
        <w:t xml:space="preserve"> the source RRH.</w:t>
      </w:r>
      <w:r>
        <w:t xml:space="preserve"> </w:t>
      </w:r>
      <w:r w:rsidR="005F0942">
        <w:t xml:space="preserve">The triggering distance </w:t>
      </w:r>
      <w:r w:rsidR="00D167E0">
        <w:t xml:space="preserve">should ensure that the </w:t>
      </w:r>
      <w:r w:rsidR="00AD398A">
        <w:t>HO/beam switch</w:t>
      </w:r>
      <w:r w:rsidR="005A2AB2">
        <w:t xml:space="preserve">ing is done timely, i.e., not too </w:t>
      </w:r>
      <w:proofErr w:type="gramStart"/>
      <w:r w:rsidR="005A2AB2">
        <w:t>late</w:t>
      </w:r>
      <w:proofErr w:type="gramEnd"/>
      <w:r w:rsidR="005A2AB2">
        <w:t xml:space="preserve"> or too early.</w:t>
      </w:r>
    </w:p>
    <w:p w14:paraId="477D6010" w14:textId="7CCD67DD" w:rsidR="00957AA0" w:rsidRDefault="00957AA0" w:rsidP="00802702">
      <w:r w:rsidRPr="001C58BA">
        <w:rPr>
          <w:b/>
          <w:bCs/>
        </w:rPr>
        <w:t>Too early triggering</w:t>
      </w:r>
      <w:r w:rsidRPr="00920A15">
        <w:t xml:space="preserve"> may cause the issue that UE may suffer high interference from the old serving RRH (nearest RRH) when it changes to the new serving RRH (now further away).</w:t>
      </w:r>
      <w:r w:rsidR="00025AB0">
        <w:t xml:space="preserve"> </w:t>
      </w:r>
      <w:r w:rsidR="00025AB0" w:rsidRPr="00920A15">
        <w:t>This leads to radio link failure (RLF) problem</w:t>
      </w:r>
      <w:r w:rsidR="00025AB0">
        <w:t xml:space="preserve">. Not that this RLF issue </w:t>
      </w:r>
      <w:r w:rsidR="00F55D6A">
        <w:t>will become more severe in the two-track railway scenario when another train is traveling on the other direction</w:t>
      </w:r>
      <w:r w:rsidRPr="00920A15">
        <w:t xml:space="preserve">. Triggering HO when the UE is still far from serving RRH may also cause the unnecessary ping-pong </w:t>
      </w:r>
      <w:r>
        <w:lastRenderedPageBreak/>
        <w:t>HO unless the conventional HO triggering condition is always bypassed</w:t>
      </w:r>
      <w:r w:rsidRPr="00920A15">
        <w:t xml:space="preserve">. This is because the nearest RRH will become the best target in this case, and if the UE still see its strong RSRP for a long time, UE will be HO back to this RRH.  On the other hand, </w:t>
      </w:r>
      <w:r w:rsidRPr="001C58BA">
        <w:rPr>
          <w:b/>
          <w:bCs/>
        </w:rPr>
        <w:t>too late triggering</w:t>
      </w:r>
      <w:r w:rsidRPr="00920A15">
        <w:t xml:space="preserve"> obviously leads to the mobility failure. Similar issue is envisioned for inter-RRH beam switch.</w:t>
      </w:r>
    </w:p>
    <w:p w14:paraId="78DF24E6" w14:textId="77777777" w:rsidR="005700C2" w:rsidRDefault="005700C2" w:rsidP="00802702">
      <w:pPr>
        <w:rPr>
          <w:b/>
          <w:bCs/>
        </w:rPr>
      </w:pPr>
    </w:p>
    <w:p w14:paraId="25F80493" w14:textId="352C650D" w:rsidR="0047400E" w:rsidRPr="005700C2" w:rsidRDefault="0047400E" w:rsidP="0047400E">
      <w:pPr>
        <w:rPr>
          <w:b/>
          <w:bCs/>
          <w:sz w:val="22"/>
          <w:szCs w:val="24"/>
          <w:u w:val="single"/>
        </w:rPr>
      </w:pPr>
      <w:r w:rsidRPr="005700C2">
        <w:rPr>
          <w:b/>
          <w:bCs/>
          <w:sz w:val="22"/>
          <w:szCs w:val="24"/>
          <w:u w:val="single"/>
        </w:rPr>
        <w:t>System level simulation</w:t>
      </w:r>
      <w:r w:rsidR="00F2568B" w:rsidRPr="005700C2">
        <w:rPr>
          <w:b/>
          <w:bCs/>
          <w:sz w:val="22"/>
          <w:szCs w:val="24"/>
          <w:u w:val="single"/>
        </w:rPr>
        <w:t xml:space="preserve"> on HO triggering distance</w:t>
      </w:r>
    </w:p>
    <w:p w14:paraId="65EA94AD" w14:textId="7EB621A9" w:rsidR="00094A3F" w:rsidRDefault="004B6769" w:rsidP="0047400E">
      <w:r>
        <w:t>We carried out system level simulation t</w:t>
      </w:r>
      <w:r w:rsidR="0047400E">
        <w:t>o further illustrate the impact of triggering distance to mobility performance</w:t>
      </w:r>
      <w:r>
        <w:t>. Specifically</w:t>
      </w:r>
      <w:r w:rsidR="00A131BC">
        <w:t>,</w:t>
      </w:r>
      <w:r w:rsidR="0047400E">
        <w:t xml:space="preserve"> </w:t>
      </w:r>
      <w:r w:rsidR="00A131BC">
        <w:t>U</w:t>
      </w:r>
      <w:r w:rsidR="0047400E">
        <w:t>ni-directional “</w:t>
      </w:r>
      <w:proofErr w:type="spellStart"/>
      <w:r w:rsidR="0047400E">
        <w:t>Opp</w:t>
      </w:r>
      <w:proofErr w:type="spellEnd"/>
      <w:r w:rsidR="0047400E">
        <w:t xml:space="preserve">” deployment in the tunnel is considered, and the HO is triggered based on the distance between the UE and the source RRH. </w:t>
      </w:r>
      <w:r w:rsidR="00A131BC">
        <w:t>Here</w:t>
      </w:r>
      <w:r w:rsidR="0047400E">
        <w:t xml:space="preserve">, we assume CHO based mobility to minimize the latency of the HO process, and the CHO triggering condition is </w:t>
      </w:r>
      <w:proofErr w:type="spellStart"/>
      <w:r w:rsidR="0047400E" w:rsidRPr="00952F1E">
        <w:rPr>
          <w:i/>
          <w:iCs/>
        </w:rPr>
        <w:t>UE_distance_to_source</w:t>
      </w:r>
      <w:proofErr w:type="spellEnd"/>
      <w:r w:rsidR="0047400E" w:rsidRPr="00952F1E">
        <w:rPr>
          <w:i/>
          <w:iCs/>
        </w:rPr>
        <w:t xml:space="preserve"> &lt; </w:t>
      </w:r>
      <w:proofErr w:type="spellStart"/>
      <w:r w:rsidR="0047400E" w:rsidRPr="00952F1E">
        <w:rPr>
          <w:i/>
          <w:iCs/>
        </w:rPr>
        <w:t>DistToC</w:t>
      </w:r>
      <w:r w:rsidR="0047400E">
        <w:rPr>
          <w:i/>
          <w:iCs/>
        </w:rPr>
        <w:t>ond</w:t>
      </w:r>
      <w:r w:rsidR="0047400E" w:rsidRPr="00952F1E">
        <w:rPr>
          <w:i/>
          <w:iCs/>
        </w:rPr>
        <w:t>HO</w:t>
      </w:r>
      <w:proofErr w:type="spellEnd"/>
      <w:r w:rsidR="0047400E">
        <w:rPr>
          <w:i/>
          <w:iCs/>
        </w:rPr>
        <w:t xml:space="preserve">. </w:t>
      </w:r>
      <w:r w:rsidR="0047400E">
        <w:t xml:space="preserve">The following results show mobility performance with different </w:t>
      </w:r>
      <w:proofErr w:type="spellStart"/>
      <w:r w:rsidR="0047400E" w:rsidRPr="00952F1E">
        <w:rPr>
          <w:i/>
          <w:iCs/>
        </w:rPr>
        <w:t>DistToC</w:t>
      </w:r>
      <w:r w:rsidR="0047400E">
        <w:rPr>
          <w:i/>
          <w:iCs/>
        </w:rPr>
        <w:t>ond</w:t>
      </w:r>
      <w:r w:rsidR="0047400E" w:rsidRPr="00952F1E">
        <w:rPr>
          <w:i/>
          <w:iCs/>
        </w:rPr>
        <w:t>HO</w:t>
      </w:r>
      <w:proofErr w:type="spellEnd"/>
      <w:r w:rsidR="0047400E">
        <w:rPr>
          <w:i/>
          <w:iCs/>
        </w:rPr>
        <w:t xml:space="preserve"> </w:t>
      </w:r>
      <w:r w:rsidR="0047400E">
        <w:t>for different DRX cycles.</w:t>
      </w:r>
      <w:r w:rsidR="00094A3F">
        <w:rPr>
          <w:noProof/>
        </w:rPr>
        <w:drawing>
          <wp:inline distT="0" distB="0" distL="0" distR="0" wp14:anchorId="3DA67F3B" wp14:editId="1DA33585">
            <wp:extent cx="2872442" cy="2526492"/>
            <wp:effectExtent l="0" t="0" r="4445" b="7620"/>
            <wp:docPr id="1" name="Picture 1" descr="A picture containing text, screenshot, diagram,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screenshot, diagram, line&#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2887178" cy="2539453"/>
                    </a:xfrm>
                    <a:prstGeom prst="rect">
                      <a:avLst/>
                    </a:prstGeom>
                  </pic:spPr>
                </pic:pic>
              </a:graphicData>
            </a:graphic>
          </wp:inline>
        </w:drawing>
      </w:r>
      <w:r w:rsidR="00094A3F">
        <w:rPr>
          <w:noProof/>
        </w:rPr>
        <w:drawing>
          <wp:inline distT="0" distB="0" distL="0" distR="0" wp14:anchorId="3C030280" wp14:editId="09F3FDF4">
            <wp:extent cx="2887178" cy="2539452"/>
            <wp:effectExtent l="0" t="0" r="889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5">
                      <a:extLst>
                        <a:ext uri="{28A0092B-C50C-407E-A947-70E740481C1C}">
                          <a14:useLocalDpi xmlns:a14="http://schemas.microsoft.com/office/drawing/2010/main" val="0"/>
                        </a:ext>
                      </a:extLst>
                    </a:blip>
                    <a:stretch>
                      <a:fillRect/>
                    </a:stretch>
                  </pic:blipFill>
                  <pic:spPr>
                    <a:xfrm>
                      <a:off x="0" y="0"/>
                      <a:ext cx="2887178" cy="2539452"/>
                    </a:xfrm>
                    <a:prstGeom prst="rect">
                      <a:avLst/>
                    </a:prstGeom>
                  </pic:spPr>
                </pic:pic>
              </a:graphicData>
            </a:graphic>
          </wp:inline>
        </w:drawing>
      </w:r>
    </w:p>
    <w:p w14:paraId="67B21EF1" w14:textId="6C8F4706" w:rsidR="00AC1924" w:rsidRDefault="00AC1924" w:rsidP="005644F6">
      <w:pPr>
        <w:pStyle w:val="Caption"/>
        <w:jc w:val="left"/>
      </w:pPr>
      <w:bookmarkStart w:id="11" w:name="_Ref134695101"/>
      <w:r>
        <w:t xml:space="preserve">Figure </w:t>
      </w:r>
      <w:fldSimple w:instr=" SEQ Figure \* ARABIC ">
        <w:r w:rsidR="008E66F1">
          <w:rPr>
            <w:noProof/>
          </w:rPr>
          <w:t>2</w:t>
        </w:r>
      </w:fldSimple>
      <w:bookmarkEnd w:id="11"/>
      <w:r>
        <w:t xml:space="preserve">: Mobility performance </w:t>
      </w:r>
      <w:r w:rsidR="00B222E2">
        <w:t xml:space="preserve">with different </w:t>
      </w:r>
      <w:r w:rsidR="005644F6">
        <w:t>HO triggering distance (</w:t>
      </w:r>
      <w:proofErr w:type="spellStart"/>
      <w:r w:rsidR="005644F6">
        <w:t>DistToCondHO</w:t>
      </w:r>
      <w:proofErr w:type="spellEnd"/>
      <w:r w:rsidR="005644F6">
        <w:t>) and DRX cycles: (left) Inter-cell mobility failure rate; (right): Time-of-outage during due to low SINR.</w:t>
      </w:r>
    </w:p>
    <w:p w14:paraId="6BC3170A" w14:textId="6836783D" w:rsidR="003D3250" w:rsidRDefault="0056340D" w:rsidP="003D3250">
      <w:r>
        <w:fldChar w:fldCharType="begin"/>
      </w:r>
      <w:r>
        <w:instrText xml:space="preserve"> REF _Ref134695101 \h </w:instrText>
      </w:r>
      <w:r>
        <w:fldChar w:fldCharType="separate"/>
      </w:r>
      <w:r w:rsidR="008E66F1">
        <w:t xml:space="preserve">Figure </w:t>
      </w:r>
      <w:r w:rsidR="008E66F1">
        <w:rPr>
          <w:noProof/>
        </w:rPr>
        <w:t>2</w:t>
      </w:r>
      <w:r>
        <w:fldChar w:fldCharType="end"/>
      </w:r>
      <w:r w:rsidR="00113C00" w:rsidRPr="00F735BF">
        <w:rPr>
          <w:i/>
          <w:iCs/>
        </w:rPr>
        <w:t>-(left)</w:t>
      </w:r>
      <w:r>
        <w:t xml:space="preserve"> shows </w:t>
      </w:r>
      <w:r w:rsidR="00113C00">
        <w:t xml:space="preserve">percentage of inter-cell mobility failure rate. </w:t>
      </w:r>
      <w:r w:rsidR="000938E5">
        <w:t>It can be observed that too short triggering distance (</w:t>
      </w:r>
      <w:proofErr w:type="spellStart"/>
      <w:r w:rsidR="000938E5">
        <w:t>e.g</w:t>
      </w:r>
      <w:proofErr w:type="spellEnd"/>
      <w:r w:rsidR="000938E5">
        <w:t>, 10m)</w:t>
      </w:r>
      <w:r w:rsidR="00827467">
        <w:t xml:space="preserve"> may lead t</w:t>
      </w:r>
      <w:r w:rsidR="00647247">
        <w:t>o high failure rate</w:t>
      </w:r>
      <w:r w:rsidR="00760E34">
        <w:t>, especially</w:t>
      </w:r>
      <w:r w:rsidR="00647247">
        <w:t xml:space="preserve"> </w:t>
      </w:r>
      <w:r w:rsidR="006641CB">
        <w:t>when long</w:t>
      </w:r>
      <w:r w:rsidR="00760E34">
        <w:t xml:space="preserve"> </w:t>
      </w:r>
      <w:r w:rsidR="006641CB">
        <w:t>DRX cycles are used.</w:t>
      </w:r>
      <w:r w:rsidR="000F5C06">
        <w:t xml:space="preserve"> At </w:t>
      </w:r>
      <w:r w:rsidR="00760E34">
        <w:t xml:space="preserve">the </w:t>
      </w:r>
      <w:r w:rsidR="000F5C06">
        <w:t>moderate triggering distance</w:t>
      </w:r>
      <w:r w:rsidR="00760E34">
        <w:t>s</w:t>
      </w:r>
      <w:r w:rsidR="00FB06C0">
        <w:t xml:space="preserve"> (~20-30m)</w:t>
      </w:r>
      <w:r w:rsidR="000F5C06">
        <w:t xml:space="preserve"> and DRX cycles </w:t>
      </w:r>
      <w:r w:rsidR="00FB06C0">
        <w:t>(</w:t>
      </w:r>
      <w:r w:rsidR="000F5C06">
        <w:t>&lt; 40</w:t>
      </w:r>
      <w:r w:rsidR="002B0584">
        <w:t>ms</w:t>
      </w:r>
      <w:r w:rsidR="00FB06C0">
        <w:t>)</w:t>
      </w:r>
      <w:r w:rsidR="002B0584">
        <w:t xml:space="preserve">, there is no </w:t>
      </w:r>
      <w:r w:rsidR="00004853">
        <w:t xml:space="preserve">mobility failure observed. </w:t>
      </w:r>
      <w:r w:rsidR="004E1547">
        <w:t>However, l</w:t>
      </w:r>
      <w:r w:rsidR="004D19DD">
        <w:t>onger triggering distance</w:t>
      </w:r>
      <w:r w:rsidR="00B26E25">
        <w:t xml:space="preserve"> </w:t>
      </w:r>
      <w:r w:rsidR="004E1547">
        <w:t xml:space="preserve">(&gt;=50 m) </w:t>
      </w:r>
      <w:r w:rsidR="00DE53C9">
        <w:t xml:space="preserve">may cause </w:t>
      </w:r>
      <w:r w:rsidR="00603CAA">
        <w:t>higher failure</w:t>
      </w:r>
      <w:r w:rsidR="00B26E25">
        <w:t xml:space="preserve"> rate</w:t>
      </w:r>
      <w:r w:rsidR="000F5C06">
        <w:t xml:space="preserve">. </w:t>
      </w:r>
      <w:r w:rsidR="00DE53C9">
        <w:t>Th</w:t>
      </w:r>
      <w:r w:rsidR="00DF7AC4">
        <w:t>e reason</w:t>
      </w:r>
      <w:r w:rsidR="00DE53C9">
        <w:t xml:space="preserve"> is</w:t>
      </w:r>
      <w:r w:rsidR="001F28D3">
        <w:t xml:space="preserve"> mainly due to the radio link problem </w:t>
      </w:r>
      <w:r w:rsidR="00D032FE">
        <w:t>as earlier HO</w:t>
      </w:r>
      <w:r w:rsidR="00DF47A2">
        <w:t xml:space="preserve"> means longer duration that the UE stays in low SINR condition. This can</w:t>
      </w:r>
      <w:r w:rsidR="00110FF6">
        <w:t xml:space="preserve"> also</w:t>
      </w:r>
      <w:r w:rsidR="00DF47A2">
        <w:t xml:space="preserve"> be seen in </w:t>
      </w:r>
      <w:r w:rsidR="00C0607D">
        <w:fldChar w:fldCharType="begin"/>
      </w:r>
      <w:r w:rsidR="00C0607D">
        <w:instrText xml:space="preserve"> REF _Ref134695101 \h </w:instrText>
      </w:r>
      <w:r w:rsidR="00C0607D">
        <w:fldChar w:fldCharType="separate"/>
      </w:r>
      <w:r w:rsidR="008E66F1">
        <w:t xml:space="preserve">Figure </w:t>
      </w:r>
      <w:r w:rsidR="008E66F1">
        <w:rPr>
          <w:noProof/>
        </w:rPr>
        <w:t>2</w:t>
      </w:r>
      <w:r w:rsidR="00C0607D">
        <w:fldChar w:fldCharType="end"/>
      </w:r>
      <w:r w:rsidR="00C0607D" w:rsidRPr="00F735BF">
        <w:rPr>
          <w:i/>
          <w:iCs/>
        </w:rPr>
        <w:t>-(right)</w:t>
      </w:r>
      <w:r w:rsidR="00C0607D">
        <w:t xml:space="preserve"> which shows the time-of-outage dur</w:t>
      </w:r>
      <w:r w:rsidR="00E83C4F">
        <w:t xml:space="preserve">ation </w:t>
      </w:r>
      <w:r w:rsidR="00C0607D">
        <w:t>due to low SINR.</w:t>
      </w:r>
      <w:r w:rsidR="00670FA0">
        <w:t xml:space="preserve"> In general,</w:t>
      </w:r>
      <w:r w:rsidR="00F905EB">
        <w:t xml:space="preserve"> with </w:t>
      </w:r>
      <w:r w:rsidR="00DF7AC4">
        <w:t xml:space="preserve">longer </w:t>
      </w:r>
      <w:r w:rsidR="00F905EB">
        <w:t>triggering distance, the UE will move to the new cell earlier and spend longer duration at the area with low serving signal quality while having high interference</w:t>
      </w:r>
      <w:r w:rsidR="001C1F16">
        <w:t>. On the other hand,</w:t>
      </w:r>
      <w:r w:rsidR="00F905EB">
        <w:t xml:space="preserve"> with short triggering distance, the time-of-outage duration due to low SINR is high with DRX cycles </w:t>
      </w:r>
      <w:r w:rsidR="00296EBD">
        <w:t xml:space="preserve">due </w:t>
      </w:r>
      <w:proofErr w:type="gramStart"/>
      <w:r w:rsidR="00296EBD">
        <w:t xml:space="preserve">to </w:t>
      </w:r>
      <w:r w:rsidR="00F905EB">
        <w:t xml:space="preserve"> longer</w:t>
      </w:r>
      <w:proofErr w:type="gramEnd"/>
      <w:r w:rsidR="00F905EB">
        <w:t xml:space="preserve"> time that the UE stays in the position without serving signal coverage</w:t>
      </w:r>
      <w:r w:rsidR="00137C84">
        <w:t>.</w:t>
      </w:r>
    </w:p>
    <w:p w14:paraId="6D3637A0" w14:textId="4245564B" w:rsidR="00671681" w:rsidRDefault="00F905EB" w:rsidP="003D3250">
      <w:r>
        <w:t>To have better observation on</w:t>
      </w:r>
      <w:r w:rsidR="003652B6">
        <w:t xml:space="preserve"> the relation of</w:t>
      </w:r>
      <w:r>
        <w:t xml:space="preserve"> SINR </w:t>
      </w:r>
      <w:r w:rsidR="003652B6">
        <w:t>and</w:t>
      </w:r>
      <w:r>
        <w:t xml:space="preserve"> triggering distance</w:t>
      </w:r>
      <w:r w:rsidR="00F735BF">
        <w:t xml:space="preserve">, we </w:t>
      </w:r>
      <w:r w:rsidR="003652B6">
        <w:t xml:space="preserve">plot in </w:t>
      </w:r>
      <w:r w:rsidR="003652B6">
        <w:fldChar w:fldCharType="begin"/>
      </w:r>
      <w:r w:rsidR="003652B6">
        <w:instrText xml:space="preserve"> REF _Ref134697846 \h </w:instrText>
      </w:r>
      <w:r w:rsidR="003652B6">
        <w:fldChar w:fldCharType="separate"/>
      </w:r>
      <w:r w:rsidR="008E66F1">
        <w:t xml:space="preserve">Figure </w:t>
      </w:r>
      <w:r w:rsidR="008E66F1">
        <w:rPr>
          <w:noProof/>
        </w:rPr>
        <w:t>3</w:t>
      </w:r>
      <w:r w:rsidR="003652B6">
        <w:fldChar w:fldCharType="end"/>
      </w:r>
      <w:r w:rsidR="003652B6">
        <w:t xml:space="preserve"> the distribution</w:t>
      </w:r>
      <w:r w:rsidR="00635DF8">
        <w:t xml:space="preserve"> of raw SINR values taken from CQI measurements</w:t>
      </w:r>
      <w:r w:rsidR="003652B6">
        <w:t>.</w:t>
      </w:r>
      <w:r w:rsidR="005C4069">
        <w:t xml:space="preserve"> </w:t>
      </w:r>
      <w:r w:rsidR="000F23F5">
        <w:t xml:space="preserve">In general, longer triggering distance </w:t>
      </w:r>
      <w:r w:rsidR="00984EED">
        <w:t xml:space="preserve">implies longer duration </w:t>
      </w:r>
      <w:r w:rsidR="00C36DF8">
        <w:t>for lower SINR values. When longer DRX cycles are used, too short triggering distance</w:t>
      </w:r>
      <w:r w:rsidR="00113688">
        <w:t xml:space="preserve"> may cause low SINR condition with higher probability</w:t>
      </w:r>
      <w:r w:rsidR="00671681">
        <w:t>.</w:t>
      </w:r>
    </w:p>
    <w:p w14:paraId="6178D527" w14:textId="670B4E2E" w:rsidR="00F905EB" w:rsidRPr="003D3250" w:rsidRDefault="00671681" w:rsidP="003D3250">
      <w:r>
        <w:t>In all results,</w:t>
      </w:r>
      <w:r w:rsidR="00060505">
        <w:t xml:space="preserve"> one can see </w:t>
      </w:r>
      <w:r w:rsidR="008B5D76">
        <w:t xml:space="preserve">that </w:t>
      </w:r>
      <w:r w:rsidR="00060505">
        <w:t>high DRX cycle (e.g., above 80ms) may cause higher ri</w:t>
      </w:r>
      <w:r w:rsidR="00F90F34">
        <w:t>sk for the mobility since</w:t>
      </w:r>
      <w:r w:rsidR="00C50139">
        <w:t xml:space="preserve"> it causes high mobility failure rate and </w:t>
      </w:r>
      <w:r w:rsidR="00747F7F">
        <w:t xml:space="preserve">statistically </w:t>
      </w:r>
      <w:r w:rsidR="00C50139">
        <w:t>achieve</w:t>
      </w:r>
      <w:r w:rsidR="00D54AC7">
        <w:t>s</w:t>
      </w:r>
      <w:r w:rsidR="00F90F34">
        <w:t xml:space="preserve"> </w:t>
      </w:r>
      <w:r w:rsidR="00747F7F">
        <w:t xml:space="preserve">lower SINR compared to the lower DRX </w:t>
      </w:r>
      <w:r w:rsidR="006A590B">
        <w:t xml:space="preserve">settings. </w:t>
      </w:r>
      <w:r>
        <w:t xml:space="preserve"> </w:t>
      </w:r>
    </w:p>
    <w:p w14:paraId="2A15A3AE" w14:textId="714EFFF1" w:rsidR="00761135" w:rsidRDefault="001E6B30" w:rsidP="0047400E">
      <w:r>
        <w:rPr>
          <w:noProof/>
        </w:rPr>
        <w:lastRenderedPageBreak/>
        <w:drawing>
          <wp:inline distT="0" distB="0" distL="0" distR="0" wp14:anchorId="528A59CE" wp14:editId="44FBD643">
            <wp:extent cx="3016865" cy="2262649"/>
            <wp:effectExtent l="0" t="0" r="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016865" cy="2262649"/>
                    </a:xfrm>
                    <a:prstGeom prst="rect">
                      <a:avLst/>
                    </a:prstGeom>
                  </pic:spPr>
                </pic:pic>
              </a:graphicData>
            </a:graphic>
          </wp:inline>
        </w:drawing>
      </w:r>
      <w:r>
        <w:rPr>
          <w:noProof/>
        </w:rPr>
        <w:drawing>
          <wp:inline distT="0" distB="0" distL="0" distR="0" wp14:anchorId="7EBDA4A7" wp14:editId="3538373B">
            <wp:extent cx="3016865" cy="2262649"/>
            <wp:effectExtent l="0" t="0" r="0" b="444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016865" cy="2262649"/>
                    </a:xfrm>
                    <a:prstGeom prst="rect">
                      <a:avLst/>
                    </a:prstGeom>
                  </pic:spPr>
                </pic:pic>
              </a:graphicData>
            </a:graphic>
          </wp:inline>
        </w:drawing>
      </w:r>
    </w:p>
    <w:p w14:paraId="69DD1B19" w14:textId="5356EF5A" w:rsidR="00761135" w:rsidRDefault="003652B6" w:rsidP="003652B6">
      <w:pPr>
        <w:pStyle w:val="Caption"/>
      </w:pPr>
      <w:bookmarkStart w:id="12" w:name="_Ref134697846"/>
      <w:r>
        <w:t xml:space="preserve">Figure </w:t>
      </w:r>
      <w:fldSimple w:instr=" SEQ Figure \* ARABIC ">
        <w:r w:rsidR="008E66F1">
          <w:rPr>
            <w:noProof/>
          </w:rPr>
          <w:t>3</w:t>
        </w:r>
      </w:fldSimple>
      <w:bookmarkEnd w:id="12"/>
      <w:r>
        <w:t>: SINR distribution versus the HO triggering distance (</w:t>
      </w:r>
      <w:proofErr w:type="spellStart"/>
      <w:r>
        <w:t>DistToCondHO</w:t>
      </w:r>
      <w:proofErr w:type="spellEnd"/>
      <w:r>
        <w:t>): (left) DRX=0; (right) DRX=80</w:t>
      </w:r>
    </w:p>
    <w:p w14:paraId="00A6BE0F" w14:textId="014C26FD" w:rsidR="0047400E" w:rsidRDefault="0047400E" w:rsidP="00802702">
      <w:pPr>
        <w:pStyle w:val="RAN4observation0"/>
      </w:pPr>
      <w:bookmarkStart w:id="13" w:name="_Toc135077481"/>
      <w:r>
        <w:t xml:space="preserve">The system simulation results demonstrated that HO </w:t>
      </w:r>
      <w:r w:rsidR="00D02708">
        <w:t xml:space="preserve">triggering </w:t>
      </w:r>
      <w:r>
        <w:t>distance have impacts to the mobility performance</w:t>
      </w:r>
      <w:r w:rsidR="00FE4A06">
        <w:t xml:space="preserve">, i.e., </w:t>
      </w:r>
      <w:r w:rsidR="00D02708">
        <w:t>too short triggering distance may still lead to high failure rate</w:t>
      </w:r>
      <w:r w:rsidR="00653D12">
        <w:t xml:space="preserve">, while too longer triggering distance makes the UE staying </w:t>
      </w:r>
      <w:r w:rsidR="006E5436">
        <w:t xml:space="preserve">longer </w:t>
      </w:r>
      <w:r w:rsidR="00653D12">
        <w:t xml:space="preserve">in </w:t>
      </w:r>
      <w:r w:rsidR="00AB44DE">
        <w:t>low SINR condition.</w:t>
      </w:r>
      <w:bookmarkEnd w:id="13"/>
    </w:p>
    <w:p w14:paraId="719890A3" w14:textId="7ED72CEA" w:rsidR="006F1614" w:rsidRDefault="002818C0" w:rsidP="006F1614">
      <w:pPr>
        <w:pStyle w:val="RAN4observation0"/>
      </w:pPr>
      <w:bookmarkStart w:id="14" w:name="_Toc135077482"/>
      <w:r>
        <w:t>DRX</w:t>
      </w:r>
      <w:r w:rsidR="00E03224">
        <w:t xml:space="preserve"> </w:t>
      </w:r>
      <w:r>
        <w:t>cannot be use</w:t>
      </w:r>
      <w:r w:rsidR="00E03224">
        <w:t xml:space="preserve"> in tunnel</w:t>
      </w:r>
      <w:r w:rsidR="0071516C">
        <w:t xml:space="preserve"> deployment</w:t>
      </w:r>
      <w:r w:rsidR="00E03224">
        <w:t xml:space="preserve"> when the train is travelling opposite the serving beam orientation.</w:t>
      </w:r>
      <w:bookmarkEnd w:id="14"/>
    </w:p>
    <w:p w14:paraId="282979FB" w14:textId="4AB58A2B" w:rsidR="00E03224" w:rsidRPr="00E03224" w:rsidRDefault="00E03224" w:rsidP="00E03224">
      <w:pPr>
        <w:pStyle w:val="RAN4proposal"/>
      </w:pPr>
      <w:bookmarkStart w:id="15" w:name="_Toc135077483"/>
      <w:r>
        <w:t xml:space="preserve">RAN4 to restrict </w:t>
      </w:r>
      <w:r w:rsidR="00832B3C">
        <w:t xml:space="preserve">the use of </w:t>
      </w:r>
      <w:r w:rsidR="0071516C">
        <w:t>DRX in tunnel deployment.</w:t>
      </w:r>
      <w:bookmarkEnd w:id="15"/>
    </w:p>
    <w:p w14:paraId="1DE220F1" w14:textId="77777777" w:rsidR="005700C2" w:rsidRPr="005700C2" w:rsidRDefault="005700C2" w:rsidP="005700C2"/>
    <w:p w14:paraId="5C97EB02" w14:textId="63E24D6F" w:rsidR="00412203" w:rsidRPr="005700C2" w:rsidRDefault="00D86788" w:rsidP="00412203">
      <w:pPr>
        <w:rPr>
          <w:b/>
          <w:bCs/>
          <w:sz w:val="22"/>
          <w:szCs w:val="24"/>
          <w:u w:val="single"/>
        </w:rPr>
      </w:pPr>
      <w:r>
        <w:rPr>
          <w:b/>
          <w:bCs/>
          <w:sz w:val="22"/>
          <w:szCs w:val="24"/>
          <w:u w:val="single"/>
        </w:rPr>
        <w:t>Analysis of</w:t>
      </w:r>
      <w:r w:rsidR="009B5F09" w:rsidRPr="005700C2">
        <w:rPr>
          <w:b/>
          <w:bCs/>
          <w:sz w:val="22"/>
          <w:szCs w:val="24"/>
          <w:u w:val="single"/>
        </w:rPr>
        <w:t xml:space="preserve"> t</w:t>
      </w:r>
      <w:r w:rsidR="00412203" w:rsidRPr="005700C2">
        <w:rPr>
          <w:b/>
          <w:bCs/>
          <w:sz w:val="22"/>
          <w:szCs w:val="24"/>
          <w:u w:val="single"/>
        </w:rPr>
        <w:t>riggering condition</w:t>
      </w:r>
      <w:r w:rsidR="009B5F09" w:rsidRPr="005700C2">
        <w:rPr>
          <w:b/>
          <w:bCs/>
          <w:sz w:val="22"/>
          <w:szCs w:val="24"/>
          <w:u w:val="single"/>
        </w:rPr>
        <w:t>s</w:t>
      </w:r>
      <w:r w:rsidR="00412203" w:rsidRPr="005700C2">
        <w:rPr>
          <w:b/>
          <w:bCs/>
          <w:sz w:val="22"/>
          <w:szCs w:val="24"/>
          <w:u w:val="single"/>
        </w:rPr>
        <w:t xml:space="preserve"> for early HO/beam switch</w:t>
      </w:r>
    </w:p>
    <w:p w14:paraId="52195BF4" w14:textId="10E99E05" w:rsidR="00006AAA" w:rsidRPr="00006AAA" w:rsidRDefault="0086080F" w:rsidP="00006AAA">
      <w:r>
        <w:t xml:space="preserve">The common </w:t>
      </w:r>
      <w:r w:rsidR="00AD0F3F">
        <w:t>idea</w:t>
      </w:r>
      <w:r>
        <w:t xml:space="preserve"> for triggering condition</w:t>
      </w:r>
      <w:r w:rsidR="00B45FAF">
        <w:t xml:space="preserve"> </w:t>
      </w:r>
      <w:r w:rsidR="00AD0F3F">
        <w:t>was</w:t>
      </w:r>
      <w:r w:rsidR="007003BC">
        <w:t xml:space="preserve"> either</w:t>
      </w:r>
      <w:r w:rsidR="00B45FAF">
        <w:t xml:space="preserve"> </w:t>
      </w:r>
      <w:r w:rsidR="00E35661" w:rsidRPr="007003BC">
        <w:t>based on</w:t>
      </w:r>
      <w:r w:rsidR="00E35661" w:rsidRPr="0079109C">
        <w:rPr>
          <w:b/>
          <w:bCs/>
        </w:rPr>
        <w:t xml:space="preserve"> </w:t>
      </w:r>
      <w:r w:rsidR="00E35661" w:rsidRPr="006E3264">
        <w:t>configuring</w:t>
      </w:r>
      <w:r w:rsidR="00E35661" w:rsidRPr="0079109C">
        <w:rPr>
          <w:b/>
          <w:bCs/>
        </w:rPr>
        <w:t xml:space="preserve"> a special offset for source and/or target signal quality</w:t>
      </w:r>
      <w:r w:rsidR="006E3264">
        <w:rPr>
          <w:b/>
          <w:bCs/>
        </w:rPr>
        <w:t>,</w:t>
      </w:r>
      <w:r w:rsidR="00E35661" w:rsidRPr="0079109C">
        <w:rPr>
          <w:b/>
          <w:bCs/>
        </w:rPr>
        <w:t xml:space="preserve"> </w:t>
      </w:r>
      <w:r w:rsidR="00E35661" w:rsidRPr="002C4B75">
        <w:t xml:space="preserve">or </w:t>
      </w:r>
      <w:r w:rsidR="00E35661" w:rsidRPr="0079109C">
        <w:rPr>
          <w:b/>
          <w:bCs/>
        </w:rPr>
        <w:t xml:space="preserve">the UE location relative to the source RRH, </w:t>
      </w:r>
      <w:r w:rsidR="00E35661" w:rsidRPr="002C4B75">
        <w:t xml:space="preserve">or </w:t>
      </w:r>
      <w:r w:rsidR="00E35661" w:rsidRPr="0079109C">
        <w:rPr>
          <w:b/>
          <w:bCs/>
        </w:rPr>
        <w:t>combining these two factors.</w:t>
      </w:r>
    </w:p>
    <w:p w14:paraId="331BCA76" w14:textId="71BC137F" w:rsidR="00911AB3" w:rsidRDefault="005C4095" w:rsidP="00911AB3">
      <w:r w:rsidRPr="00601ECB">
        <w:rPr>
          <w:b/>
          <w:bCs/>
        </w:rPr>
        <w:t xml:space="preserve">If the triggering conditions </w:t>
      </w:r>
      <w:r w:rsidR="00920A15" w:rsidRPr="00601ECB">
        <w:rPr>
          <w:b/>
          <w:bCs/>
        </w:rPr>
        <w:t xml:space="preserve">are solely based on signal quality </w:t>
      </w:r>
      <w:r w:rsidR="00920A15" w:rsidRPr="003225DD">
        <w:rPr>
          <w:b/>
          <w:bCs/>
        </w:rPr>
        <w:t>level (</w:t>
      </w:r>
      <w:r w:rsidR="001C30B5">
        <w:rPr>
          <w:b/>
          <w:bCs/>
        </w:rPr>
        <w:t xml:space="preserve">e.g., </w:t>
      </w:r>
      <w:r w:rsidR="00920A15" w:rsidRPr="003225DD">
        <w:rPr>
          <w:b/>
          <w:bCs/>
        </w:rPr>
        <w:t>RSRP), there is a risk that the HO</w:t>
      </w:r>
      <w:r w:rsidR="007E65A4" w:rsidRPr="003225DD">
        <w:rPr>
          <w:b/>
          <w:bCs/>
        </w:rPr>
        <w:t>/beam switching</w:t>
      </w:r>
      <w:r w:rsidR="00920A15" w:rsidRPr="003225DD">
        <w:rPr>
          <w:b/>
          <w:bCs/>
        </w:rPr>
        <w:t xml:space="preserve"> may be triggered</w:t>
      </w:r>
      <w:r w:rsidR="00920A15" w:rsidRPr="00920A15">
        <w:t xml:space="preserve"> </w:t>
      </w:r>
      <w:r w:rsidR="00920A15" w:rsidRPr="006B6ACD">
        <w:rPr>
          <w:b/>
          <w:bCs/>
        </w:rPr>
        <w:t xml:space="preserve">too early </w:t>
      </w:r>
      <w:r w:rsidR="006B6ACD" w:rsidRPr="003225DD">
        <w:t>(i.e., when the train is still far from the source RRH)</w:t>
      </w:r>
      <w:r w:rsidR="006B6ACD">
        <w:t xml:space="preserve"> </w:t>
      </w:r>
      <w:r w:rsidR="00920A15" w:rsidRPr="00920A15">
        <w:t xml:space="preserve">or </w:t>
      </w:r>
      <w:r w:rsidR="00920A15" w:rsidRPr="006B6ACD">
        <w:rPr>
          <w:b/>
          <w:bCs/>
        </w:rPr>
        <w:t xml:space="preserve">too </w:t>
      </w:r>
      <w:r w:rsidR="00920A15" w:rsidRPr="001C30B5">
        <w:rPr>
          <w:b/>
          <w:bCs/>
        </w:rPr>
        <w:t>late</w:t>
      </w:r>
      <w:r w:rsidR="006B6ACD" w:rsidRPr="003225DD">
        <w:t xml:space="preserve"> (when the train is too close to the source RRH)</w:t>
      </w:r>
      <w:r w:rsidR="00730A24">
        <w:t xml:space="preserve">. This is because </w:t>
      </w:r>
      <w:r w:rsidR="0050257D" w:rsidRPr="00920A15">
        <w:t>opting for a</w:t>
      </w:r>
      <w:r w:rsidR="00BD7D6D">
        <w:t xml:space="preserve"> proper</w:t>
      </w:r>
      <w:r w:rsidR="0050257D" w:rsidRPr="00920A15">
        <w:t xml:space="preserve"> level threshold</w:t>
      </w:r>
      <w:r w:rsidR="00307539">
        <w:t xml:space="preserve"> for the early triggering approach to always work as expected</w:t>
      </w:r>
      <w:r w:rsidR="00465832">
        <w:t xml:space="preserve"> is challenging </w:t>
      </w:r>
      <w:proofErr w:type="gramStart"/>
      <w:r w:rsidR="00465832">
        <w:t>due to the fact that</w:t>
      </w:r>
      <w:proofErr w:type="gramEnd"/>
      <w:r w:rsidR="00465832">
        <w:t xml:space="preserve"> </w:t>
      </w:r>
      <w:r w:rsidR="00920A15" w:rsidRPr="00920A15">
        <w:t>signal</w:t>
      </w:r>
      <w:r w:rsidR="00E371DD">
        <w:t xml:space="preserve"> level is not</w:t>
      </w:r>
      <w:r w:rsidR="00CA79BB">
        <w:t xml:space="preserve"> only dependent on distance, but also </w:t>
      </w:r>
      <w:r w:rsidR="00920A15" w:rsidRPr="00920A15">
        <w:t>on channel conditio</w:t>
      </w:r>
      <w:r w:rsidR="007110D0">
        <w:t>n</w:t>
      </w:r>
      <w:r w:rsidR="00CA79BB">
        <w:t xml:space="preserve"> which keeps varying. </w:t>
      </w:r>
      <w:r w:rsidR="00605197">
        <w:t xml:space="preserve">For </w:t>
      </w:r>
      <w:r w:rsidR="00294F94">
        <w:t>example,</w:t>
      </w:r>
      <w:r w:rsidR="00C279E1">
        <w:t xml:space="preserve"> in</w:t>
      </w:r>
      <w:r w:rsidR="005C02F1">
        <w:t xml:space="preserve"> </w:t>
      </w:r>
      <w:r w:rsidR="008D7235">
        <w:fldChar w:fldCharType="begin"/>
      </w:r>
      <w:r w:rsidR="008D7235">
        <w:instrText xml:space="preserve"> REF _Ref134698707 \h </w:instrText>
      </w:r>
      <w:r w:rsidR="008D7235">
        <w:fldChar w:fldCharType="separate"/>
      </w:r>
      <w:r w:rsidR="008E66F1">
        <w:t xml:space="preserve">Figure </w:t>
      </w:r>
      <w:r w:rsidR="008E66F1">
        <w:rPr>
          <w:noProof/>
        </w:rPr>
        <w:t>1</w:t>
      </w:r>
      <w:r w:rsidR="008D7235">
        <w:fldChar w:fldCharType="end"/>
      </w:r>
      <w:r w:rsidR="00605197">
        <w:t>,</w:t>
      </w:r>
      <w:r w:rsidR="000A0C0C">
        <w:t xml:space="preserve"> </w:t>
      </w:r>
      <w:r w:rsidR="002B51DC">
        <w:t>-45dB</w:t>
      </w:r>
      <w:r w:rsidR="005D6D3E">
        <w:t>m</w:t>
      </w:r>
      <w:r w:rsidR="002B51DC">
        <w:t xml:space="preserve"> </w:t>
      </w:r>
      <w:r w:rsidR="005D6D3E">
        <w:t xml:space="preserve">RSRP </w:t>
      </w:r>
      <w:r w:rsidR="002B51DC">
        <w:t>leve</w:t>
      </w:r>
      <w:r w:rsidR="005D6D3E">
        <w:t>l can be seen at two different distance</w:t>
      </w:r>
      <w:r w:rsidR="006772F0">
        <w:t>s</w:t>
      </w:r>
      <w:r w:rsidR="00BC588A">
        <w:t xml:space="preserve"> with 70m separa</w:t>
      </w:r>
      <w:r w:rsidR="00AF7EEB">
        <w:t>tion</w:t>
      </w:r>
      <w:r w:rsidR="005D6D3E">
        <w:t>.</w:t>
      </w:r>
      <w:r w:rsidR="00AF7EEB">
        <w:t xml:space="preserve"> </w:t>
      </w:r>
      <w:r w:rsidR="002B51DC">
        <w:t xml:space="preserve"> </w:t>
      </w:r>
    </w:p>
    <w:p w14:paraId="30F7D87C" w14:textId="170A0FE6" w:rsidR="001757BA" w:rsidRDefault="00601ECB" w:rsidP="00911AB3">
      <w:r w:rsidRPr="00601ECB">
        <w:rPr>
          <w:b/>
          <w:bCs/>
        </w:rPr>
        <w:t xml:space="preserve">If the triggering conditions are solely based </w:t>
      </w:r>
      <w:bookmarkStart w:id="16" w:name="_Hlk134607971"/>
      <w:r w:rsidRPr="00601ECB">
        <w:rPr>
          <w:b/>
          <w:bCs/>
        </w:rPr>
        <w:t xml:space="preserve">on </w:t>
      </w:r>
      <w:r w:rsidRPr="0079109C">
        <w:rPr>
          <w:b/>
          <w:bCs/>
        </w:rPr>
        <w:t>the UE location relative to the source RRH</w:t>
      </w:r>
      <w:bookmarkEnd w:id="16"/>
      <w:r w:rsidR="00337437">
        <w:rPr>
          <w:b/>
          <w:bCs/>
        </w:rPr>
        <w:t xml:space="preserve">, </w:t>
      </w:r>
      <w:r w:rsidR="00337437" w:rsidRPr="003225DD">
        <w:rPr>
          <w:b/>
          <w:bCs/>
        </w:rPr>
        <w:t>then</w:t>
      </w:r>
      <w:r w:rsidR="004C788B" w:rsidRPr="003225DD">
        <w:rPr>
          <w:b/>
          <w:bCs/>
        </w:rPr>
        <w:t xml:space="preserve"> a</w:t>
      </w:r>
      <w:r w:rsidR="00337437" w:rsidRPr="003225DD">
        <w:rPr>
          <w:b/>
          <w:bCs/>
        </w:rPr>
        <w:t xml:space="preserve"> </w:t>
      </w:r>
      <w:r w:rsidR="00736F5B" w:rsidRPr="003225DD">
        <w:rPr>
          <w:b/>
          <w:bCs/>
        </w:rPr>
        <w:t xml:space="preserve">mechanism to </w:t>
      </w:r>
      <w:r w:rsidR="001B3917" w:rsidRPr="003225DD">
        <w:rPr>
          <w:b/>
          <w:bCs/>
        </w:rPr>
        <w:t xml:space="preserve">correctly estimate </w:t>
      </w:r>
      <w:r w:rsidR="00736F5B" w:rsidRPr="003225DD">
        <w:rPr>
          <w:b/>
          <w:bCs/>
        </w:rPr>
        <w:t xml:space="preserve">the train distance to the source RRH </w:t>
      </w:r>
      <w:r w:rsidR="004C788B" w:rsidRPr="003225DD">
        <w:rPr>
          <w:b/>
          <w:bCs/>
        </w:rPr>
        <w:t>is required</w:t>
      </w:r>
      <w:r w:rsidR="004C788B">
        <w:t>. Howe</w:t>
      </w:r>
      <w:r w:rsidR="00400A1E">
        <w:t>ver,</w:t>
      </w:r>
      <w:r w:rsidR="00F76950">
        <w:t xml:space="preserve"> if</w:t>
      </w:r>
      <w:r w:rsidR="00400A1E">
        <w:t xml:space="preserve"> such mechanism</w:t>
      </w:r>
      <w:r w:rsidR="00E9672A">
        <w:t>s</w:t>
      </w:r>
      <w:r w:rsidR="00F76950">
        <w:t xml:space="preserve"> based on </w:t>
      </w:r>
      <w:r w:rsidR="00E9672A">
        <w:t xml:space="preserve">the </w:t>
      </w:r>
      <w:r w:rsidR="00F76950">
        <w:t>timing or frequency</w:t>
      </w:r>
      <w:r w:rsidR="00E9672A">
        <w:t xml:space="preserve"> information, they are</w:t>
      </w:r>
      <w:r w:rsidR="00400A1E">
        <w:t xml:space="preserve"> expected to be practically challenging. </w:t>
      </w:r>
      <w:r w:rsidR="004176B5">
        <w:t xml:space="preserve">This is </w:t>
      </w:r>
      <w:r w:rsidR="0065104F">
        <w:t xml:space="preserve">because </w:t>
      </w:r>
      <w:r w:rsidR="00E9672A">
        <w:t xml:space="preserve">those </w:t>
      </w:r>
      <w:r w:rsidR="003D68BC">
        <w:t xml:space="preserve">methods </w:t>
      </w:r>
      <w:r w:rsidR="0065104F">
        <w:t>all require</w:t>
      </w:r>
      <w:r w:rsidR="004176B5">
        <w:t xml:space="preserve"> th</w:t>
      </w:r>
      <w:r w:rsidR="00D1231A">
        <w:t>e</w:t>
      </w:r>
      <w:r w:rsidR="00E44313">
        <w:t xml:space="preserve"> knowledge of the</w:t>
      </w:r>
      <w:r w:rsidR="00D1231A">
        <w:t xml:space="preserve"> train speed and inter-site distance </w:t>
      </w:r>
      <w:r w:rsidR="003D68BC">
        <w:t>for the</w:t>
      </w:r>
      <w:r w:rsidR="00525632">
        <w:t xml:space="preserve"> calculat</w:t>
      </w:r>
      <w:r w:rsidR="003D68BC">
        <w:t>ion of</w:t>
      </w:r>
      <w:r w:rsidR="00525632">
        <w:t xml:space="preserve"> the distance</w:t>
      </w:r>
      <w:r w:rsidR="00E44313">
        <w:t>,</w:t>
      </w:r>
      <w:r w:rsidR="00F57154">
        <w:t xml:space="preserve"> </w:t>
      </w:r>
      <w:r w:rsidR="00E44313">
        <w:t>whereas</w:t>
      </w:r>
      <w:r w:rsidR="00F57154">
        <w:t xml:space="preserve"> these factors </w:t>
      </w:r>
      <w:r w:rsidR="00A55B73">
        <w:t>are</w:t>
      </w:r>
      <w:r w:rsidR="0093604D">
        <w:t xml:space="preserve"> not always constant</w:t>
      </w:r>
      <w:r w:rsidR="00A55B73">
        <w:t xml:space="preserve"> </w:t>
      </w:r>
      <w:r w:rsidR="0072015E">
        <w:t xml:space="preserve">along the track in practice. </w:t>
      </w:r>
      <w:r w:rsidR="007E65A4">
        <w:t>Inaccurate distance estimation</w:t>
      </w:r>
      <w:r w:rsidR="00917389">
        <w:t xml:space="preserve"> may</w:t>
      </w:r>
      <w:r w:rsidR="007E65A4">
        <w:t xml:space="preserve"> lead to </w:t>
      </w:r>
      <w:r w:rsidR="00917389">
        <w:t>too early or too late</w:t>
      </w:r>
      <w:r w:rsidR="007E65A4" w:rsidRPr="00920A15">
        <w:t xml:space="preserve"> HO</w:t>
      </w:r>
      <w:r w:rsidR="007E65A4">
        <w:t>/beam switching</w:t>
      </w:r>
      <w:r w:rsidR="00917389">
        <w:t>.</w:t>
      </w:r>
    </w:p>
    <w:p w14:paraId="1A3EA776" w14:textId="2DE8C16A" w:rsidR="00C626C7" w:rsidRDefault="00C626C7" w:rsidP="00C626C7">
      <w:r>
        <w:rPr>
          <w:b/>
          <w:bCs/>
        </w:rPr>
        <w:t xml:space="preserve">Combining both signal level and distance </w:t>
      </w:r>
      <w:r w:rsidR="00E62191">
        <w:rPr>
          <w:b/>
          <w:bCs/>
        </w:rPr>
        <w:t xml:space="preserve">information </w:t>
      </w:r>
      <w:r w:rsidR="00E62191">
        <w:t>in the triggering conditions will</w:t>
      </w:r>
      <w:r w:rsidR="00EF6DB6">
        <w:t xml:space="preserve"> in general</w:t>
      </w:r>
      <w:r w:rsidR="00E62191">
        <w:t xml:space="preserve"> inherit </w:t>
      </w:r>
      <w:r w:rsidR="00BF69F0">
        <w:t>the challenges seen in each approach</w:t>
      </w:r>
      <w:r w:rsidR="00EF6DB6">
        <w:t xml:space="preserve">. However, </w:t>
      </w:r>
      <w:r w:rsidR="00E41388">
        <w:t>it</w:t>
      </w:r>
      <w:r w:rsidR="00832ED1">
        <w:t xml:space="preserve"> may alleviate</w:t>
      </w:r>
      <w:r w:rsidR="002F305A">
        <w:t xml:space="preserve"> the need for highly accurate distance estimat</w:t>
      </w:r>
      <w:r w:rsidR="00516E5E">
        <w:t>ion</w:t>
      </w:r>
      <w:r w:rsidR="002F305A">
        <w:t xml:space="preserve"> </w:t>
      </w:r>
      <w:r w:rsidR="00945F23">
        <w:t xml:space="preserve">and avoid </w:t>
      </w:r>
      <w:r w:rsidR="006F561D">
        <w:t>point</w:t>
      </w:r>
      <w:r w:rsidR="003F5F25">
        <w:t>s</w:t>
      </w:r>
      <w:r w:rsidR="006F561D">
        <w:t xml:space="preserve"> with high RSRP level but</w:t>
      </w:r>
      <w:r w:rsidR="003F5F25">
        <w:t xml:space="preserve"> still</w:t>
      </w:r>
      <w:r w:rsidR="006F561D">
        <w:t xml:space="preserve"> far</w:t>
      </w:r>
      <w:r w:rsidR="003F5F25">
        <w:t xml:space="preserve"> from the source RRH.</w:t>
      </w:r>
    </w:p>
    <w:p w14:paraId="0AEB345D" w14:textId="10319CDA" w:rsidR="008A5B2B" w:rsidRDefault="008A5B2B" w:rsidP="002F305A">
      <w:pPr>
        <w:pStyle w:val="RAN4observation0"/>
      </w:pPr>
      <w:bookmarkStart w:id="17" w:name="_Toc135077484"/>
      <w:r w:rsidRPr="00F00234">
        <w:t>Triggering conditions based on signal quality level</w:t>
      </w:r>
      <w:r w:rsidRPr="00920A15">
        <w:t xml:space="preserve"> (RSRP,</w:t>
      </w:r>
      <w:r>
        <w:t xml:space="preserve"> </w:t>
      </w:r>
      <w:proofErr w:type="spellStart"/>
      <w:r>
        <w:t>etc</w:t>
      </w:r>
      <w:proofErr w:type="spellEnd"/>
      <w:r>
        <w:t>) may cause</w:t>
      </w:r>
      <w:r w:rsidRPr="00920A15">
        <w:t xml:space="preserve"> too early or too late</w:t>
      </w:r>
      <w:r>
        <w:t xml:space="preserve"> HO/Beam switch due to impact of channel variation. Whereas, t</w:t>
      </w:r>
      <w:r w:rsidRPr="00F00234">
        <w:t xml:space="preserve">riggering conditions based </w:t>
      </w:r>
      <w:r w:rsidRPr="00917389">
        <w:t>on the UE location relative to the source RRH</w:t>
      </w:r>
      <w:r>
        <w:t xml:space="preserve"> are practically challenging. Combining </w:t>
      </w:r>
      <w:r w:rsidR="002F305A" w:rsidRPr="002F305A">
        <w:t>both signal level and distance information</w:t>
      </w:r>
      <w:r w:rsidR="002F305A">
        <w:t xml:space="preserve"> may </w:t>
      </w:r>
      <w:r w:rsidR="003F5F25">
        <w:t>alleviate the need for highly accurate distance estimation and avoid points with high RSRP level but still far from the source RRH.</w:t>
      </w:r>
      <w:bookmarkEnd w:id="17"/>
    </w:p>
    <w:p w14:paraId="03FC4F4B" w14:textId="4F19ADDF" w:rsidR="00FB1587" w:rsidRDefault="00FB1587" w:rsidP="008E76B7"/>
    <w:p w14:paraId="58FC7F6C" w14:textId="4539223D" w:rsidR="00FA77EB" w:rsidRDefault="00FA77EB" w:rsidP="008E76B7">
      <w:pPr>
        <w:rPr>
          <w:b/>
          <w:bCs/>
          <w:sz w:val="24"/>
          <w:szCs w:val="28"/>
          <w:u w:val="single"/>
        </w:rPr>
      </w:pPr>
      <w:r w:rsidRPr="00FA77EB">
        <w:rPr>
          <w:b/>
          <w:bCs/>
          <w:sz w:val="24"/>
          <w:szCs w:val="28"/>
          <w:u w:val="single"/>
        </w:rPr>
        <w:t>Method for detection of early HO/beam switch triggering position</w:t>
      </w:r>
    </w:p>
    <w:p w14:paraId="3022C77B" w14:textId="51F49210" w:rsidR="00324F39" w:rsidRPr="00324F39" w:rsidRDefault="00324F39" w:rsidP="008E76B7">
      <w:r w:rsidRPr="00033C71">
        <w:rPr>
          <w:b/>
          <w:bCs/>
        </w:rPr>
        <w:lastRenderedPageBreak/>
        <w:t>The conditions for triggering early HO/beam switch essentially need to ensure the proper triggering distance while being less independent to channel condition</w:t>
      </w:r>
      <w:r w:rsidRPr="003B02B8">
        <w:t xml:space="preserve"> </w:t>
      </w:r>
      <w:r w:rsidRPr="00A9557A">
        <w:t>(if based on RSRP levels)</w:t>
      </w:r>
      <w:r>
        <w:t xml:space="preserve"> and </w:t>
      </w:r>
      <w:r>
        <w:rPr>
          <w:b/>
          <w:bCs/>
        </w:rPr>
        <w:t>practically feasible</w:t>
      </w:r>
      <w:r>
        <w:t xml:space="preserve"> </w:t>
      </w:r>
      <w:r w:rsidRPr="00A9557A">
        <w:t>(i.e., the UE speeds and inter-site distance, if triggering is based on distance).</w:t>
      </w:r>
      <w:r>
        <w:t xml:space="preserve"> </w:t>
      </w:r>
    </w:p>
    <w:p w14:paraId="6B98727B" w14:textId="564410DA" w:rsidR="003D32A9" w:rsidRDefault="0071390C" w:rsidP="00E310E3">
      <w:r>
        <w:t xml:space="preserve">In the following, we </w:t>
      </w:r>
      <w:r w:rsidR="00282F87">
        <w:t>specifically</w:t>
      </w:r>
      <w:r w:rsidR="00EF3E91">
        <w:t xml:space="preserve"> </w:t>
      </w:r>
      <w:r>
        <w:t xml:space="preserve">describe a method </w:t>
      </w:r>
      <w:r w:rsidR="00564C2A">
        <w:t>which</w:t>
      </w:r>
      <w:r w:rsidR="00D96ABE">
        <w:t xml:space="preserve"> is simple but</w:t>
      </w:r>
      <w:r w:rsidR="00564C2A">
        <w:t xml:space="preserve"> </w:t>
      </w:r>
      <w:r w:rsidR="00C16475">
        <w:t xml:space="preserve">may </w:t>
      </w:r>
      <w:r w:rsidR="00564C2A">
        <w:t>potentially</w:t>
      </w:r>
      <w:r>
        <w:t xml:space="preserve"> </w:t>
      </w:r>
      <w:r w:rsidR="00477B3E">
        <w:t>provide</w:t>
      </w:r>
      <w:r w:rsidR="00C16475">
        <w:t xml:space="preserve"> </w:t>
      </w:r>
      <w:r w:rsidR="00D96ABE">
        <w:t>more</w:t>
      </w:r>
      <w:r w:rsidR="00477B3E">
        <w:t xml:space="preserve"> </w:t>
      </w:r>
      <w:r w:rsidR="005760F0">
        <w:t>accurate detection</w:t>
      </w:r>
      <w:r w:rsidR="00C16475">
        <w:t xml:space="preserve"> a</w:t>
      </w:r>
      <w:r w:rsidR="00477B3E">
        <w:t xml:space="preserve"> proper location to trigger the early HO/Beam switch </w:t>
      </w:r>
      <w:r w:rsidR="00307B2B">
        <w:t xml:space="preserve">early triggering </w:t>
      </w:r>
      <w:r w:rsidR="002F01B9">
        <w:t>distances</w:t>
      </w:r>
      <w:r w:rsidR="00307B2B">
        <w:t>.</w:t>
      </w:r>
      <w:r w:rsidR="00E310E3">
        <w:t xml:space="preserve"> </w:t>
      </w:r>
      <w:r w:rsidR="00300ECC">
        <w:t xml:space="preserve">The </w:t>
      </w:r>
      <w:r w:rsidR="005760F0">
        <w:t xml:space="preserve">idea is to </w:t>
      </w:r>
      <w:r w:rsidR="00091A85">
        <w:t>rely on</w:t>
      </w:r>
      <w:r w:rsidR="00633EB6" w:rsidRPr="006424A3">
        <w:rPr>
          <w:b/>
          <w:bCs/>
        </w:rPr>
        <w:t xml:space="preserve"> </w:t>
      </w:r>
      <w:r w:rsidR="006062B9">
        <w:rPr>
          <w:b/>
          <w:bCs/>
        </w:rPr>
        <w:t>a</w:t>
      </w:r>
      <w:r w:rsidR="00633EB6" w:rsidRPr="006424A3">
        <w:rPr>
          <w:b/>
          <w:bCs/>
        </w:rPr>
        <w:t xml:space="preserve"> special Tx beam deployment in which one</w:t>
      </w:r>
      <w:r w:rsidR="00645BCD" w:rsidRPr="006424A3">
        <w:rPr>
          <w:b/>
          <w:bCs/>
        </w:rPr>
        <w:t xml:space="preserve"> additional Tx beam</w:t>
      </w:r>
      <w:r w:rsidR="00976A32">
        <w:rPr>
          <w:b/>
          <w:bCs/>
        </w:rPr>
        <w:t xml:space="preserve"> having different pointing</w:t>
      </w:r>
      <w:r w:rsidR="0069219B">
        <w:rPr>
          <w:b/>
          <w:bCs/>
        </w:rPr>
        <w:t xml:space="preserve"> angular</w:t>
      </w:r>
      <w:r w:rsidR="00976A32">
        <w:rPr>
          <w:b/>
          <w:bCs/>
        </w:rPr>
        <w:t xml:space="preserve"> direction with the</w:t>
      </w:r>
      <w:r w:rsidR="006062B9">
        <w:rPr>
          <w:b/>
          <w:bCs/>
        </w:rPr>
        <w:t xml:space="preserve"> current beam</w:t>
      </w:r>
      <w:r w:rsidR="00073B50">
        <w:rPr>
          <w:b/>
          <w:bCs/>
        </w:rPr>
        <w:t xml:space="preserve"> (assumed to be parallel to the track)</w:t>
      </w:r>
      <w:r w:rsidR="007071E6" w:rsidRPr="006424A3">
        <w:rPr>
          <w:b/>
          <w:bCs/>
        </w:rPr>
        <w:t>.</w:t>
      </w:r>
      <w:r w:rsidR="007071E6">
        <w:t xml:space="preserve"> </w:t>
      </w:r>
      <w:r w:rsidR="005E0158">
        <w:t xml:space="preserve"> </w:t>
      </w:r>
      <w:r w:rsidR="005E0158" w:rsidRPr="00E004EA">
        <w:rPr>
          <w:b/>
          <w:bCs/>
        </w:rPr>
        <w:t xml:space="preserve">This additional beam </w:t>
      </w:r>
      <w:r w:rsidR="00681928" w:rsidRPr="00E004EA">
        <w:rPr>
          <w:b/>
          <w:bCs/>
        </w:rPr>
        <w:t>will play the role to detect if the UE is approaching nearby the source RRH</w:t>
      </w:r>
      <w:r w:rsidR="000D4FCF" w:rsidRPr="00E004EA">
        <w:rPr>
          <w:b/>
          <w:bCs/>
        </w:rPr>
        <w:t xml:space="preserve">, e.g., </w:t>
      </w:r>
      <w:r w:rsidR="00C21BAA" w:rsidRPr="00E004EA">
        <w:rPr>
          <w:b/>
          <w:bCs/>
        </w:rPr>
        <w:t>when</w:t>
      </w:r>
      <w:r w:rsidR="000D4FCF" w:rsidRPr="00E004EA">
        <w:rPr>
          <w:b/>
          <w:bCs/>
        </w:rPr>
        <w:t xml:space="preserve"> the UE is seeing this beam level </w:t>
      </w:r>
      <w:r w:rsidR="000D4645">
        <w:rPr>
          <w:b/>
          <w:bCs/>
        </w:rPr>
        <w:t xml:space="preserve">(e.g., RSRP) </w:t>
      </w:r>
      <w:r w:rsidR="00C21BAA" w:rsidRPr="00E004EA">
        <w:rPr>
          <w:b/>
          <w:bCs/>
        </w:rPr>
        <w:t>higher</w:t>
      </w:r>
      <w:r w:rsidR="00E004EA" w:rsidRPr="00E004EA">
        <w:rPr>
          <w:b/>
          <w:bCs/>
        </w:rPr>
        <w:t xml:space="preserve"> enough.</w:t>
      </w:r>
      <w:r w:rsidR="00681928">
        <w:t xml:space="preserve"> </w:t>
      </w:r>
    </w:p>
    <w:p w14:paraId="06DC3FA6" w14:textId="338CDBB1" w:rsidR="00A7572D" w:rsidRDefault="00564C2A" w:rsidP="008E76B7">
      <w:r>
        <w:t>For example</w:t>
      </w:r>
      <w:r w:rsidR="00631B62">
        <w:t>,</w:t>
      </w:r>
      <w:r w:rsidR="00FE5842">
        <w:t xml:space="preserve"> the additional</w:t>
      </w:r>
      <w:r w:rsidRPr="00DF1FAE">
        <w:t xml:space="preserve"> beam</w:t>
      </w:r>
      <w:r w:rsidR="00FE5842">
        <w:t xml:space="preserve"> can have the </w:t>
      </w:r>
      <w:r>
        <w:t>main lobe</w:t>
      </w:r>
      <w:r w:rsidRPr="00DF1FAE">
        <w:t xml:space="preserve"> pointing to area near</w:t>
      </w:r>
      <w:r>
        <w:t>by</w:t>
      </w:r>
      <w:r w:rsidRPr="00DF1FAE">
        <w:t xml:space="preserve"> </w:t>
      </w:r>
      <w:r>
        <w:t xml:space="preserve">source </w:t>
      </w:r>
      <w:r w:rsidRPr="00DF1FAE">
        <w:t xml:space="preserve">RRH </w:t>
      </w:r>
      <w:r>
        <w:t xml:space="preserve">(i.e., expected switching area which can be 5-10m from the source RRH) </w:t>
      </w:r>
      <w:r w:rsidRPr="00DF1FAE">
        <w:t>and used for the detection purposes</w:t>
      </w:r>
      <w:r w:rsidR="003D32A9">
        <w:t xml:space="preserve">. </w:t>
      </w:r>
      <w:r w:rsidR="00A7572D">
        <w:rPr>
          <w:lang w:val="en-GB"/>
        </w:rPr>
        <w:t>Intuitively, when</w:t>
      </w:r>
      <w:r w:rsidR="00A7572D">
        <w:t xml:space="preserve"> the UE is still far from the source RRH, the RSRP level of the main beam will be larger than the </w:t>
      </w:r>
      <w:r w:rsidR="00A7572D" w:rsidRPr="000855C9">
        <w:t>detection-assisted beam</w:t>
      </w:r>
      <w:r w:rsidR="00A7572D">
        <w:t xml:space="preserve">. When the UE is approaching the source RRH, the RSRP level of the </w:t>
      </w:r>
      <w:r w:rsidR="00A7572D" w:rsidRPr="000855C9">
        <w:t>detection</w:t>
      </w:r>
      <w:r w:rsidR="00B6369B">
        <w:t xml:space="preserve"> assistance</w:t>
      </w:r>
      <w:r w:rsidR="00A7572D" w:rsidRPr="000855C9">
        <w:t xml:space="preserve"> beam</w:t>
      </w:r>
      <w:r w:rsidR="00A7572D">
        <w:t xml:space="preserve"> will increase and become comparable or even surpass the main-serving beam level at some point. By tracking the level difference between the two beams, the network and/or the UE can be aware whether HO/switch should be triggered. </w:t>
      </w:r>
    </w:p>
    <w:p w14:paraId="2F510F67" w14:textId="5253568B" w:rsidR="0054141D" w:rsidRDefault="0054141D" w:rsidP="0054141D">
      <w:pPr>
        <w:jc w:val="center"/>
      </w:pPr>
      <w:r>
        <w:object w:dxaOrig="6940" w:dyaOrig="2100" w14:anchorId="53C89D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8pt;height:105pt" o:ole="">
            <v:imagedata r:id="rId18" o:title=""/>
          </v:shape>
          <o:OLEObject Type="Embed" ProgID="Visio.Drawing.15" ShapeID="_x0000_i1025" DrawAspect="Content" ObjectID="_1745692129" r:id="rId19"/>
        </w:object>
      </w:r>
    </w:p>
    <w:p w14:paraId="30CAEBC4" w14:textId="3C7F8DBE" w:rsidR="0071390C" w:rsidRPr="0071390C" w:rsidRDefault="006062B9" w:rsidP="008E76B7">
      <w:r w:rsidRPr="00C92CA2">
        <w:rPr>
          <w:b/>
          <w:bCs/>
        </w:rPr>
        <w:t xml:space="preserve">Since the two beams are generated from the same antenna array, </w:t>
      </w:r>
      <w:r w:rsidR="00AA3BD3" w:rsidRPr="00C92CA2">
        <w:rPr>
          <w:b/>
          <w:bCs/>
        </w:rPr>
        <w:t>they share similar properties (e.g, power</w:t>
      </w:r>
      <w:r w:rsidR="00953E29" w:rsidRPr="00C92CA2">
        <w:rPr>
          <w:b/>
          <w:bCs/>
        </w:rPr>
        <w:t>, directivity) and propagate to the UE via the same channels</w:t>
      </w:r>
      <w:r w:rsidR="00A51857" w:rsidRPr="00C92CA2">
        <w:rPr>
          <w:b/>
          <w:bCs/>
        </w:rPr>
        <w:t xml:space="preserve"> (if SSB measurement period is short enough)</w:t>
      </w:r>
      <w:r w:rsidR="00F602B8" w:rsidRPr="00C92CA2">
        <w:rPr>
          <w:b/>
          <w:bCs/>
        </w:rPr>
        <w:t>, except that the</w:t>
      </w:r>
      <w:r w:rsidR="002C73BC" w:rsidRPr="00C92CA2">
        <w:rPr>
          <w:b/>
          <w:bCs/>
        </w:rPr>
        <w:t>ir</w:t>
      </w:r>
      <w:r w:rsidR="00F602B8" w:rsidRPr="00C92CA2">
        <w:rPr>
          <w:b/>
          <w:bCs/>
        </w:rPr>
        <w:t xml:space="preserve"> beamforming gain</w:t>
      </w:r>
      <w:r w:rsidR="002C73BC" w:rsidRPr="00C92CA2">
        <w:rPr>
          <w:b/>
          <w:bCs/>
        </w:rPr>
        <w:t>s</w:t>
      </w:r>
      <w:r w:rsidR="00F602B8" w:rsidRPr="00C92CA2">
        <w:rPr>
          <w:b/>
          <w:bCs/>
        </w:rPr>
        <w:t xml:space="preserve"> to a specific </w:t>
      </w:r>
      <w:r w:rsidR="00290B06" w:rsidRPr="00C92CA2">
        <w:rPr>
          <w:b/>
          <w:bCs/>
        </w:rPr>
        <w:t>pointing position on the track</w:t>
      </w:r>
      <w:r w:rsidR="00F602B8" w:rsidRPr="00C92CA2">
        <w:rPr>
          <w:b/>
          <w:bCs/>
        </w:rPr>
        <w:t xml:space="preserve"> </w:t>
      </w:r>
      <w:r w:rsidR="00290B06" w:rsidRPr="00C92CA2">
        <w:rPr>
          <w:b/>
          <w:bCs/>
        </w:rPr>
        <w:t>are</w:t>
      </w:r>
      <w:r w:rsidR="00F602B8" w:rsidRPr="00C92CA2">
        <w:rPr>
          <w:b/>
          <w:bCs/>
        </w:rPr>
        <w:t xml:space="preserve"> different</w:t>
      </w:r>
      <w:r w:rsidR="00290B06" w:rsidRPr="0006019B">
        <w:t>.</w:t>
      </w:r>
      <w:r w:rsidR="00D450D2" w:rsidRPr="0006019B">
        <w:t xml:space="preserve"> </w:t>
      </w:r>
      <w:r w:rsidR="00460A9E" w:rsidRPr="0006019B">
        <w:t>This means</w:t>
      </w:r>
      <w:r w:rsidR="00460A9E">
        <w:t xml:space="preserve"> t</w:t>
      </w:r>
      <w:r w:rsidR="00D450D2">
        <w:t xml:space="preserve">he RSRP level difference between the beams </w:t>
      </w:r>
      <w:r w:rsidR="0006019B">
        <w:t>is expected to be i</w:t>
      </w:r>
      <w:r w:rsidR="005212D5">
        <w:t>ndependent to the channel condition</w:t>
      </w:r>
      <w:r w:rsidR="00002FA0">
        <w:t xml:space="preserve"> (if SSB measurement period is short)</w:t>
      </w:r>
      <w:r w:rsidR="005212D5">
        <w:t xml:space="preserve">, and </w:t>
      </w:r>
      <w:r w:rsidR="007F1017">
        <w:t>highly correlated to the distance between the UE and source RRHs</w:t>
      </w:r>
      <w:r w:rsidR="00F84650">
        <w:t xml:space="preserve"> which allows for estimating accurate UE position. </w:t>
      </w:r>
    </w:p>
    <w:p w14:paraId="66A65C8F" w14:textId="675F23B3" w:rsidR="00AC1AC8" w:rsidRDefault="00C16611" w:rsidP="008A6188">
      <w:pPr>
        <w:pStyle w:val="RAN4observation0"/>
      </w:pPr>
      <w:bookmarkStart w:id="18" w:name="_Toc135077485"/>
      <w:r>
        <w:t xml:space="preserve">By deploying an additional beam for assisting </w:t>
      </w:r>
      <w:r w:rsidR="00DA56B0">
        <w:t xml:space="preserve">the </w:t>
      </w:r>
      <w:r>
        <w:t>detection the UE location</w:t>
      </w:r>
      <w:r w:rsidR="00DA56B0">
        <w:t>,</w:t>
      </w:r>
      <w:r w:rsidR="00296561">
        <w:t xml:space="preserve"> and</w:t>
      </w:r>
      <w:r w:rsidR="00DA56B0">
        <w:t xml:space="preserve"> by</w:t>
      </w:r>
      <w:r w:rsidR="00296561">
        <w:t xml:space="preserve"> </w:t>
      </w:r>
      <w:r w:rsidR="0067498B">
        <w:t>tracking</w:t>
      </w:r>
      <w:r w:rsidR="00296561">
        <w:t xml:space="preserve"> the level </w:t>
      </w:r>
      <w:r w:rsidR="0022343C">
        <w:t xml:space="preserve">difference </w:t>
      </w:r>
      <w:r w:rsidR="00296561">
        <w:t>between the main and the detection-assisted beam</w:t>
      </w:r>
      <w:r w:rsidR="00DA56B0">
        <w:t>s</w:t>
      </w:r>
      <w:r w:rsidR="00296561">
        <w:t xml:space="preserve">, the </w:t>
      </w:r>
      <w:r w:rsidR="00050F84">
        <w:t>network/UE</w:t>
      </w:r>
      <w:r w:rsidR="00F474FE">
        <w:t xml:space="preserve"> may</w:t>
      </w:r>
      <w:r w:rsidR="00E7770D">
        <w:t xml:space="preserve"> potentially</w:t>
      </w:r>
      <w:r w:rsidR="00050F84">
        <w:t xml:space="preserve"> estimate accurately the</w:t>
      </w:r>
      <w:r w:rsidR="00DA0F01">
        <w:t xml:space="preserve"> UE position towards the source RRH and based on that triggering timely the </w:t>
      </w:r>
      <w:r w:rsidR="0020366D">
        <w:t>HO/beam switching</w:t>
      </w:r>
      <w:r w:rsidR="00843246">
        <w:t>.</w:t>
      </w:r>
      <w:bookmarkEnd w:id="18"/>
    </w:p>
    <w:p w14:paraId="73847EFE" w14:textId="0DAEBA06" w:rsidR="00633FEE" w:rsidRDefault="00633FEE" w:rsidP="00633FEE">
      <w:pPr>
        <w:pStyle w:val="RAN4proposal"/>
      </w:pPr>
      <w:bookmarkStart w:id="19" w:name="_Toc135077486"/>
      <w:r>
        <w:t xml:space="preserve">RAN4 to consider </w:t>
      </w:r>
      <w:r w:rsidR="00E050D7">
        <w:t xml:space="preserve">the method for early CHO/beam switching method </w:t>
      </w:r>
      <w:r w:rsidR="00961D29">
        <w:t>in which</w:t>
      </w:r>
      <w:r w:rsidR="00E050D7">
        <w:t xml:space="preserve"> additional beam is deployed for assisting</w:t>
      </w:r>
      <w:r w:rsidR="00CE0D13">
        <w:t xml:space="preserve"> the</w:t>
      </w:r>
      <w:r w:rsidR="00E050D7">
        <w:t xml:space="preserve"> detection </w:t>
      </w:r>
      <w:r w:rsidR="00CE0D13">
        <w:t>of the</w:t>
      </w:r>
      <w:r w:rsidR="00E050D7">
        <w:t xml:space="preserve"> UE location</w:t>
      </w:r>
      <w:r w:rsidR="00375734">
        <w:t>.</w:t>
      </w:r>
      <w:bookmarkEnd w:id="19"/>
    </w:p>
    <w:p w14:paraId="28202051" w14:textId="77777777" w:rsidR="00633FEE" w:rsidRPr="00540363" w:rsidRDefault="00633FEE" w:rsidP="00540363"/>
    <w:p w14:paraId="3FD6858C" w14:textId="2EC373E0" w:rsidR="0078584B" w:rsidRDefault="00AC0014" w:rsidP="00AA1FA9">
      <w:pPr>
        <w:pStyle w:val="RAN4H3"/>
      </w:pPr>
      <w:r>
        <w:t xml:space="preserve">Selecting the </w:t>
      </w:r>
      <w:r w:rsidR="00C57413">
        <w:t xml:space="preserve">serving </w:t>
      </w:r>
      <w:r w:rsidR="00086525">
        <w:t xml:space="preserve">Tx beam </w:t>
      </w:r>
      <w:r w:rsidR="00AD748D">
        <w:t>direction</w:t>
      </w:r>
    </w:p>
    <w:p w14:paraId="254CC010" w14:textId="77777777" w:rsidR="00D1707C" w:rsidRDefault="00A74795" w:rsidP="00A74795">
      <w:pPr>
        <w:rPr>
          <w:b/>
          <w:bCs/>
        </w:rPr>
      </w:pPr>
      <w:r>
        <w:t xml:space="preserve">Alternative to early triggering HO/beam switching, </w:t>
      </w:r>
      <w:r w:rsidRPr="008E721F">
        <w:rPr>
          <w:b/>
          <w:bCs/>
        </w:rPr>
        <w:t xml:space="preserve">the mobility issue inside the tunnel can be resolved by </w:t>
      </w:r>
      <w:r w:rsidR="00773BE4">
        <w:rPr>
          <w:b/>
          <w:bCs/>
        </w:rPr>
        <w:t xml:space="preserve">the network deployments, i.e., </w:t>
      </w:r>
      <w:r w:rsidR="00635721">
        <w:rPr>
          <w:b/>
          <w:bCs/>
        </w:rPr>
        <w:t>configuring</w:t>
      </w:r>
      <w:r w:rsidR="0001008F" w:rsidRPr="008E721F">
        <w:rPr>
          <w:b/>
          <w:bCs/>
        </w:rPr>
        <w:t xml:space="preserve"> the UE to always connect to </w:t>
      </w:r>
      <w:bookmarkStart w:id="20" w:name="_Hlk134702036"/>
      <w:r w:rsidR="0001008F" w:rsidRPr="008E721F">
        <w:rPr>
          <w:b/>
          <w:bCs/>
        </w:rPr>
        <w:t>the</w:t>
      </w:r>
      <w:r w:rsidR="006A64D5" w:rsidRPr="008E721F">
        <w:rPr>
          <w:b/>
          <w:bCs/>
        </w:rPr>
        <w:t xml:space="preserve"> Tx</w:t>
      </w:r>
      <w:r w:rsidR="0001008F" w:rsidRPr="008E721F">
        <w:rPr>
          <w:b/>
          <w:bCs/>
        </w:rPr>
        <w:t xml:space="preserve"> beam having orientation</w:t>
      </w:r>
      <w:r w:rsidR="008E721F" w:rsidRPr="008E721F">
        <w:rPr>
          <w:b/>
          <w:bCs/>
        </w:rPr>
        <w:t xml:space="preserve"> same with the train travelling direction</w:t>
      </w:r>
      <w:bookmarkEnd w:id="20"/>
      <w:r w:rsidR="008E721F" w:rsidRPr="008E721F">
        <w:rPr>
          <w:b/>
          <w:bCs/>
        </w:rPr>
        <w:t>.</w:t>
      </w:r>
    </w:p>
    <w:p w14:paraId="7B95F2C9" w14:textId="03CA814D" w:rsidR="00226870" w:rsidRDefault="008E721F" w:rsidP="00A74795">
      <w:r w:rsidRPr="00D1707C">
        <w:t>This</w:t>
      </w:r>
      <w:r w:rsidR="00A950E9">
        <w:t xml:space="preserve"> approach</w:t>
      </w:r>
      <w:r w:rsidRPr="00D1707C">
        <w:t xml:space="preserve"> can only be done with Bi-directional deployment</w:t>
      </w:r>
      <w:r w:rsidR="00E161E8" w:rsidRPr="00D1707C">
        <w:t xml:space="preserve"> since </w:t>
      </w:r>
      <w:r w:rsidR="008608BF" w:rsidRPr="00D1707C">
        <w:t xml:space="preserve">the RRHs will provide coverage to both sides which can serve </w:t>
      </w:r>
      <w:r w:rsidR="00635721" w:rsidRPr="00D1707C">
        <w:t xml:space="preserve">the </w:t>
      </w:r>
      <w:r w:rsidR="008608BF" w:rsidRPr="00D1707C">
        <w:t>UE coming from either direction.</w:t>
      </w:r>
      <w:r w:rsidR="004C460F" w:rsidRPr="00D1707C">
        <w:t xml:space="preserve"> </w:t>
      </w:r>
      <w:r w:rsidR="00490247" w:rsidRPr="00D1707C">
        <w:t>Note</w:t>
      </w:r>
      <w:r w:rsidR="00490247">
        <w:t xml:space="preserve"> that, this option </w:t>
      </w:r>
      <w:r w:rsidR="00401B21">
        <w:t xml:space="preserve">does not </w:t>
      </w:r>
      <w:r w:rsidR="0071396F">
        <w:t xml:space="preserve">fully </w:t>
      </w:r>
      <w:r w:rsidR="00401B21">
        <w:t>achieve</w:t>
      </w:r>
      <w:r w:rsidR="00E16BA5">
        <w:t xml:space="preserve"> </w:t>
      </w:r>
      <w:r w:rsidR="00401B21">
        <w:t>the gain of bi-directional deployment</w:t>
      </w:r>
      <w:r w:rsidR="00E16BA5">
        <w:t xml:space="preserve"> as t</w:t>
      </w:r>
      <w:r w:rsidR="00401B21">
        <w:t>he number of RRHs is doubled but the UE is still served by the RRH from one side only</w:t>
      </w:r>
      <w:r w:rsidR="00E16BA5">
        <w:t>. However,</w:t>
      </w:r>
      <w:r w:rsidR="00D2216A">
        <w:t xml:space="preserve"> this option can be acceptable if</w:t>
      </w:r>
      <w:r w:rsidR="00E16BA5">
        <w:t xml:space="preserve"> the </w:t>
      </w:r>
      <w:r w:rsidR="00D2216A">
        <w:t xml:space="preserve">ensuring </w:t>
      </w:r>
      <w:r w:rsidR="00845566">
        <w:t xml:space="preserve">robustness </w:t>
      </w:r>
      <w:r w:rsidR="00E16BA5">
        <w:t>mobility is seen critical</w:t>
      </w:r>
      <w:r w:rsidR="0019386C">
        <w:t xml:space="preserve"> </w:t>
      </w:r>
      <w:r w:rsidR="00845566">
        <w:t xml:space="preserve">in </w:t>
      </w:r>
      <w:r w:rsidR="0019386C">
        <w:t>the case when the train moving opposite to the serving beam</w:t>
      </w:r>
      <w:r w:rsidR="00A335AD">
        <w:t xml:space="preserve"> inside the tunnel.</w:t>
      </w:r>
    </w:p>
    <w:p w14:paraId="665A2A41" w14:textId="490722B8" w:rsidR="00A74795" w:rsidRDefault="00130E51" w:rsidP="00130E51">
      <w:pPr>
        <w:jc w:val="center"/>
      </w:pPr>
      <w:r>
        <w:object w:dxaOrig="7230" w:dyaOrig="1690" w14:anchorId="4232E47A">
          <v:shape id="_x0000_i1026" type="#_x0000_t75" style="width:361.8pt;height:84pt" o:ole="">
            <v:imagedata r:id="rId20" o:title=""/>
          </v:shape>
          <o:OLEObject Type="Embed" ProgID="Visio.Drawing.15" ShapeID="_x0000_i1026" DrawAspect="Content" ObjectID="_1745692130" r:id="rId21"/>
        </w:object>
      </w:r>
    </w:p>
    <w:p w14:paraId="29749D6B" w14:textId="781C7247" w:rsidR="004A23CD" w:rsidRDefault="00D2216A" w:rsidP="004A23CD">
      <w:r>
        <w:t>In general, th</w:t>
      </w:r>
      <w:r w:rsidR="00D93484">
        <w:t>ere are two</w:t>
      </w:r>
      <w:r w:rsidR="00726163">
        <w:t xml:space="preserve"> implementation</w:t>
      </w:r>
      <w:r w:rsidR="00D93484">
        <w:t xml:space="preserve"> approaches that </w:t>
      </w:r>
      <w:r w:rsidR="0086758A">
        <w:t xml:space="preserve">can be </w:t>
      </w:r>
      <w:r w:rsidR="00726163">
        <w:t>used</w:t>
      </w:r>
    </w:p>
    <w:p w14:paraId="112B9C5F" w14:textId="4057489E" w:rsidR="005A3019" w:rsidRDefault="00D4058E" w:rsidP="00047E9E">
      <w:pPr>
        <w:pStyle w:val="ListParagraph"/>
        <w:numPr>
          <w:ilvl w:val="0"/>
          <w:numId w:val="39"/>
        </w:numPr>
        <w:ind w:left="567"/>
      </w:pPr>
      <w:r w:rsidRPr="00B856F2">
        <w:rPr>
          <w:b/>
          <w:bCs/>
        </w:rPr>
        <w:t>Option 1: network to con</w:t>
      </w:r>
      <w:r w:rsidR="00921A29" w:rsidRPr="00B856F2">
        <w:rPr>
          <w:b/>
          <w:bCs/>
        </w:rPr>
        <w:t>figure tunnel</w:t>
      </w:r>
      <w:r w:rsidR="008466BB" w:rsidRPr="00B856F2">
        <w:rPr>
          <w:b/>
          <w:bCs/>
        </w:rPr>
        <w:t>-</w:t>
      </w:r>
      <w:r w:rsidR="00921A29" w:rsidRPr="00B856F2">
        <w:rPr>
          <w:b/>
          <w:bCs/>
        </w:rPr>
        <w:t>RRHs not</w:t>
      </w:r>
      <w:r w:rsidR="00241904" w:rsidRPr="00B856F2">
        <w:rPr>
          <w:b/>
          <w:bCs/>
        </w:rPr>
        <w:t xml:space="preserve"> to</w:t>
      </w:r>
      <w:r w:rsidR="00921A29" w:rsidRPr="00B856F2">
        <w:rPr>
          <w:b/>
          <w:bCs/>
        </w:rPr>
        <w:t xml:space="preserve"> transmit </w:t>
      </w:r>
      <w:r w:rsidR="008466BB" w:rsidRPr="00B856F2">
        <w:rPr>
          <w:b/>
          <w:bCs/>
        </w:rPr>
        <w:t xml:space="preserve">the beam </w:t>
      </w:r>
      <w:r w:rsidR="00D65E16" w:rsidRPr="00B856F2">
        <w:rPr>
          <w:b/>
          <w:bCs/>
        </w:rPr>
        <w:t>pointing opposite to the train moving directions.</w:t>
      </w:r>
      <w:r w:rsidR="008466BB" w:rsidRPr="00B856F2">
        <w:rPr>
          <w:b/>
          <w:bCs/>
        </w:rPr>
        <w:t xml:space="preserve"> </w:t>
      </w:r>
      <w:r w:rsidR="00B856F2">
        <w:rPr>
          <w:b/>
          <w:bCs/>
        </w:rPr>
        <w:t xml:space="preserve"> </w:t>
      </w:r>
      <w:r w:rsidR="000D3F36">
        <w:t xml:space="preserve">Since each RRH can </w:t>
      </w:r>
      <w:r w:rsidR="007305D4" w:rsidRPr="007305D4">
        <w:t>determine the train movement direction (based on previous serving RRH/cell) and</w:t>
      </w:r>
      <w:r w:rsidR="00822415">
        <w:t xml:space="preserve"> configure</w:t>
      </w:r>
      <w:r w:rsidR="007305D4" w:rsidRPr="007305D4">
        <w:t xml:space="preserve"> measurements of serving RRH beams and UE measurement of target RRH</w:t>
      </w:r>
      <w:r w:rsidR="007305D4">
        <w:t xml:space="preserve">. Therefore, the serving RRH can inform </w:t>
      </w:r>
      <w:r w:rsidR="007F6587">
        <w:t>the target RRH</w:t>
      </w:r>
      <w:r w:rsidR="00E358C5">
        <w:t>s</w:t>
      </w:r>
      <w:r w:rsidR="007F6587">
        <w:t xml:space="preserve"> about</w:t>
      </w:r>
      <w:r w:rsidR="00804A49">
        <w:t xml:space="preserve"> the </w:t>
      </w:r>
      <w:r w:rsidR="0058235C">
        <w:t>direction</w:t>
      </w:r>
      <w:r w:rsidR="00906CCA">
        <w:t xml:space="preserve"> and duration</w:t>
      </w:r>
      <w:r w:rsidR="00923B26">
        <w:t xml:space="preserve"> </w:t>
      </w:r>
      <w:r w:rsidR="00FF1B3A">
        <w:t>of</w:t>
      </w:r>
      <w:r w:rsidR="0058235C">
        <w:t xml:space="preserve"> </w:t>
      </w:r>
      <w:r w:rsidR="00E358C5">
        <w:t xml:space="preserve">beams </w:t>
      </w:r>
      <w:r w:rsidR="00FF1B3A">
        <w:t xml:space="preserve">that </w:t>
      </w:r>
      <w:r w:rsidR="00E358C5">
        <w:t>need to be activated</w:t>
      </w:r>
      <w:r w:rsidR="009876B1">
        <w:t xml:space="preserve">. </w:t>
      </w:r>
      <w:r w:rsidR="00906CCA">
        <w:t>The target RRH</w:t>
      </w:r>
      <w:r w:rsidR="006A2E80">
        <w:t>s are then apply the configuration provided by the source RRH and broadcasting the beam</w:t>
      </w:r>
      <w:r w:rsidR="00AF3E83">
        <w:t>s</w:t>
      </w:r>
      <w:r w:rsidR="006A2E80">
        <w:t xml:space="preserve">. </w:t>
      </w:r>
    </w:p>
    <w:p w14:paraId="2C95E82E" w14:textId="05BF2437" w:rsidR="006A2E80" w:rsidRDefault="006A2E80" w:rsidP="005A3019">
      <w:pPr>
        <w:ind w:left="567"/>
      </w:pPr>
      <w:r>
        <w:t>Note that th</w:t>
      </w:r>
      <w:r w:rsidR="00DE53F0">
        <w:t xml:space="preserve">e configuration is transparent to the UE. </w:t>
      </w:r>
      <w:r w:rsidR="00834CE9">
        <w:t>However, this approach is seen infeasible for two-track railway scenario when two train</w:t>
      </w:r>
      <w:r w:rsidR="003D5462">
        <w:t xml:space="preserve">s are travelling in opposite direction </w:t>
      </w:r>
      <w:r w:rsidR="00471F1B">
        <w:t>as</w:t>
      </w:r>
      <w:r w:rsidR="003D5462">
        <w:t xml:space="preserve"> one train </w:t>
      </w:r>
      <w:r w:rsidR="00C80717">
        <w:t>will not be</w:t>
      </w:r>
      <w:r w:rsidR="003D5462">
        <w:t xml:space="preserve"> served.</w:t>
      </w:r>
    </w:p>
    <w:p w14:paraId="1673A514" w14:textId="4E8C4EE6" w:rsidR="00FF11DC" w:rsidRPr="00FF11DC" w:rsidRDefault="00F46B01" w:rsidP="001B4327">
      <w:pPr>
        <w:pStyle w:val="ListParagraph"/>
        <w:numPr>
          <w:ilvl w:val="0"/>
          <w:numId w:val="39"/>
        </w:numPr>
        <w:ind w:left="567"/>
        <w:rPr>
          <w:lang w:val="en-GB"/>
        </w:rPr>
      </w:pPr>
      <w:r w:rsidRPr="00A70AAF">
        <w:rPr>
          <w:b/>
          <w:bCs/>
        </w:rPr>
        <w:t>Option 2:</w:t>
      </w:r>
      <w:r w:rsidR="007709DC" w:rsidRPr="00A70AAF">
        <w:rPr>
          <w:b/>
          <w:bCs/>
        </w:rPr>
        <w:t xml:space="preserve"> </w:t>
      </w:r>
      <w:r w:rsidR="00F6673E" w:rsidRPr="00F6673E">
        <w:t>different to Option 1,</w:t>
      </w:r>
      <w:r w:rsidR="00F6673E">
        <w:rPr>
          <w:b/>
          <w:bCs/>
        </w:rPr>
        <w:t xml:space="preserve"> </w:t>
      </w:r>
      <w:r w:rsidR="007709DC" w:rsidRPr="00A70AAF">
        <w:rPr>
          <w:b/>
          <w:bCs/>
        </w:rPr>
        <w:t>network to still configure tunnel RRHs to transmit all the</w:t>
      </w:r>
      <w:r w:rsidR="001C66BE" w:rsidRPr="00A70AAF">
        <w:rPr>
          <w:b/>
          <w:bCs/>
        </w:rPr>
        <w:t xml:space="preserve"> beam</w:t>
      </w:r>
      <w:r w:rsidR="002439FC">
        <w:rPr>
          <w:b/>
          <w:bCs/>
        </w:rPr>
        <w:t>s</w:t>
      </w:r>
      <w:r w:rsidR="001C66BE" w:rsidRPr="00A70AAF">
        <w:rPr>
          <w:b/>
          <w:bCs/>
        </w:rPr>
        <w:t xml:space="preserve"> in both directions, but configure the UE to measure</w:t>
      </w:r>
      <w:r w:rsidR="005A3019" w:rsidRPr="00A70AAF">
        <w:rPr>
          <w:b/>
          <w:bCs/>
        </w:rPr>
        <w:t xml:space="preserve"> only</w:t>
      </w:r>
      <w:r w:rsidR="001C66BE" w:rsidRPr="00A70AAF">
        <w:rPr>
          <w:b/>
          <w:bCs/>
        </w:rPr>
        <w:t xml:space="preserve"> the same-direction beam</w:t>
      </w:r>
      <w:r w:rsidR="00F91335">
        <w:rPr>
          <w:b/>
          <w:bCs/>
        </w:rPr>
        <w:t xml:space="preserve">. </w:t>
      </w:r>
    </w:p>
    <w:p w14:paraId="7440FA56" w14:textId="3927DE0D" w:rsidR="00130E51" w:rsidRPr="00AF03FC" w:rsidRDefault="008A61A2" w:rsidP="00AF03FC">
      <w:pPr>
        <w:pStyle w:val="RAN4proposal"/>
        <w:rPr>
          <w:bCs/>
        </w:rPr>
      </w:pPr>
      <w:bookmarkStart w:id="21" w:name="_Toc135077487"/>
      <w:r w:rsidRPr="00AF03FC">
        <w:rPr>
          <w:lang w:val="en-GB"/>
        </w:rPr>
        <w:t>RAN4 to consider</w:t>
      </w:r>
      <w:r>
        <w:rPr>
          <w:lang w:val="en-GB"/>
        </w:rPr>
        <w:t>, a</w:t>
      </w:r>
      <w:r w:rsidR="00AF35EB" w:rsidRPr="00AF03FC">
        <w:rPr>
          <w:lang w:val="en-GB"/>
        </w:rPr>
        <w:t xml:space="preserve">lternative to early triggering HO/beam switch, </w:t>
      </w:r>
      <w:r w:rsidR="00A1027D" w:rsidRPr="00AF03FC">
        <w:rPr>
          <w:lang w:val="en-GB"/>
        </w:rPr>
        <w:t>implementation-based</w:t>
      </w:r>
      <w:r w:rsidR="0013100A" w:rsidRPr="00AF03FC">
        <w:rPr>
          <w:lang w:val="en-GB"/>
        </w:rPr>
        <w:t xml:space="preserve"> solution using bi-directional deployment in which </w:t>
      </w:r>
      <w:r w:rsidR="00FF7EA7" w:rsidRPr="00AF03FC">
        <w:rPr>
          <w:lang w:val="en-GB"/>
        </w:rPr>
        <w:t>the UE is configured to always connect to the Tx beam having orientation same with the train travelling direction</w:t>
      </w:r>
      <w:r w:rsidR="008E6A06">
        <w:t>.</w:t>
      </w:r>
      <w:bookmarkEnd w:id="21"/>
      <w:r w:rsidR="00FF7EA7" w:rsidRPr="00AF03FC">
        <w:rPr>
          <w:lang w:val="en-GB"/>
        </w:rPr>
        <w:br/>
      </w:r>
    </w:p>
    <w:p w14:paraId="4C148568" w14:textId="6023E20F" w:rsidR="007656D2" w:rsidRPr="0078584B" w:rsidRDefault="00C40AA2" w:rsidP="00C40AA2">
      <w:pPr>
        <w:pStyle w:val="RAN4H2"/>
      </w:pPr>
      <w:r>
        <w:t>Indication</w:t>
      </w:r>
      <w:r w:rsidR="00A74795">
        <w:t xml:space="preserve"> for tunnel scenario</w:t>
      </w:r>
    </w:p>
    <w:p w14:paraId="782C3506" w14:textId="77777777" w:rsidR="00682DDA" w:rsidRDefault="009F6178" w:rsidP="00695E4B">
      <w:r>
        <w:t xml:space="preserve">When the UE is </w:t>
      </w:r>
      <w:r w:rsidR="00B45B30">
        <w:t>entering the tunnel from the</w:t>
      </w:r>
      <w:r>
        <w:t xml:space="preserve"> open space where the network has Scenario B deployment,</w:t>
      </w:r>
      <w:r w:rsidR="00B45B30">
        <w:t xml:space="preserve"> indication to the UE is needed so that </w:t>
      </w:r>
      <w:r w:rsidR="00061945">
        <w:t xml:space="preserve">the UE can </w:t>
      </w:r>
      <w:r w:rsidR="009A214F">
        <w:t xml:space="preserve">at least </w:t>
      </w:r>
      <w:r w:rsidR="00061945">
        <w:t xml:space="preserve">apply the right set of RRM requirements, e.g., </w:t>
      </w:r>
      <w:r w:rsidR="002B07D2">
        <w:t>reducing</w:t>
      </w:r>
      <w:r w:rsidR="00061945">
        <w:t xml:space="preserve"> the Rx sweeping factor</w:t>
      </w:r>
      <w:r w:rsidR="00EF01C2">
        <w:t>)</w:t>
      </w:r>
      <w:r w:rsidR="009E4E7E">
        <w:t xml:space="preserve">. </w:t>
      </w:r>
    </w:p>
    <w:p w14:paraId="6137333D" w14:textId="3238D852" w:rsidR="004E10E8" w:rsidRDefault="00381478" w:rsidP="00695E4B">
      <w:r>
        <w:t>On the other hand,</w:t>
      </w:r>
      <w:r w:rsidR="005B36F8">
        <w:t xml:space="preserve"> the</w:t>
      </w:r>
      <w:r w:rsidR="00682DDA">
        <w:t xml:space="preserve"> discussion on the solution for mobility issue in the tunnel is ongoing. I</w:t>
      </w:r>
      <w:r w:rsidR="009E4E7E">
        <w:t xml:space="preserve">f later </w:t>
      </w:r>
      <w:r w:rsidR="0083356B">
        <w:t>a special configuration or new requirement</w:t>
      </w:r>
      <w:r w:rsidR="00604DA3">
        <w:t>s</w:t>
      </w:r>
      <w:r w:rsidR="0083356B">
        <w:t xml:space="preserve"> would be defined </w:t>
      </w:r>
      <w:r w:rsidR="00537A2F">
        <w:t>for such problem</w:t>
      </w:r>
      <w:r w:rsidR="0083356B">
        <w:t xml:space="preserve">, </w:t>
      </w:r>
      <w:r w:rsidR="00537A2F">
        <w:t>then a</w:t>
      </w:r>
      <w:r w:rsidR="005B36F8">
        <w:t>n</w:t>
      </w:r>
      <w:r w:rsidR="00537A2F">
        <w:t xml:space="preserve"> indication may</w:t>
      </w:r>
      <w:r w:rsidR="00604DA3">
        <w:t xml:space="preserve"> be</w:t>
      </w:r>
      <w:r w:rsidR="00537A2F">
        <w:t xml:space="preserve"> need</w:t>
      </w:r>
      <w:r w:rsidR="00604DA3">
        <w:t>ed</w:t>
      </w:r>
      <w:r w:rsidR="00537A2F">
        <w:t xml:space="preserve"> </w:t>
      </w:r>
      <w:r w:rsidR="008F021F">
        <w:t>as a trigger for</w:t>
      </w:r>
      <w:r w:rsidR="00EF01C2">
        <w:t xml:space="preserve"> </w:t>
      </w:r>
      <w:r w:rsidR="00604DA3">
        <w:t xml:space="preserve">dedicated mobility </w:t>
      </w:r>
      <w:r w:rsidR="00EF01C2">
        <w:t>configuration</w:t>
      </w:r>
      <w:r w:rsidR="004E10E8">
        <w:t>s</w:t>
      </w:r>
      <w:r w:rsidR="00604DA3">
        <w:t xml:space="preserve"> in the tunnel.</w:t>
      </w:r>
    </w:p>
    <w:p w14:paraId="3443D5C8" w14:textId="21583B6F" w:rsidR="00604DA3" w:rsidRDefault="00381478" w:rsidP="00695E4B">
      <w:r>
        <w:t>Furthermore, we notice that long DRX cycle</w:t>
      </w:r>
      <w:r w:rsidR="008C64B3">
        <w:t xml:space="preserve">s </w:t>
      </w:r>
      <w:r>
        <w:t xml:space="preserve">should not be used for HST FR2 </w:t>
      </w:r>
      <w:r w:rsidR="00542E02">
        <w:t>in some case</w:t>
      </w:r>
      <w:r w:rsidR="0082015D">
        <w:t xml:space="preserve"> even in the open space</w:t>
      </w:r>
      <w:r w:rsidR="00542E02">
        <w:t xml:space="preserve">, especially when the train is moving opposite to the serving beam orientation. </w:t>
      </w:r>
      <w:r w:rsidR="00AA715E">
        <w:t xml:space="preserve">In the tunnel case, as </w:t>
      </w:r>
      <w:r w:rsidR="00675679">
        <w:t>shown in the above simulation results</w:t>
      </w:r>
      <w:r w:rsidR="00CD60B9">
        <w:t xml:space="preserve"> </w:t>
      </w:r>
      <w:r w:rsidR="00CD60B9">
        <w:fldChar w:fldCharType="begin"/>
      </w:r>
      <w:r w:rsidR="00CD60B9">
        <w:instrText xml:space="preserve"> REF _Ref134695101 \h </w:instrText>
      </w:r>
      <w:r w:rsidR="00CD60B9">
        <w:fldChar w:fldCharType="separate"/>
      </w:r>
      <w:r w:rsidR="008E66F1">
        <w:t xml:space="preserve">Figure </w:t>
      </w:r>
      <w:r w:rsidR="008E66F1">
        <w:rPr>
          <w:noProof/>
        </w:rPr>
        <w:t>2</w:t>
      </w:r>
      <w:r w:rsidR="00CD60B9">
        <w:fldChar w:fldCharType="end"/>
      </w:r>
      <w:r w:rsidR="00675679">
        <w:t>, long DRX cycle</w:t>
      </w:r>
      <w:r w:rsidR="008C64B3">
        <w:t xml:space="preserve"> (DRX=160ms) </w:t>
      </w:r>
      <w:r w:rsidR="00FA101F">
        <w:t>may not be usable</w:t>
      </w:r>
      <w:r w:rsidR="00675679">
        <w:t xml:space="preserve"> even </w:t>
      </w:r>
      <w:r w:rsidR="00FA101F">
        <w:t>with</w:t>
      </w:r>
      <w:r w:rsidR="00675679">
        <w:t xml:space="preserve"> a mechanism to trigger early HO. </w:t>
      </w:r>
      <w:r w:rsidR="0051552F">
        <w:t>Therefore, restriction on DRX values may be needed for the tunnel case</w:t>
      </w:r>
      <w:r w:rsidR="009C4B33">
        <w:t xml:space="preserve"> as such requiring some </w:t>
      </w:r>
      <w:r w:rsidR="00453E3C">
        <w:t>indication.</w:t>
      </w:r>
    </w:p>
    <w:p w14:paraId="1413F5B3" w14:textId="14BEDBE2" w:rsidR="00967F71" w:rsidRDefault="00967F71" w:rsidP="00967F71">
      <w:pPr>
        <w:pStyle w:val="RAN4observation0"/>
      </w:pPr>
      <w:bookmarkStart w:id="22" w:name="_Toc135077488"/>
      <w:r>
        <w:t xml:space="preserve">Indication for tunnel deployment may be needed to instruct the UE </w:t>
      </w:r>
      <w:r w:rsidR="007A6495">
        <w:t>applying relevant RRM requirement</w:t>
      </w:r>
      <w:r w:rsidR="00F04233">
        <w:t>s</w:t>
      </w:r>
      <w:r w:rsidR="00453E3C">
        <w:t xml:space="preserve">, trigger specific mobility configuration inside the tunnel or to inform the UE about </w:t>
      </w:r>
      <w:r w:rsidR="00B11D4F">
        <w:t>restriction</w:t>
      </w:r>
      <w:r w:rsidR="00453E3C">
        <w:t xml:space="preserve">/applicability </w:t>
      </w:r>
      <w:r w:rsidR="003E7B90">
        <w:t xml:space="preserve">(e.g., on DRX cycles) </w:t>
      </w:r>
      <w:r w:rsidR="00453E3C">
        <w:t>rule in the tunnel.</w:t>
      </w:r>
      <w:bookmarkEnd w:id="22"/>
    </w:p>
    <w:p w14:paraId="206C3959" w14:textId="512615A3" w:rsidR="004E10E8" w:rsidRDefault="003C56AB" w:rsidP="00695E4B">
      <w:r>
        <w:t xml:space="preserve">One option for tunnel indication could be to reuse from Rel-17 flags, e.g., </w:t>
      </w:r>
      <w:r w:rsidRPr="0087600F">
        <w:rPr>
          <w:i/>
          <w:iCs/>
        </w:rPr>
        <w:t>highSpeedMeasFlagFR2-r17, ENUMERATED {</w:t>
      </w:r>
      <w:r w:rsidRPr="007F1BBE">
        <w:rPr>
          <w:b/>
          <w:bCs/>
          <w:i/>
          <w:iCs/>
        </w:rPr>
        <w:t>set1</w:t>
      </w:r>
      <w:r w:rsidRPr="0087600F">
        <w:rPr>
          <w:i/>
          <w:iCs/>
        </w:rPr>
        <w:t>}</w:t>
      </w:r>
      <w:r>
        <w:rPr>
          <w:i/>
          <w:iCs/>
        </w:rPr>
        <w:t xml:space="preserve"> </w:t>
      </w:r>
      <w:r>
        <w:t xml:space="preserve"> as</w:t>
      </w:r>
      <w:r w:rsidR="00D73095">
        <w:t xml:space="preserve"> the tunnel deployment </w:t>
      </w:r>
      <w:r w:rsidR="003403C8">
        <w:t>share</w:t>
      </w:r>
      <w:r w:rsidR="00F04233">
        <w:t>s</w:t>
      </w:r>
      <w:r w:rsidR="003403C8">
        <w:t xml:space="preserve"> similar mobility behaviors with Scenario A</w:t>
      </w:r>
      <w:r w:rsidR="009A3A0C">
        <w:t>. However, this indication can only instruct</w:t>
      </w:r>
      <w:r w:rsidR="007F1BBE">
        <w:t xml:space="preserve"> the UE </w:t>
      </w:r>
      <w:r w:rsidR="0030285C">
        <w:t>to use</w:t>
      </w:r>
      <w:r w:rsidR="009716C1">
        <w:t xml:space="preserve"> </w:t>
      </w:r>
      <w:r w:rsidR="009716C1" w:rsidRPr="0030285C">
        <w:rPr>
          <w:i/>
          <w:iCs/>
        </w:rPr>
        <w:t>set1</w:t>
      </w:r>
      <w:r w:rsidR="009716C1">
        <w:t xml:space="preserve"> scaling factors. </w:t>
      </w:r>
      <w:r w:rsidR="009A3A0C">
        <w:t>If</w:t>
      </w:r>
      <w:r w:rsidR="009A1985">
        <w:t xml:space="preserve"> </w:t>
      </w:r>
      <w:r w:rsidR="00E2763E">
        <w:t xml:space="preserve">new RRM/Demod requirements </w:t>
      </w:r>
      <w:r w:rsidR="003E7B90">
        <w:t xml:space="preserve">or restriction/applicability rule </w:t>
      </w:r>
      <w:r w:rsidR="00E2763E">
        <w:t>specific for the tunnel case</w:t>
      </w:r>
      <w:r w:rsidR="003E7B90">
        <w:t xml:space="preserve"> would be agreed, then new tunnel indication </w:t>
      </w:r>
      <w:r w:rsidR="003A7364">
        <w:t>is required.</w:t>
      </w:r>
    </w:p>
    <w:p w14:paraId="7C03F194" w14:textId="3F0AACD9" w:rsidR="00967F71" w:rsidRDefault="007A6495" w:rsidP="007A6495">
      <w:pPr>
        <w:pStyle w:val="RAN4proposal"/>
      </w:pPr>
      <w:bookmarkStart w:id="23" w:name="_Toc135077489"/>
      <w:r>
        <w:t xml:space="preserve">RAN4 to discuss if indication for tunnel deployment </w:t>
      </w:r>
      <w:r w:rsidR="00205791">
        <w:t>is needed.</w:t>
      </w:r>
      <w:bookmarkEnd w:id="23"/>
    </w:p>
    <w:p w14:paraId="646F5255" w14:textId="77777777" w:rsidR="007D1474" w:rsidRPr="007D1474" w:rsidRDefault="007D1474" w:rsidP="007D1474"/>
    <w:p w14:paraId="3FAA903B" w14:textId="77777777" w:rsidR="00CD7492" w:rsidRPr="008C39F7" w:rsidRDefault="00CD7492" w:rsidP="00A37002">
      <w:pPr>
        <w:pStyle w:val="RAN4H1"/>
      </w:pPr>
      <w:bookmarkStart w:id="24" w:name="_Toc116995848"/>
      <w:r w:rsidRPr="008C39F7">
        <w:t>Conclusion</w:t>
      </w:r>
      <w:bookmarkEnd w:id="24"/>
    </w:p>
    <w:p w14:paraId="032ED4DD" w14:textId="399EFE44" w:rsidR="00A622CC" w:rsidRDefault="00B07B83" w:rsidP="00936159">
      <w:r>
        <w:t>In this paper we</w:t>
      </w:r>
      <w:r w:rsidR="00A622CC">
        <w:t xml:space="preserve"> gave</w:t>
      </w:r>
      <w:r>
        <w:t xml:space="preserve"> our views on the assumption for deployment </w:t>
      </w:r>
      <w:r w:rsidR="00AF1417">
        <w:t>at the entrance and exit of the tunnel</w:t>
      </w:r>
      <w:r w:rsidR="004B571C">
        <w:t>.</w:t>
      </w:r>
      <w:r w:rsidR="001620C2">
        <w:t xml:space="preserve"> </w:t>
      </w:r>
      <w:r w:rsidR="004B571C">
        <w:t xml:space="preserve">Furthermore, we have also </w:t>
      </w:r>
      <w:r w:rsidR="00A622CC">
        <w:t>provided more detail</w:t>
      </w:r>
      <w:r w:rsidR="003E7830">
        <w:t>ed</w:t>
      </w:r>
      <w:r w:rsidR="00A622CC">
        <w:t xml:space="preserve"> analysis </w:t>
      </w:r>
      <w:r w:rsidR="003E7830">
        <w:t xml:space="preserve">supported by simulation results </w:t>
      </w:r>
      <w:r w:rsidR="00A622CC">
        <w:t xml:space="preserve">on </w:t>
      </w:r>
      <w:r w:rsidR="007C5F22">
        <w:t xml:space="preserve">existing </w:t>
      </w:r>
      <w:r w:rsidR="00A622CC">
        <w:t xml:space="preserve">solutions </w:t>
      </w:r>
      <w:r w:rsidR="007C5F22">
        <w:t>for</w:t>
      </w:r>
      <w:r w:rsidR="00A622CC">
        <w:t xml:space="preserve"> the mobility issue seen in the tunnel when the train is travelling opposite to the beam orientations.</w:t>
      </w:r>
      <w:r w:rsidR="00113D24">
        <w:t xml:space="preserve"> Two new approaches which </w:t>
      </w:r>
      <w:r w:rsidR="00113D24">
        <w:lastRenderedPageBreak/>
        <w:t>potentially resolve the mobility challenges were also proposed.</w:t>
      </w:r>
      <w:r w:rsidR="00B52008">
        <w:t xml:space="preserve"> We also discussed the need of indication dedicated for tunnel scenario.</w:t>
      </w:r>
    </w:p>
    <w:p w14:paraId="10574056" w14:textId="2F399A82" w:rsidR="00D5270B" w:rsidRPr="00284B26" w:rsidRDefault="008B0961" w:rsidP="00936159">
      <w:r w:rsidRPr="008C39F7">
        <w:t>In the paper, t</w:t>
      </w:r>
      <w:r w:rsidR="005B4801" w:rsidRPr="008C39F7">
        <w:t xml:space="preserve">he following Observations </w:t>
      </w:r>
      <w:r w:rsidRPr="008C39F7">
        <w:t>and</w:t>
      </w:r>
      <w:r w:rsidR="005B4801" w:rsidRPr="008C39F7">
        <w:t xml:space="preserve"> Proposals were made:</w:t>
      </w:r>
    </w:p>
    <w:p w14:paraId="32D0093B" w14:textId="35F0033E" w:rsidR="00DE6C36" w:rsidRDefault="00A4355E">
      <w:pPr>
        <w:pStyle w:val="TOC4"/>
        <w:tabs>
          <w:tab w:val="right" w:leader="dot" w:pos="9617"/>
        </w:tabs>
        <w:rPr>
          <w:rFonts w:asciiTheme="minorHAnsi" w:eastAsiaTheme="minorEastAsia" w:hAnsiTheme="minorHAnsi"/>
          <w:noProof/>
          <w:sz w:val="22"/>
        </w:rPr>
      </w:pPr>
      <w:r w:rsidRPr="008C39F7">
        <w:rPr>
          <w:i/>
          <w:iCs/>
          <w:u w:val="single"/>
        </w:rPr>
        <w:fldChar w:fldCharType="begin"/>
      </w:r>
      <w:r w:rsidRPr="008C39F7">
        <w:rPr>
          <w:i/>
          <w:iCs/>
          <w:u w:val="single"/>
        </w:rPr>
        <w:instrText xml:space="preserve"> TOC \n \h \z \t "RAN4 proposal,5,RAN4 observation,4" </w:instrText>
      </w:r>
      <w:r w:rsidRPr="008C39F7">
        <w:rPr>
          <w:i/>
          <w:iCs/>
          <w:u w:val="single"/>
        </w:rPr>
        <w:fldChar w:fldCharType="separate"/>
      </w:r>
      <w:hyperlink w:anchor="_Toc135077478" w:history="1">
        <w:r w:rsidR="00DE6C36" w:rsidRPr="001342B8">
          <w:rPr>
            <w:rStyle w:val="Hyperlink"/>
            <w:b/>
            <w:noProof/>
          </w:rPr>
          <w:t>Observation 1:</w:t>
        </w:r>
        <w:r w:rsidR="00DE6C36" w:rsidRPr="001342B8">
          <w:rPr>
            <w:rStyle w:val="Hyperlink"/>
            <w:noProof/>
          </w:rPr>
          <w:t xml:space="preserve"> The mobility issue may occur at the tunnel entrance/exit due to the signal blockage caused by tunnel outer surface. Nevertheless, such issue can be resolved by deployment approach, i.e., by deploying an open space RRH close the track next the tunnel entrance. Therefore, new RRM requirements are not needed.</w:t>
        </w:r>
      </w:hyperlink>
    </w:p>
    <w:p w14:paraId="71FEE8C8" w14:textId="043B4F8E" w:rsidR="00DE6C36" w:rsidRDefault="00DE6C36">
      <w:pPr>
        <w:pStyle w:val="TOC5"/>
        <w:tabs>
          <w:tab w:val="right" w:leader="dot" w:pos="9617"/>
        </w:tabs>
        <w:rPr>
          <w:rFonts w:asciiTheme="minorHAnsi" w:eastAsiaTheme="minorEastAsia" w:hAnsiTheme="minorHAnsi"/>
          <w:b w:val="0"/>
          <w:noProof/>
          <w:sz w:val="22"/>
        </w:rPr>
      </w:pPr>
      <w:hyperlink w:anchor="_Toc135077479" w:history="1">
        <w:r w:rsidRPr="001342B8">
          <w:rPr>
            <w:rStyle w:val="Hyperlink"/>
            <w:rFonts w:eastAsia="Calibri" w:cs="Times New Roman"/>
            <w:noProof/>
          </w:rPr>
          <w:t>Proposal 1:</w:t>
        </w:r>
        <w:r w:rsidRPr="001342B8">
          <w:rPr>
            <w:rStyle w:val="Hyperlink"/>
            <w:noProof/>
          </w:rPr>
          <w:t xml:space="preserve"> RAN4 to capture the assumption on deployments at the tunnel entrance/exit in the TR on HST FR2</w:t>
        </w:r>
        <w:r w:rsidRPr="001342B8">
          <w:rPr>
            <w:rStyle w:val="Hyperlink"/>
            <w:rFonts w:eastAsia="Calibri" w:cs="Times New Roman"/>
            <w:noProof/>
          </w:rPr>
          <w:t>.</w:t>
        </w:r>
      </w:hyperlink>
    </w:p>
    <w:p w14:paraId="5B354461" w14:textId="0FE93DD7" w:rsidR="00DE6C36" w:rsidRDefault="00DE6C36">
      <w:pPr>
        <w:pStyle w:val="TOC4"/>
        <w:tabs>
          <w:tab w:val="right" w:leader="dot" w:pos="9617"/>
        </w:tabs>
        <w:rPr>
          <w:rFonts w:asciiTheme="minorHAnsi" w:eastAsiaTheme="minorEastAsia" w:hAnsiTheme="minorHAnsi"/>
          <w:noProof/>
          <w:sz w:val="22"/>
        </w:rPr>
      </w:pPr>
      <w:hyperlink w:anchor="_Toc135077480" w:history="1">
        <w:r w:rsidRPr="001342B8">
          <w:rPr>
            <w:rStyle w:val="Hyperlink"/>
            <w:b/>
            <w:noProof/>
          </w:rPr>
          <w:t>Observation 2:</w:t>
        </w:r>
        <w:r w:rsidRPr="001342B8">
          <w:rPr>
            <w:rStyle w:val="Hyperlink"/>
            <w:noProof/>
          </w:rPr>
          <w:t xml:space="preserve"> The mobility issues in the tunnel when the train is travelling opposite to the serving beam orientation can be solved by two approaches: a) triggering early HO/Beam switch (Option 2, 3 and 5); b) making the UE connecting only to the beam having the same orientation with travelling direction.</w:t>
        </w:r>
      </w:hyperlink>
    </w:p>
    <w:p w14:paraId="258D23AB" w14:textId="5874EA51" w:rsidR="00DE6C36" w:rsidRDefault="00DE6C36">
      <w:pPr>
        <w:pStyle w:val="TOC4"/>
        <w:tabs>
          <w:tab w:val="right" w:leader="dot" w:pos="9617"/>
        </w:tabs>
        <w:rPr>
          <w:rFonts w:asciiTheme="minorHAnsi" w:eastAsiaTheme="minorEastAsia" w:hAnsiTheme="minorHAnsi"/>
          <w:noProof/>
          <w:sz w:val="22"/>
        </w:rPr>
      </w:pPr>
      <w:hyperlink w:anchor="_Toc135077481" w:history="1">
        <w:r w:rsidRPr="001342B8">
          <w:rPr>
            <w:rStyle w:val="Hyperlink"/>
            <w:b/>
            <w:noProof/>
          </w:rPr>
          <w:t>Observation 3:</w:t>
        </w:r>
        <w:r w:rsidRPr="001342B8">
          <w:rPr>
            <w:rStyle w:val="Hyperlink"/>
            <w:noProof/>
          </w:rPr>
          <w:t xml:space="preserve"> The system simulation results demonstrated that HO triggering distance have impacts to the mobility performance, i.e., too short triggering distance may still lead to high failure rate, while too longer triggering distance makes the UE staying longer in low SINR condition.</w:t>
        </w:r>
      </w:hyperlink>
    </w:p>
    <w:p w14:paraId="329E1636" w14:textId="05ADE0B5" w:rsidR="00DE6C36" w:rsidRDefault="00DE6C36">
      <w:pPr>
        <w:pStyle w:val="TOC4"/>
        <w:tabs>
          <w:tab w:val="right" w:leader="dot" w:pos="9617"/>
        </w:tabs>
        <w:rPr>
          <w:rFonts w:asciiTheme="minorHAnsi" w:eastAsiaTheme="minorEastAsia" w:hAnsiTheme="minorHAnsi"/>
          <w:noProof/>
          <w:sz w:val="22"/>
        </w:rPr>
      </w:pPr>
      <w:hyperlink w:anchor="_Toc135077482" w:history="1">
        <w:r w:rsidRPr="001342B8">
          <w:rPr>
            <w:rStyle w:val="Hyperlink"/>
            <w:b/>
            <w:noProof/>
          </w:rPr>
          <w:t>Observation 4:</w:t>
        </w:r>
        <w:r w:rsidRPr="001342B8">
          <w:rPr>
            <w:rStyle w:val="Hyperlink"/>
            <w:noProof/>
          </w:rPr>
          <w:t xml:space="preserve"> DRX cannot be use in tunnel deployment when the train is travelling opposite the serving beam orientation.</w:t>
        </w:r>
      </w:hyperlink>
    </w:p>
    <w:p w14:paraId="75C6ED35" w14:textId="54685FC1" w:rsidR="00DE6C36" w:rsidRDefault="00DE6C36">
      <w:pPr>
        <w:pStyle w:val="TOC5"/>
        <w:tabs>
          <w:tab w:val="right" w:leader="dot" w:pos="9617"/>
        </w:tabs>
        <w:rPr>
          <w:rFonts w:asciiTheme="minorHAnsi" w:eastAsiaTheme="minorEastAsia" w:hAnsiTheme="minorHAnsi"/>
          <w:b w:val="0"/>
          <w:noProof/>
          <w:sz w:val="22"/>
        </w:rPr>
      </w:pPr>
      <w:hyperlink w:anchor="_Toc135077483" w:history="1">
        <w:r w:rsidRPr="001342B8">
          <w:rPr>
            <w:rStyle w:val="Hyperlink"/>
            <w:noProof/>
          </w:rPr>
          <w:t>Proposal 2: RAN4 to restrict the use of DRX in tunnel deployment.</w:t>
        </w:r>
      </w:hyperlink>
    </w:p>
    <w:p w14:paraId="6B86F10E" w14:textId="61A04B16" w:rsidR="00DE6C36" w:rsidRDefault="00DE6C36">
      <w:pPr>
        <w:pStyle w:val="TOC4"/>
        <w:tabs>
          <w:tab w:val="right" w:leader="dot" w:pos="9617"/>
        </w:tabs>
        <w:rPr>
          <w:rFonts w:asciiTheme="minorHAnsi" w:eastAsiaTheme="minorEastAsia" w:hAnsiTheme="minorHAnsi"/>
          <w:noProof/>
          <w:sz w:val="22"/>
        </w:rPr>
      </w:pPr>
      <w:hyperlink w:anchor="_Toc135077484" w:history="1">
        <w:r w:rsidRPr="001342B8">
          <w:rPr>
            <w:rStyle w:val="Hyperlink"/>
            <w:b/>
            <w:noProof/>
          </w:rPr>
          <w:t>Observation 5:</w:t>
        </w:r>
        <w:r w:rsidRPr="001342B8">
          <w:rPr>
            <w:rStyle w:val="Hyperlink"/>
            <w:noProof/>
          </w:rPr>
          <w:t xml:space="preserve"> Triggering conditions based on signal quality level (RSRP, etc) may cause too early or too late HO/Beam switch due to impact of channel variation. Whereas, triggering conditions based on the UE location relative to the source RRH are practically challenging. Combining both signal level and distance information may alleviate the need for highly accurate distance estimation and avoid points with high RSRP level but still far from the source RRH.</w:t>
        </w:r>
      </w:hyperlink>
    </w:p>
    <w:p w14:paraId="32DA8805" w14:textId="4C656726" w:rsidR="00DE6C36" w:rsidRDefault="00DE6C36">
      <w:pPr>
        <w:pStyle w:val="TOC4"/>
        <w:tabs>
          <w:tab w:val="right" w:leader="dot" w:pos="9617"/>
        </w:tabs>
        <w:rPr>
          <w:rFonts w:asciiTheme="minorHAnsi" w:eastAsiaTheme="minorEastAsia" w:hAnsiTheme="minorHAnsi"/>
          <w:noProof/>
          <w:sz w:val="22"/>
        </w:rPr>
      </w:pPr>
      <w:hyperlink w:anchor="_Toc135077485" w:history="1">
        <w:r w:rsidRPr="001342B8">
          <w:rPr>
            <w:rStyle w:val="Hyperlink"/>
            <w:b/>
            <w:noProof/>
          </w:rPr>
          <w:t>Observation 6:</w:t>
        </w:r>
        <w:r w:rsidRPr="001342B8">
          <w:rPr>
            <w:rStyle w:val="Hyperlink"/>
            <w:noProof/>
          </w:rPr>
          <w:t xml:space="preserve"> By deploying an additional beam for assisting the detection the UE location, and by tracking the level difference between the main and the detection-assisted beams, the network/UE may potentially estimate accurately the UE position towards the source RRH and based on that triggering timely the HO/beam switching.</w:t>
        </w:r>
      </w:hyperlink>
    </w:p>
    <w:p w14:paraId="04A0EAE2" w14:textId="643B1D74" w:rsidR="00DE6C36" w:rsidRDefault="00DE6C36">
      <w:pPr>
        <w:pStyle w:val="TOC5"/>
        <w:tabs>
          <w:tab w:val="right" w:leader="dot" w:pos="9617"/>
        </w:tabs>
        <w:rPr>
          <w:rFonts w:asciiTheme="minorHAnsi" w:eastAsiaTheme="minorEastAsia" w:hAnsiTheme="minorHAnsi"/>
          <w:b w:val="0"/>
          <w:noProof/>
          <w:sz w:val="22"/>
        </w:rPr>
      </w:pPr>
      <w:hyperlink w:anchor="_Toc135077486" w:history="1">
        <w:r w:rsidRPr="001342B8">
          <w:rPr>
            <w:rStyle w:val="Hyperlink"/>
            <w:noProof/>
          </w:rPr>
          <w:t>Proposal 3: RAN4 to consider the method for early CHO/beam switching method in which additional beam is deployed for assisting the detection of the UE location.</w:t>
        </w:r>
      </w:hyperlink>
    </w:p>
    <w:p w14:paraId="2C5F8305" w14:textId="70E167E1" w:rsidR="00DE6C36" w:rsidRDefault="00DE6C36">
      <w:pPr>
        <w:pStyle w:val="TOC5"/>
        <w:tabs>
          <w:tab w:val="right" w:leader="dot" w:pos="9617"/>
        </w:tabs>
        <w:rPr>
          <w:rFonts w:asciiTheme="minorHAnsi" w:eastAsiaTheme="minorEastAsia" w:hAnsiTheme="minorHAnsi"/>
          <w:b w:val="0"/>
          <w:noProof/>
          <w:sz w:val="22"/>
        </w:rPr>
      </w:pPr>
      <w:hyperlink w:anchor="_Toc135077487" w:history="1">
        <w:r w:rsidRPr="001342B8">
          <w:rPr>
            <w:rStyle w:val="Hyperlink"/>
            <w:bCs/>
            <w:noProof/>
          </w:rPr>
          <w:t>Proposal 4:</w:t>
        </w:r>
        <w:r w:rsidRPr="001342B8">
          <w:rPr>
            <w:rStyle w:val="Hyperlink"/>
            <w:noProof/>
            <w:lang w:val="en-GB"/>
          </w:rPr>
          <w:t xml:space="preserve"> RAN4 to consider, alternative to early triggering HO/beam switch, implementation-based solution using bi-directional deployment in which the UE is configured to always connect to the Tx beam having orientation same with the train travelling direction</w:t>
        </w:r>
        <w:r w:rsidRPr="001342B8">
          <w:rPr>
            <w:rStyle w:val="Hyperlink"/>
            <w:noProof/>
          </w:rPr>
          <w:t>.</w:t>
        </w:r>
      </w:hyperlink>
    </w:p>
    <w:p w14:paraId="67322304" w14:textId="4D5E090A" w:rsidR="00DE6C36" w:rsidRDefault="00DE6C36">
      <w:pPr>
        <w:pStyle w:val="TOC4"/>
        <w:tabs>
          <w:tab w:val="right" w:leader="dot" w:pos="9617"/>
        </w:tabs>
        <w:rPr>
          <w:rFonts w:asciiTheme="minorHAnsi" w:eastAsiaTheme="minorEastAsia" w:hAnsiTheme="minorHAnsi"/>
          <w:noProof/>
          <w:sz w:val="22"/>
        </w:rPr>
      </w:pPr>
      <w:hyperlink w:anchor="_Toc135077488" w:history="1">
        <w:r w:rsidRPr="001342B8">
          <w:rPr>
            <w:rStyle w:val="Hyperlink"/>
            <w:b/>
            <w:noProof/>
          </w:rPr>
          <w:t>Observation 7:</w:t>
        </w:r>
        <w:r w:rsidRPr="001342B8">
          <w:rPr>
            <w:rStyle w:val="Hyperlink"/>
            <w:noProof/>
          </w:rPr>
          <w:t xml:space="preserve"> Indication for tunnel deployment may be needed to instruct the UE applying relevant RRM requirements, trigger specific mobility configuration inside the tunnel or to inform the UE about restriction/applicability (e.g., on DRX cycles) rule in the tunnel.</w:t>
        </w:r>
      </w:hyperlink>
    </w:p>
    <w:p w14:paraId="0976463E" w14:textId="72C33C9A" w:rsidR="00DE6C36" w:rsidRDefault="00DE6C36">
      <w:pPr>
        <w:pStyle w:val="TOC5"/>
        <w:tabs>
          <w:tab w:val="right" w:leader="dot" w:pos="9617"/>
        </w:tabs>
        <w:rPr>
          <w:rFonts w:asciiTheme="minorHAnsi" w:eastAsiaTheme="minorEastAsia" w:hAnsiTheme="minorHAnsi"/>
          <w:b w:val="0"/>
          <w:noProof/>
          <w:sz w:val="22"/>
        </w:rPr>
      </w:pPr>
      <w:hyperlink w:anchor="_Toc135077489" w:history="1">
        <w:r w:rsidRPr="001342B8">
          <w:rPr>
            <w:rStyle w:val="Hyperlink"/>
            <w:noProof/>
          </w:rPr>
          <w:t>Proposal 5: RAN4 to discuss if indication for tunnel deployment is needed.</w:t>
        </w:r>
      </w:hyperlink>
    </w:p>
    <w:p w14:paraId="28FAB70C" w14:textId="197180AF" w:rsidR="00847264" w:rsidRPr="008C39F7" w:rsidRDefault="00A4355E" w:rsidP="008C39F7">
      <w:r w:rsidRPr="008C39F7">
        <w:fldChar w:fldCharType="end"/>
      </w:r>
      <w:bookmarkStart w:id="25" w:name="_Toc116995849"/>
    </w:p>
    <w:p w14:paraId="354D130A" w14:textId="77777777" w:rsidR="003B659E" w:rsidRPr="008C39F7" w:rsidRDefault="003B659E" w:rsidP="0060543D">
      <w:pPr>
        <w:pStyle w:val="RAN4H1"/>
        <w:numPr>
          <w:ilvl w:val="0"/>
          <w:numId w:val="0"/>
        </w:numPr>
        <w:ind w:left="360" w:hanging="360"/>
      </w:pPr>
      <w:r w:rsidRPr="008C39F7">
        <w:t>References</w:t>
      </w:r>
      <w:bookmarkEnd w:id="25"/>
    </w:p>
    <w:p w14:paraId="28157A14" w14:textId="77777777" w:rsidR="009D12B9" w:rsidRDefault="009D12B9" w:rsidP="009D12B9">
      <w:pPr>
        <w:pStyle w:val="ListParagraph"/>
        <w:numPr>
          <w:ilvl w:val="0"/>
          <w:numId w:val="21"/>
        </w:numPr>
      </w:pPr>
      <w:bookmarkStart w:id="26" w:name="_Ref114500673"/>
      <w:bookmarkStart w:id="27" w:name="_Ref118741312"/>
      <w:bookmarkEnd w:id="26"/>
      <w:r w:rsidRPr="00C72467">
        <w:t>RP-220985, New WID on enhanced NR support for high speed train scenario in frequency range 2 (FR2), Samsung, RAN#95-e, March 17-23, 2022.</w:t>
      </w:r>
      <w:bookmarkEnd w:id="27"/>
    </w:p>
    <w:p w14:paraId="2D20F78D" w14:textId="5F545177" w:rsidR="009D12B9" w:rsidRDefault="000040DC" w:rsidP="000040DC">
      <w:pPr>
        <w:pStyle w:val="ListParagraph"/>
        <w:numPr>
          <w:ilvl w:val="0"/>
          <w:numId w:val="21"/>
        </w:numPr>
        <w:ind w:right="-22"/>
      </w:pPr>
      <w:bookmarkStart w:id="28" w:name="_Ref134706649"/>
      <w:r w:rsidRPr="008C39F7">
        <w:t>R4-</w:t>
      </w:r>
      <w:r w:rsidR="009D12B9">
        <w:t>2306398</w:t>
      </w:r>
      <w:r w:rsidRPr="008C39F7">
        <w:t xml:space="preserve">, </w:t>
      </w:r>
      <w:r w:rsidR="009D12B9" w:rsidRPr="009D12B9">
        <w:t>WF on NR FR2 HST UL Timing Adjustment Solutions and Tunnel Deployment</w:t>
      </w:r>
      <w:r w:rsidRPr="008C39F7">
        <w:t>, Nokia, Nokia Shanghai Bell</w:t>
      </w:r>
      <w:r w:rsidR="00B408B6" w:rsidRPr="008C39F7">
        <w:t xml:space="preserve">, </w:t>
      </w:r>
      <w:r w:rsidR="009D12B9">
        <w:t>RAN4#106bis-e, April 17 – April 26, 2023</w:t>
      </w:r>
      <w:bookmarkEnd w:id="28"/>
    </w:p>
    <w:p w14:paraId="40C636D2" w14:textId="57AD8023" w:rsidR="00846E45" w:rsidRDefault="00846E45" w:rsidP="00846E45">
      <w:pPr>
        <w:pStyle w:val="ListParagraph"/>
        <w:numPr>
          <w:ilvl w:val="0"/>
          <w:numId w:val="21"/>
        </w:numPr>
        <w:ind w:right="-22"/>
      </w:pPr>
      <w:bookmarkStart w:id="29" w:name="_Ref134608248"/>
      <w:r w:rsidRPr="00695E4B">
        <w:t>R4-2220396</w:t>
      </w:r>
      <w:r>
        <w:t xml:space="preserve">, </w:t>
      </w:r>
      <w:r w:rsidRPr="00695E4B">
        <w:t>WF on NR FR2 HST Tunnel deployment and UL timing adjustment</w:t>
      </w:r>
      <w:r>
        <w:t>,</w:t>
      </w:r>
      <w:r w:rsidRPr="00695E4B">
        <w:t xml:space="preserve"> </w:t>
      </w:r>
      <w:r w:rsidRPr="008C39F7">
        <w:t>Nokia, Nokia Shanghai Bell, RAN4 #105, Toulouse, France, November 14 – November 18, 2022.</w:t>
      </w:r>
      <w:bookmarkEnd w:id="29"/>
      <w:r w:rsidRPr="008C39F7">
        <w:t xml:space="preserve"> </w:t>
      </w:r>
    </w:p>
    <w:p w14:paraId="7D901917" w14:textId="1B9352CE" w:rsidR="00A2567A" w:rsidRDefault="00527E16" w:rsidP="000040DC">
      <w:pPr>
        <w:pStyle w:val="ListParagraph"/>
        <w:numPr>
          <w:ilvl w:val="0"/>
          <w:numId w:val="21"/>
        </w:numPr>
        <w:ind w:right="-22"/>
      </w:pPr>
      <w:bookmarkStart w:id="30" w:name="_Ref134706746"/>
      <w:r w:rsidRPr="00527E16">
        <w:t>R4-2304274</w:t>
      </w:r>
      <w:r>
        <w:t xml:space="preserve">, </w:t>
      </w:r>
      <w:r w:rsidR="00B23D53" w:rsidRPr="00B23D53">
        <w:t>On RRM Aspects of Tunnel Deployment Scenarios in HST FR2 Enhanced</w:t>
      </w:r>
      <w:r w:rsidR="00B23D53">
        <w:t xml:space="preserve">, </w:t>
      </w:r>
      <w:r w:rsidR="00B23D53" w:rsidRPr="008C39F7">
        <w:t xml:space="preserve">Nokia, Nokia Shanghai Bell, </w:t>
      </w:r>
      <w:r w:rsidR="00B23D53">
        <w:t>RAN4#106bis-e, April 17 – April 26, 2023</w:t>
      </w:r>
      <w:bookmarkEnd w:id="30"/>
    </w:p>
    <w:p w14:paraId="7DDC69CC" w14:textId="2A5940AB" w:rsidR="0073234D" w:rsidRDefault="0073234D" w:rsidP="000040DC">
      <w:pPr>
        <w:pStyle w:val="ListParagraph"/>
        <w:numPr>
          <w:ilvl w:val="0"/>
          <w:numId w:val="21"/>
        </w:numPr>
        <w:ind w:right="-22"/>
      </w:pPr>
      <w:bookmarkStart w:id="31" w:name="_Ref134706966"/>
      <w:r w:rsidRPr="0073234D">
        <w:t>R4-2304275</w:t>
      </w:r>
      <w:r w:rsidR="00C943C0">
        <w:t xml:space="preserve">, </w:t>
      </w:r>
      <w:r w:rsidR="00C943C0" w:rsidRPr="00C943C0">
        <w:t>System Simulations Results for Tunnel Deployment Scenario in HST FR2 Enhanced</w:t>
      </w:r>
      <w:r w:rsidR="00C943C0">
        <w:t xml:space="preserve">, </w:t>
      </w:r>
      <w:r w:rsidR="00C943C0" w:rsidRPr="008C39F7">
        <w:t xml:space="preserve">Nokia, Nokia Shanghai Bell, </w:t>
      </w:r>
      <w:r w:rsidR="00C943C0">
        <w:t>RAN4#106bis-e, April 17 – April 26, 2023</w:t>
      </w:r>
      <w:bookmarkEnd w:id="31"/>
    </w:p>
    <w:p w14:paraId="2E745CAE" w14:textId="121135D7" w:rsidR="003B6A47" w:rsidRPr="00847264" w:rsidRDefault="003B6A47" w:rsidP="000040DC">
      <w:pPr>
        <w:pStyle w:val="ListParagraph"/>
        <w:numPr>
          <w:ilvl w:val="0"/>
          <w:numId w:val="21"/>
        </w:numPr>
        <w:ind w:right="-22"/>
      </w:pPr>
      <w:bookmarkStart w:id="32" w:name="_Ref134523677"/>
      <w:r w:rsidRPr="003B6A47">
        <w:t>R4-2305211</w:t>
      </w:r>
      <w:r>
        <w:t xml:space="preserve">, </w:t>
      </w:r>
      <w:r w:rsidR="009566FA" w:rsidRPr="009566FA">
        <w:t>Discussion on Tunnel deployment scenario</w:t>
      </w:r>
      <w:r w:rsidR="009566FA">
        <w:t>, Samsung, RAN4#106bis-e, April 17 – April 26, 2023</w:t>
      </w:r>
      <w:bookmarkEnd w:id="32"/>
    </w:p>
    <w:sectPr w:rsidR="003B6A47"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85645" w14:textId="77777777" w:rsidR="00301534" w:rsidRDefault="00301534" w:rsidP="00001C9B">
      <w:pPr>
        <w:spacing w:after="0" w:line="240" w:lineRule="auto"/>
      </w:pPr>
      <w:r>
        <w:separator/>
      </w:r>
    </w:p>
  </w:endnote>
  <w:endnote w:type="continuationSeparator" w:id="0">
    <w:p w14:paraId="32417743" w14:textId="77777777" w:rsidR="00301534" w:rsidRDefault="00301534" w:rsidP="00001C9B">
      <w:pPr>
        <w:spacing w:after="0" w:line="240" w:lineRule="auto"/>
      </w:pPr>
      <w:r>
        <w:continuationSeparator/>
      </w:r>
    </w:p>
  </w:endnote>
  <w:endnote w:type="continuationNotice" w:id="1">
    <w:p w14:paraId="6A5E8650" w14:textId="77777777" w:rsidR="00301534" w:rsidRDefault="003015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F8946" w14:textId="77777777" w:rsidR="00301534" w:rsidRDefault="00301534" w:rsidP="00001C9B">
      <w:pPr>
        <w:spacing w:after="0" w:line="240" w:lineRule="auto"/>
      </w:pPr>
      <w:r>
        <w:separator/>
      </w:r>
    </w:p>
  </w:footnote>
  <w:footnote w:type="continuationSeparator" w:id="0">
    <w:p w14:paraId="19EF6128" w14:textId="77777777" w:rsidR="00301534" w:rsidRDefault="00301534" w:rsidP="00001C9B">
      <w:pPr>
        <w:spacing w:after="0" w:line="240" w:lineRule="auto"/>
      </w:pPr>
      <w:r>
        <w:continuationSeparator/>
      </w:r>
    </w:p>
  </w:footnote>
  <w:footnote w:type="continuationNotice" w:id="1">
    <w:p w14:paraId="2F945D3A" w14:textId="77777777" w:rsidR="00301534" w:rsidRDefault="0030153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256DDB"/>
    <w:multiLevelType w:val="hybridMultilevel"/>
    <w:tmpl w:val="98928C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3E5224"/>
    <w:multiLevelType w:val="hybridMultilevel"/>
    <w:tmpl w:val="FD2E83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C5D5AB8"/>
    <w:multiLevelType w:val="hybridMultilevel"/>
    <w:tmpl w:val="0CDA81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7" w15:restartNumberingAfterBreak="0">
    <w:nsid w:val="23CC78FD"/>
    <w:multiLevelType w:val="hybridMultilevel"/>
    <w:tmpl w:val="EB9A1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AE6F4E"/>
    <w:multiLevelType w:val="hybridMultilevel"/>
    <w:tmpl w:val="734EDF98"/>
    <w:lvl w:ilvl="0" w:tplc="32741ADA">
      <w:start w:val="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E575B1"/>
    <w:multiLevelType w:val="hybridMultilevel"/>
    <w:tmpl w:val="7F9C14F0"/>
    <w:lvl w:ilvl="0" w:tplc="88C68D1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E55C40"/>
    <w:multiLevelType w:val="hybridMultilevel"/>
    <w:tmpl w:val="9B6282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D2610DC"/>
    <w:multiLevelType w:val="hybridMultilevel"/>
    <w:tmpl w:val="FDEE3B06"/>
    <w:lvl w:ilvl="0" w:tplc="08090001">
      <w:start w:val="1"/>
      <w:numFmt w:val="bullet"/>
      <w:lvlText w:val=""/>
      <w:lvlJc w:val="left"/>
      <w:pPr>
        <w:ind w:left="1203" w:hanging="360"/>
      </w:pPr>
      <w:rPr>
        <w:rFonts w:ascii="Symbol" w:hAnsi="Symbol" w:hint="default"/>
      </w:rPr>
    </w:lvl>
    <w:lvl w:ilvl="1" w:tplc="08090003">
      <w:start w:val="1"/>
      <w:numFmt w:val="bullet"/>
      <w:lvlText w:val="o"/>
      <w:lvlJc w:val="left"/>
      <w:pPr>
        <w:ind w:left="1923" w:hanging="360"/>
      </w:pPr>
      <w:rPr>
        <w:rFonts w:ascii="Courier New" w:hAnsi="Courier New" w:cs="Courier New" w:hint="default"/>
      </w:rPr>
    </w:lvl>
    <w:lvl w:ilvl="2" w:tplc="08090005" w:tentative="1">
      <w:start w:val="1"/>
      <w:numFmt w:val="bullet"/>
      <w:lvlText w:val=""/>
      <w:lvlJc w:val="left"/>
      <w:pPr>
        <w:ind w:left="2643" w:hanging="360"/>
      </w:pPr>
      <w:rPr>
        <w:rFonts w:ascii="Wingdings" w:hAnsi="Wingdings" w:hint="default"/>
      </w:rPr>
    </w:lvl>
    <w:lvl w:ilvl="3" w:tplc="08090001" w:tentative="1">
      <w:start w:val="1"/>
      <w:numFmt w:val="bullet"/>
      <w:lvlText w:val=""/>
      <w:lvlJc w:val="left"/>
      <w:pPr>
        <w:ind w:left="3363" w:hanging="360"/>
      </w:pPr>
      <w:rPr>
        <w:rFonts w:ascii="Symbol" w:hAnsi="Symbol" w:hint="default"/>
      </w:rPr>
    </w:lvl>
    <w:lvl w:ilvl="4" w:tplc="08090003" w:tentative="1">
      <w:start w:val="1"/>
      <w:numFmt w:val="bullet"/>
      <w:lvlText w:val="o"/>
      <w:lvlJc w:val="left"/>
      <w:pPr>
        <w:ind w:left="4083" w:hanging="360"/>
      </w:pPr>
      <w:rPr>
        <w:rFonts w:ascii="Courier New" w:hAnsi="Courier New" w:cs="Courier New" w:hint="default"/>
      </w:rPr>
    </w:lvl>
    <w:lvl w:ilvl="5" w:tplc="08090005" w:tentative="1">
      <w:start w:val="1"/>
      <w:numFmt w:val="bullet"/>
      <w:lvlText w:val=""/>
      <w:lvlJc w:val="left"/>
      <w:pPr>
        <w:ind w:left="4803" w:hanging="360"/>
      </w:pPr>
      <w:rPr>
        <w:rFonts w:ascii="Wingdings" w:hAnsi="Wingdings" w:hint="default"/>
      </w:rPr>
    </w:lvl>
    <w:lvl w:ilvl="6" w:tplc="08090001" w:tentative="1">
      <w:start w:val="1"/>
      <w:numFmt w:val="bullet"/>
      <w:lvlText w:val=""/>
      <w:lvlJc w:val="left"/>
      <w:pPr>
        <w:ind w:left="5523" w:hanging="360"/>
      </w:pPr>
      <w:rPr>
        <w:rFonts w:ascii="Symbol" w:hAnsi="Symbol" w:hint="default"/>
      </w:rPr>
    </w:lvl>
    <w:lvl w:ilvl="7" w:tplc="08090003" w:tentative="1">
      <w:start w:val="1"/>
      <w:numFmt w:val="bullet"/>
      <w:lvlText w:val="o"/>
      <w:lvlJc w:val="left"/>
      <w:pPr>
        <w:ind w:left="6243" w:hanging="360"/>
      </w:pPr>
      <w:rPr>
        <w:rFonts w:ascii="Courier New" w:hAnsi="Courier New" w:cs="Courier New" w:hint="default"/>
      </w:rPr>
    </w:lvl>
    <w:lvl w:ilvl="8" w:tplc="08090005" w:tentative="1">
      <w:start w:val="1"/>
      <w:numFmt w:val="bullet"/>
      <w:lvlText w:val=""/>
      <w:lvlJc w:val="left"/>
      <w:pPr>
        <w:ind w:left="6963" w:hanging="360"/>
      </w:pPr>
      <w:rPr>
        <w:rFonts w:ascii="Wingdings" w:hAnsi="Wingdings" w:hint="default"/>
      </w:rPr>
    </w:lvl>
  </w:abstractNum>
  <w:abstractNum w:abstractNumId="14" w15:restartNumberingAfterBreak="0">
    <w:nsid w:val="3ED9431F"/>
    <w:multiLevelType w:val="hybridMultilevel"/>
    <w:tmpl w:val="91AE483E"/>
    <w:lvl w:ilvl="0" w:tplc="FFFFFFFF">
      <w:start w:val="1"/>
      <w:numFmt w:val="lowerLetter"/>
      <w:lvlText w:val="%1."/>
      <w:lvlJc w:val="left"/>
      <w:pPr>
        <w:ind w:left="1267" w:hanging="360"/>
      </w:pPr>
    </w:lvl>
    <w:lvl w:ilvl="1" w:tplc="0809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707" w:hanging="180"/>
      </w:pPr>
    </w:lvl>
    <w:lvl w:ilvl="3" w:tplc="FFFFFFFF" w:tentative="1">
      <w:start w:val="1"/>
      <w:numFmt w:val="decimal"/>
      <w:lvlText w:val="%4."/>
      <w:lvlJc w:val="left"/>
      <w:pPr>
        <w:ind w:left="3427" w:hanging="360"/>
      </w:pPr>
    </w:lvl>
    <w:lvl w:ilvl="4" w:tplc="FFFFFFFF" w:tentative="1">
      <w:start w:val="1"/>
      <w:numFmt w:val="lowerLetter"/>
      <w:lvlText w:val="%5."/>
      <w:lvlJc w:val="left"/>
      <w:pPr>
        <w:ind w:left="4147" w:hanging="360"/>
      </w:pPr>
    </w:lvl>
    <w:lvl w:ilvl="5" w:tplc="FFFFFFFF" w:tentative="1">
      <w:start w:val="1"/>
      <w:numFmt w:val="lowerRoman"/>
      <w:lvlText w:val="%6."/>
      <w:lvlJc w:val="right"/>
      <w:pPr>
        <w:ind w:left="4867" w:hanging="180"/>
      </w:pPr>
    </w:lvl>
    <w:lvl w:ilvl="6" w:tplc="FFFFFFFF" w:tentative="1">
      <w:start w:val="1"/>
      <w:numFmt w:val="decimal"/>
      <w:lvlText w:val="%7."/>
      <w:lvlJc w:val="left"/>
      <w:pPr>
        <w:ind w:left="5587" w:hanging="360"/>
      </w:pPr>
    </w:lvl>
    <w:lvl w:ilvl="7" w:tplc="FFFFFFFF" w:tentative="1">
      <w:start w:val="1"/>
      <w:numFmt w:val="lowerLetter"/>
      <w:lvlText w:val="%8."/>
      <w:lvlJc w:val="left"/>
      <w:pPr>
        <w:ind w:left="6307" w:hanging="360"/>
      </w:pPr>
    </w:lvl>
    <w:lvl w:ilvl="8" w:tplc="FFFFFFFF" w:tentative="1">
      <w:start w:val="1"/>
      <w:numFmt w:val="lowerRoman"/>
      <w:lvlText w:val="%9."/>
      <w:lvlJc w:val="right"/>
      <w:pPr>
        <w:ind w:left="7027" w:hanging="180"/>
      </w:pPr>
    </w:lvl>
  </w:abstractNum>
  <w:abstractNum w:abstractNumId="1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6BC5B07"/>
    <w:multiLevelType w:val="hybridMultilevel"/>
    <w:tmpl w:val="F2FA0458"/>
    <w:lvl w:ilvl="0" w:tplc="88C68D1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495677"/>
    <w:multiLevelType w:val="hybridMultilevel"/>
    <w:tmpl w:val="B790C20A"/>
    <w:lvl w:ilvl="0" w:tplc="08090001">
      <w:start w:val="1"/>
      <w:numFmt w:val="bullet"/>
      <w:lvlText w:val=""/>
      <w:lvlJc w:val="left"/>
      <w:pPr>
        <w:ind w:left="1203" w:hanging="360"/>
      </w:pPr>
      <w:rPr>
        <w:rFonts w:ascii="Symbol" w:hAnsi="Symbol" w:hint="default"/>
      </w:rPr>
    </w:lvl>
    <w:lvl w:ilvl="1" w:tplc="08090003" w:tentative="1">
      <w:start w:val="1"/>
      <w:numFmt w:val="bullet"/>
      <w:lvlText w:val="o"/>
      <w:lvlJc w:val="left"/>
      <w:pPr>
        <w:ind w:left="1923" w:hanging="360"/>
      </w:pPr>
      <w:rPr>
        <w:rFonts w:ascii="Courier New" w:hAnsi="Courier New" w:cs="Courier New" w:hint="default"/>
      </w:rPr>
    </w:lvl>
    <w:lvl w:ilvl="2" w:tplc="08090005" w:tentative="1">
      <w:start w:val="1"/>
      <w:numFmt w:val="bullet"/>
      <w:lvlText w:val=""/>
      <w:lvlJc w:val="left"/>
      <w:pPr>
        <w:ind w:left="2643" w:hanging="360"/>
      </w:pPr>
      <w:rPr>
        <w:rFonts w:ascii="Wingdings" w:hAnsi="Wingdings" w:hint="default"/>
      </w:rPr>
    </w:lvl>
    <w:lvl w:ilvl="3" w:tplc="08090001" w:tentative="1">
      <w:start w:val="1"/>
      <w:numFmt w:val="bullet"/>
      <w:lvlText w:val=""/>
      <w:lvlJc w:val="left"/>
      <w:pPr>
        <w:ind w:left="3363" w:hanging="360"/>
      </w:pPr>
      <w:rPr>
        <w:rFonts w:ascii="Symbol" w:hAnsi="Symbol" w:hint="default"/>
      </w:rPr>
    </w:lvl>
    <w:lvl w:ilvl="4" w:tplc="08090003" w:tentative="1">
      <w:start w:val="1"/>
      <w:numFmt w:val="bullet"/>
      <w:lvlText w:val="o"/>
      <w:lvlJc w:val="left"/>
      <w:pPr>
        <w:ind w:left="4083" w:hanging="360"/>
      </w:pPr>
      <w:rPr>
        <w:rFonts w:ascii="Courier New" w:hAnsi="Courier New" w:cs="Courier New" w:hint="default"/>
      </w:rPr>
    </w:lvl>
    <w:lvl w:ilvl="5" w:tplc="08090005" w:tentative="1">
      <w:start w:val="1"/>
      <w:numFmt w:val="bullet"/>
      <w:lvlText w:val=""/>
      <w:lvlJc w:val="left"/>
      <w:pPr>
        <w:ind w:left="4803" w:hanging="360"/>
      </w:pPr>
      <w:rPr>
        <w:rFonts w:ascii="Wingdings" w:hAnsi="Wingdings" w:hint="default"/>
      </w:rPr>
    </w:lvl>
    <w:lvl w:ilvl="6" w:tplc="08090001" w:tentative="1">
      <w:start w:val="1"/>
      <w:numFmt w:val="bullet"/>
      <w:lvlText w:val=""/>
      <w:lvlJc w:val="left"/>
      <w:pPr>
        <w:ind w:left="5523" w:hanging="360"/>
      </w:pPr>
      <w:rPr>
        <w:rFonts w:ascii="Symbol" w:hAnsi="Symbol" w:hint="default"/>
      </w:rPr>
    </w:lvl>
    <w:lvl w:ilvl="7" w:tplc="08090003" w:tentative="1">
      <w:start w:val="1"/>
      <w:numFmt w:val="bullet"/>
      <w:lvlText w:val="o"/>
      <w:lvlJc w:val="left"/>
      <w:pPr>
        <w:ind w:left="6243" w:hanging="360"/>
      </w:pPr>
      <w:rPr>
        <w:rFonts w:ascii="Courier New" w:hAnsi="Courier New" w:cs="Courier New" w:hint="default"/>
      </w:rPr>
    </w:lvl>
    <w:lvl w:ilvl="8" w:tplc="08090005" w:tentative="1">
      <w:start w:val="1"/>
      <w:numFmt w:val="bullet"/>
      <w:lvlText w:val=""/>
      <w:lvlJc w:val="left"/>
      <w:pPr>
        <w:ind w:left="6963" w:hanging="360"/>
      </w:pPr>
      <w:rPr>
        <w:rFonts w:ascii="Wingdings" w:hAnsi="Wingdings" w:hint="default"/>
      </w:rPr>
    </w:lvl>
  </w:abstractNum>
  <w:abstractNum w:abstractNumId="1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DA0A06"/>
    <w:multiLevelType w:val="hybridMultilevel"/>
    <w:tmpl w:val="646AC40A"/>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AB56400"/>
    <w:multiLevelType w:val="hybridMultilevel"/>
    <w:tmpl w:val="646AC40A"/>
    <w:lvl w:ilvl="0" w:tplc="2000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43356D"/>
    <w:multiLevelType w:val="hybridMultilevel"/>
    <w:tmpl w:val="C8FAC03C"/>
    <w:lvl w:ilvl="0" w:tplc="702604EC">
      <w:start w:val="1"/>
      <w:numFmt w:val="bullet"/>
      <w:lvlText w:val="•"/>
      <w:lvlJc w:val="left"/>
      <w:pPr>
        <w:tabs>
          <w:tab w:val="num" w:pos="720"/>
        </w:tabs>
        <w:ind w:left="720" w:hanging="360"/>
      </w:pPr>
      <w:rPr>
        <w:rFonts w:ascii="Arial" w:hAnsi="Arial" w:hint="default"/>
      </w:rPr>
    </w:lvl>
    <w:lvl w:ilvl="1" w:tplc="4F40D42C" w:tentative="1">
      <w:start w:val="1"/>
      <w:numFmt w:val="bullet"/>
      <w:lvlText w:val="•"/>
      <w:lvlJc w:val="left"/>
      <w:pPr>
        <w:tabs>
          <w:tab w:val="num" w:pos="1440"/>
        </w:tabs>
        <w:ind w:left="1440" w:hanging="360"/>
      </w:pPr>
      <w:rPr>
        <w:rFonts w:ascii="Arial" w:hAnsi="Arial" w:hint="default"/>
      </w:rPr>
    </w:lvl>
    <w:lvl w:ilvl="2" w:tplc="2A9E6930" w:tentative="1">
      <w:start w:val="1"/>
      <w:numFmt w:val="bullet"/>
      <w:lvlText w:val="•"/>
      <w:lvlJc w:val="left"/>
      <w:pPr>
        <w:tabs>
          <w:tab w:val="num" w:pos="2160"/>
        </w:tabs>
        <w:ind w:left="2160" w:hanging="360"/>
      </w:pPr>
      <w:rPr>
        <w:rFonts w:ascii="Arial" w:hAnsi="Arial" w:hint="default"/>
      </w:rPr>
    </w:lvl>
    <w:lvl w:ilvl="3" w:tplc="EB5E2E24">
      <w:start w:val="1"/>
      <w:numFmt w:val="bullet"/>
      <w:lvlText w:val="•"/>
      <w:lvlJc w:val="left"/>
      <w:pPr>
        <w:tabs>
          <w:tab w:val="num" w:pos="2880"/>
        </w:tabs>
        <w:ind w:left="2880" w:hanging="360"/>
      </w:pPr>
      <w:rPr>
        <w:rFonts w:ascii="Arial" w:hAnsi="Arial" w:hint="default"/>
      </w:rPr>
    </w:lvl>
    <w:lvl w:ilvl="4" w:tplc="70CEF122" w:tentative="1">
      <w:start w:val="1"/>
      <w:numFmt w:val="bullet"/>
      <w:lvlText w:val="•"/>
      <w:lvlJc w:val="left"/>
      <w:pPr>
        <w:tabs>
          <w:tab w:val="num" w:pos="3600"/>
        </w:tabs>
        <w:ind w:left="3600" w:hanging="360"/>
      </w:pPr>
      <w:rPr>
        <w:rFonts w:ascii="Arial" w:hAnsi="Arial" w:hint="default"/>
      </w:rPr>
    </w:lvl>
    <w:lvl w:ilvl="5" w:tplc="3E62966C" w:tentative="1">
      <w:start w:val="1"/>
      <w:numFmt w:val="bullet"/>
      <w:lvlText w:val="•"/>
      <w:lvlJc w:val="left"/>
      <w:pPr>
        <w:tabs>
          <w:tab w:val="num" w:pos="4320"/>
        </w:tabs>
        <w:ind w:left="4320" w:hanging="360"/>
      </w:pPr>
      <w:rPr>
        <w:rFonts w:ascii="Arial" w:hAnsi="Arial" w:hint="default"/>
      </w:rPr>
    </w:lvl>
    <w:lvl w:ilvl="6" w:tplc="132A9220" w:tentative="1">
      <w:start w:val="1"/>
      <w:numFmt w:val="bullet"/>
      <w:lvlText w:val="•"/>
      <w:lvlJc w:val="left"/>
      <w:pPr>
        <w:tabs>
          <w:tab w:val="num" w:pos="5040"/>
        </w:tabs>
        <w:ind w:left="5040" w:hanging="360"/>
      </w:pPr>
      <w:rPr>
        <w:rFonts w:ascii="Arial" w:hAnsi="Arial" w:hint="default"/>
      </w:rPr>
    </w:lvl>
    <w:lvl w:ilvl="7" w:tplc="7F2C5842" w:tentative="1">
      <w:start w:val="1"/>
      <w:numFmt w:val="bullet"/>
      <w:lvlText w:val="•"/>
      <w:lvlJc w:val="left"/>
      <w:pPr>
        <w:tabs>
          <w:tab w:val="num" w:pos="5760"/>
        </w:tabs>
        <w:ind w:left="5760" w:hanging="360"/>
      </w:pPr>
      <w:rPr>
        <w:rFonts w:ascii="Arial" w:hAnsi="Arial" w:hint="default"/>
      </w:rPr>
    </w:lvl>
    <w:lvl w:ilvl="8" w:tplc="2F8C7A1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06113BD"/>
    <w:multiLevelType w:val="hybridMultilevel"/>
    <w:tmpl w:val="08366CD8"/>
    <w:lvl w:ilvl="0" w:tplc="20000019">
      <w:start w:val="1"/>
      <w:numFmt w:val="lowerLetter"/>
      <w:lvlText w:val="%1."/>
      <w:lvlJc w:val="left"/>
      <w:pPr>
        <w:ind w:left="1267" w:hanging="360"/>
      </w:pPr>
    </w:lvl>
    <w:lvl w:ilvl="1" w:tplc="08090019" w:tentative="1">
      <w:start w:val="1"/>
      <w:numFmt w:val="lowerLetter"/>
      <w:lvlText w:val="%2."/>
      <w:lvlJc w:val="left"/>
      <w:pPr>
        <w:ind w:left="1987" w:hanging="360"/>
      </w:pPr>
    </w:lvl>
    <w:lvl w:ilvl="2" w:tplc="0809001B" w:tentative="1">
      <w:start w:val="1"/>
      <w:numFmt w:val="lowerRoman"/>
      <w:lvlText w:val="%3."/>
      <w:lvlJc w:val="right"/>
      <w:pPr>
        <w:ind w:left="2707" w:hanging="180"/>
      </w:pPr>
    </w:lvl>
    <w:lvl w:ilvl="3" w:tplc="0809000F" w:tentative="1">
      <w:start w:val="1"/>
      <w:numFmt w:val="decimal"/>
      <w:lvlText w:val="%4."/>
      <w:lvlJc w:val="left"/>
      <w:pPr>
        <w:ind w:left="3427" w:hanging="360"/>
      </w:pPr>
    </w:lvl>
    <w:lvl w:ilvl="4" w:tplc="08090019" w:tentative="1">
      <w:start w:val="1"/>
      <w:numFmt w:val="lowerLetter"/>
      <w:lvlText w:val="%5."/>
      <w:lvlJc w:val="left"/>
      <w:pPr>
        <w:ind w:left="4147" w:hanging="360"/>
      </w:pPr>
    </w:lvl>
    <w:lvl w:ilvl="5" w:tplc="0809001B" w:tentative="1">
      <w:start w:val="1"/>
      <w:numFmt w:val="lowerRoman"/>
      <w:lvlText w:val="%6."/>
      <w:lvlJc w:val="right"/>
      <w:pPr>
        <w:ind w:left="4867" w:hanging="180"/>
      </w:pPr>
    </w:lvl>
    <w:lvl w:ilvl="6" w:tplc="0809000F" w:tentative="1">
      <w:start w:val="1"/>
      <w:numFmt w:val="decimal"/>
      <w:lvlText w:val="%7."/>
      <w:lvlJc w:val="left"/>
      <w:pPr>
        <w:ind w:left="5587" w:hanging="360"/>
      </w:pPr>
    </w:lvl>
    <w:lvl w:ilvl="7" w:tplc="08090019" w:tentative="1">
      <w:start w:val="1"/>
      <w:numFmt w:val="lowerLetter"/>
      <w:lvlText w:val="%8."/>
      <w:lvlJc w:val="left"/>
      <w:pPr>
        <w:ind w:left="6307" w:hanging="360"/>
      </w:pPr>
    </w:lvl>
    <w:lvl w:ilvl="8" w:tplc="0809001B" w:tentative="1">
      <w:start w:val="1"/>
      <w:numFmt w:val="lowerRoman"/>
      <w:lvlText w:val="%9."/>
      <w:lvlJc w:val="right"/>
      <w:pPr>
        <w:ind w:left="7027" w:hanging="180"/>
      </w:pPr>
    </w:lvl>
  </w:abstractNum>
  <w:abstractNum w:abstractNumId="2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B255FE"/>
    <w:multiLevelType w:val="hybridMultilevel"/>
    <w:tmpl w:val="75CE03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9"/>
  </w:num>
  <w:num w:numId="3" w16cid:durableId="1792749823">
    <w:abstractNumId w:val="20"/>
  </w:num>
  <w:num w:numId="4" w16cid:durableId="517735681">
    <w:abstractNumId w:val="8"/>
  </w:num>
  <w:num w:numId="5" w16cid:durableId="1142041724">
    <w:abstractNumId w:val="24"/>
  </w:num>
  <w:num w:numId="6" w16cid:durableId="80681869">
    <w:abstractNumId w:val="16"/>
  </w:num>
  <w:num w:numId="7" w16cid:durableId="1566528953">
    <w:abstractNumId w:val="19"/>
  </w:num>
  <w:num w:numId="8" w16cid:durableId="809788981">
    <w:abstractNumId w:val="19"/>
    <w:lvlOverride w:ilvl="0">
      <w:startOverride w:val="1"/>
    </w:lvlOverride>
  </w:num>
  <w:num w:numId="9" w16cid:durableId="1398822153">
    <w:abstractNumId w:val="19"/>
    <w:lvlOverride w:ilvl="0">
      <w:startOverride w:val="1"/>
    </w:lvlOverride>
  </w:num>
  <w:num w:numId="10" w16cid:durableId="1825466284">
    <w:abstractNumId w:val="19"/>
    <w:lvlOverride w:ilvl="0">
      <w:startOverride w:val="1"/>
    </w:lvlOverride>
  </w:num>
  <w:num w:numId="11" w16cid:durableId="1446922321">
    <w:abstractNumId w:val="16"/>
    <w:lvlOverride w:ilvl="0">
      <w:startOverride w:val="1"/>
    </w:lvlOverride>
  </w:num>
  <w:num w:numId="12" w16cid:durableId="122584543">
    <w:abstractNumId w:val="19"/>
    <w:lvlOverride w:ilvl="0">
      <w:startOverride w:val="1"/>
    </w:lvlOverride>
  </w:num>
  <w:num w:numId="13" w16cid:durableId="818807267">
    <w:abstractNumId w:val="16"/>
    <w:lvlOverride w:ilvl="0">
      <w:startOverride w:val="1"/>
    </w:lvlOverride>
  </w:num>
  <w:num w:numId="14" w16cid:durableId="883829348">
    <w:abstractNumId w:val="19"/>
    <w:lvlOverride w:ilvl="0">
      <w:startOverride w:val="1"/>
    </w:lvlOverride>
  </w:num>
  <w:num w:numId="15" w16cid:durableId="438372887">
    <w:abstractNumId w:val="28"/>
  </w:num>
  <w:num w:numId="16" w16cid:durableId="516113510">
    <w:abstractNumId w:val="5"/>
  </w:num>
  <w:num w:numId="17" w16cid:durableId="1456096507">
    <w:abstractNumId w:val="23"/>
  </w:num>
  <w:num w:numId="18" w16cid:durableId="1397970374">
    <w:abstractNumId w:val="2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5"/>
  </w:num>
  <w:num w:numId="21" w16cid:durableId="1659071369">
    <w:abstractNumId w:val="22"/>
  </w:num>
  <w:num w:numId="22" w16cid:durableId="1938362445">
    <w:abstractNumId w:val="16"/>
    <w:lvlOverride w:ilvl="0">
      <w:startOverride w:val="1"/>
    </w:lvlOverride>
  </w:num>
  <w:num w:numId="23" w16cid:durableId="913515990">
    <w:abstractNumId w:val="19"/>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223370243">
    <w:abstractNumId w:val="4"/>
  </w:num>
  <w:num w:numId="28" w16cid:durableId="423453942">
    <w:abstractNumId w:val="10"/>
  </w:num>
  <w:num w:numId="29" w16cid:durableId="140467504">
    <w:abstractNumId w:val="11"/>
  </w:num>
  <w:num w:numId="30" w16cid:durableId="1010907540">
    <w:abstractNumId w:val="29"/>
  </w:num>
  <w:num w:numId="31" w16cid:durableId="378019036">
    <w:abstractNumId w:val="25"/>
  </w:num>
  <w:num w:numId="32" w16cid:durableId="1823934995">
    <w:abstractNumId w:val="17"/>
  </w:num>
  <w:num w:numId="33" w16cid:durableId="1196887972">
    <w:abstractNumId w:val="7"/>
  </w:num>
  <w:num w:numId="34" w16cid:durableId="803697335">
    <w:abstractNumId w:val="21"/>
  </w:num>
  <w:num w:numId="35" w16cid:durableId="859858904">
    <w:abstractNumId w:val="13"/>
  </w:num>
  <w:num w:numId="36" w16cid:durableId="554971239">
    <w:abstractNumId w:val="18"/>
  </w:num>
  <w:num w:numId="37" w16cid:durableId="553195156">
    <w:abstractNumId w:val="27"/>
  </w:num>
  <w:num w:numId="38" w16cid:durableId="2086369602">
    <w:abstractNumId w:val="12"/>
  </w:num>
  <w:num w:numId="39" w16cid:durableId="1278177357">
    <w:abstractNumId w:val="14"/>
  </w:num>
  <w:num w:numId="40" w16cid:durableId="737287906">
    <w:abstractNumId w:val="26"/>
  </w:num>
  <w:num w:numId="41" w16cid:durableId="132675792">
    <w:abstractNumId w:val="6"/>
  </w:num>
  <w:num w:numId="42" w16cid:durableId="15415495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F5616"/>
    <w:rsid w:val="00001C9B"/>
    <w:rsid w:val="00002FA0"/>
    <w:rsid w:val="000040DC"/>
    <w:rsid w:val="00004853"/>
    <w:rsid w:val="00004F2F"/>
    <w:rsid w:val="00006AAA"/>
    <w:rsid w:val="0001008F"/>
    <w:rsid w:val="00010AFB"/>
    <w:rsid w:val="0001172F"/>
    <w:rsid w:val="00011784"/>
    <w:rsid w:val="000117A3"/>
    <w:rsid w:val="0001350C"/>
    <w:rsid w:val="000151EF"/>
    <w:rsid w:val="000239F5"/>
    <w:rsid w:val="00025AB0"/>
    <w:rsid w:val="00026CB8"/>
    <w:rsid w:val="00032B63"/>
    <w:rsid w:val="00033A0F"/>
    <w:rsid w:val="00033C71"/>
    <w:rsid w:val="00047E9E"/>
    <w:rsid w:val="00050F84"/>
    <w:rsid w:val="000548AE"/>
    <w:rsid w:val="00054BE5"/>
    <w:rsid w:val="0006019B"/>
    <w:rsid w:val="00060505"/>
    <w:rsid w:val="00061945"/>
    <w:rsid w:val="00062598"/>
    <w:rsid w:val="00065619"/>
    <w:rsid w:val="00067A39"/>
    <w:rsid w:val="000701BC"/>
    <w:rsid w:val="0007241C"/>
    <w:rsid w:val="00073430"/>
    <w:rsid w:val="00073B50"/>
    <w:rsid w:val="00076AD4"/>
    <w:rsid w:val="00076C74"/>
    <w:rsid w:val="00080C89"/>
    <w:rsid w:val="000846C9"/>
    <w:rsid w:val="0008612A"/>
    <w:rsid w:val="00086525"/>
    <w:rsid w:val="00090E18"/>
    <w:rsid w:val="00091A85"/>
    <w:rsid w:val="00092BD9"/>
    <w:rsid w:val="000938E5"/>
    <w:rsid w:val="00093FB6"/>
    <w:rsid w:val="00094A3F"/>
    <w:rsid w:val="00097DC1"/>
    <w:rsid w:val="000A0C0C"/>
    <w:rsid w:val="000A10BC"/>
    <w:rsid w:val="000B0056"/>
    <w:rsid w:val="000B5F70"/>
    <w:rsid w:val="000B6D23"/>
    <w:rsid w:val="000B7753"/>
    <w:rsid w:val="000B7E5D"/>
    <w:rsid w:val="000C0354"/>
    <w:rsid w:val="000C1198"/>
    <w:rsid w:val="000C3C7B"/>
    <w:rsid w:val="000C5824"/>
    <w:rsid w:val="000D0F93"/>
    <w:rsid w:val="000D3F36"/>
    <w:rsid w:val="000D42D2"/>
    <w:rsid w:val="000D4645"/>
    <w:rsid w:val="000D4FCF"/>
    <w:rsid w:val="000D530B"/>
    <w:rsid w:val="000F0B5C"/>
    <w:rsid w:val="000F23F5"/>
    <w:rsid w:val="000F3091"/>
    <w:rsid w:val="000F5C06"/>
    <w:rsid w:val="001021B7"/>
    <w:rsid w:val="001055F3"/>
    <w:rsid w:val="00106416"/>
    <w:rsid w:val="00106748"/>
    <w:rsid w:val="00110481"/>
    <w:rsid w:val="00110FF6"/>
    <w:rsid w:val="00112169"/>
    <w:rsid w:val="001127C9"/>
    <w:rsid w:val="00113688"/>
    <w:rsid w:val="00113C00"/>
    <w:rsid w:val="00113D24"/>
    <w:rsid w:val="00114498"/>
    <w:rsid w:val="00114672"/>
    <w:rsid w:val="001149C5"/>
    <w:rsid w:val="00115B88"/>
    <w:rsid w:val="00126B44"/>
    <w:rsid w:val="00130E51"/>
    <w:rsid w:val="0013100A"/>
    <w:rsid w:val="00132F6A"/>
    <w:rsid w:val="001336AB"/>
    <w:rsid w:val="00133913"/>
    <w:rsid w:val="00135341"/>
    <w:rsid w:val="00137C84"/>
    <w:rsid w:val="00140221"/>
    <w:rsid w:val="00145585"/>
    <w:rsid w:val="00146199"/>
    <w:rsid w:val="001577CF"/>
    <w:rsid w:val="001609EC"/>
    <w:rsid w:val="001620C2"/>
    <w:rsid w:val="001642FC"/>
    <w:rsid w:val="0016496B"/>
    <w:rsid w:val="00167F6C"/>
    <w:rsid w:val="0017276C"/>
    <w:rsid w:val="001743E2"/>
    <w:rsid w:val="001745F8"/>
    <w:rsid w:val="001757BA"/>
    <w:rsid w:val="00177090"/>
    <w:rsid w:val="001838CF"/>
    <w:rsid w:val="001868EE"/>
    <w:rsid w:val="00187CCD"/>
    <w:rsid w:val="0019386C"/>
    <w:rsid w:val="001942ED"/>
    <w:rsid w:val="001961C5"/>
    <w:rsid w:val="0019756F"/>
    <w:rsid w:val="001A3BA4"/>
    <w:rsid w:val="001A6D1F"/>
    <w:rsid w:val="001B3917"/>
    <w:rsid w:val="001B4327"/>
    <w:rsid w:val="001B470C"/>
    <w:rsid w:val="001B5C8D"/>
    <w:rsid w:val="001C09BA"/>
    <w:rsid w:val="001C1F16"/>
    <w:rsid w:val="001C30B5"/>
    <w:rsid w:val="001C58BA"/>
    <w:rsid w:val="001C66BE"/>
    <w:rsid w:val="001D58B4"/>
    <w:rsid w:val="001E04FB"/>
    <w:rsid w:val="001E30F6"/>
    <w:rsid w:val="001E6B30"/>
    <w:rsid w:val="001F010D"/>
    <w:rsid w:val="001F1E02"/>
    <w:rsid w:val="001F28D3"/>
    <w:rsid w:val="001F4AD2"/>
    <w:rsid w:val="00201997"/>
    <w:rsid w:val="0020366D"/>
    <w:rsid w:val="00205791"/>
    <w:rsid w:val="00215196"/>
    <w:rsid w:val="00217105"/>
    <w:rsid w:val="00217921"/>
    <w:rsid w:val="00217EE5"/>
    <w:rsid w:val="0022343C"/>
    <w:rsid w:val="0022577F"/>
    <w:rsid w:val="00226870"/>
    <w:rsid w:val="00235F5C"/>
    <w:rsid w:val="00240A3B"/>
    <w:rsid w:val="00241904"/>
    <w:rsid w:val="002439FC"/>
    <w:rsid w:val="00246503"/>
    <w:rsid w:val="002501E0"/>
    <w:rsid w:val="002508A3"/>
    <w:rsid w:val="00251D99"/>
    <w:rsid w:val="002550A9"/>
    <w:rsid w:val="00257FA3"/>
    <w:rsid w:val="002661A9"/>
    <w:rsid w:val="00267020"/>
    <w:rsid w:val="00271169"/>
    <w:rsid w:val="00274120"/>
    <w:rsid w:val="002748DD"/>
    <w:rsid w:val="00276DD9"/>
    <w:rsid w:val="00277B56"/>
    <w:rsid w:val="002818C0"/>
    <w:rsid w:val="00282F87"/>
    <w:rsid w:val="00284B26"/>
    <w:rsid w:val="00290B06"/>
    <w:rsid w:val="00294F94"/>
    <w:rsid w:val="002950F2"/>
    <w:rsid w:val="00296561"/>
    <w:rsid w:val="00296EBD"/>
    <w:rsid w:val="002A19F5"/>
    <w:rsid w:val="002A3096"/>
    <w:rsid w:val="002A3D9E"/>
    <w:rsid w:val="002B0584"/>
    <w:rsid w:val="002B07D2"/>
    <w:rsid w:val="002B2A8C"/>
    <w:rsid w:val="002B3CDD"/>
    <w:rsid w:val="002B4922"/>
    <w:rsid w:val="002B51DC"/>
    <w:rsid w:val="002C22C3"/>
    <w:rsid w:val="002C27C5"/>
    <w:rsid w:val="002C2D19"/>
    <w:rsid w:val="002C3E96"/>
    <w:rsid w:val="002C4B75"/>
    <w:rsid w:val="002C73BC"/>
    <w:rsid w:val="002D10FA"/>
    <w:rsid w:val="002D4C55"/>
    <w:rsid w:val="002E6DED"/>
    <w:rsid w:val="002F01B9"/>
    <w:rsid w:val="002F305A"/>
    <w:rsid w:val="00300956"/>
    <w:rsid w:val="00300ECC"/>
    <w:rsid w:val="00301534"/>
    <w:rsid w:val="0030285C"/>
    <w:rsid w:val="00304BDC"/>
    <w:rsid w:val="003063C7"/>
    <w:rsid w:val="00307539"/>
    <w:rsid w:val="00307B2B"/>
    <w:rsid w:val="003119A7"/>
    <w:rsid w:val="00311B0A"/>
    <w:rsid w:val="00317187"/>
    <w:rsid w:val="003225DD"/>
    <w:rsid w:val="00322694"/>
    <w:rsid w:val="0032499A"/>
    <w:rsid w:val="00324F39"/>
    <w:rsid w:val="003341F7"/>
    <w:rsid w:val="0033512D"/>
    <w:rsid w:val="0033715B"/>
    <w:rsid w:val="00337437"/>
    <w:rsid w:val="00337E11"/>
    <w:rsid w:val="003403C8"/>
    <w:rsid w:val="00341E13"/>
    <w:rsid w:val="00347FEC"/>
    <w:rsid w:val="00350D40"/>
    <w:rsid w:val="003539DA"/>
    <w:rsid w:val="00356F45"/>
    <w:rsid w:val="00361763"/>
    <w:rsid w:val="003652B6"/>
    <w:rsid w:val="00366B74"/>
    <w:rsid w:val="003722A4"/>
    <w:rsid w:val="00372AA6"/>
    <w:rsid w:val="00375734"/>
    <w:rsid w:val="003761CE"/>
    <w:rsid w:val="00377611"/>
    <w:rsid w:val="00381478"/>
    <w:rsid w:val="0039141C"/>
    <w:rsid w:val="0039515D"/>
    <w:rsid w:val="003A710A"/>
    <w:rsid w:val="003A7364"/>
    <w:rsid w:val="003B02B8"/>
    <w:rsid w:val="003B5CF6"/>
    <w:rsid w:val="003B659E"/>
    <w:rsid w:val="003B6A47"/>
    <w:rsid w:val="003C275E"/>
    <w:rsid w:val="003C4FDE"/>
    <w:rsid w:val="003C56AB"/>
    <w:rsid w:val="003D047E"/>
    <w:rsid w:val="003D14E9"/>
    <w:rsid w:val="003D3250"/>
    <w:rsid w:val="003D32A9"/>
    <w:rsid w:val="003D33A5"/>
    <w:rsid w:val="003D38B3"/>
    <w:rsid w:val="003D5462"/>
    <w:rsid w:val="003D68BC"/>
    <w:rsid w:val="003D6DFF"/>
    <w:rsid w:val="003E2EA8"/>
    <w:rsid w:val="003E58DF"/>
    <w:rsid w:val="003E632C"/>
    <w:rsid w:val="003E6CF8"/>
    <w:rsid w:val="003E7830"/>
    <w:rsid w:val="003E7B90"/>
    <w:rsid w:val="003F5F25"/>
    <w:rsid w:val="00400A1E"/>
    <w:rsid w:val="00401B21"/>
    <w:rsid w:val="00403FB2"/>
    <w:rsid w:val="00404C4C"/>
    <w:rsid w:val="0040747D"/>
    <w:rsid w:val="00412203"/>
    <w:rsid w:val="0041423F"/>
    <w:rsid w:val="00414F81"/>
    <w:rsid w:val="00416BF7"/>
    <w:rsid w:val="004174C0"/>
    <w:rsid w:val="004176B5"/>
    <w:rsid w:val="0042234A"/>
    <w:rsid w:val="00424473"/>
    <w:rsid w:val="0043203D"/>
    <w:rsid w:val="0043284A"/>
    <w:rsid w:val="00436A0F"/>
    <w:rsid w:val="00437150"/>
    <w:rsid w:val="0043750A"/>
    <w:rsid w:val="0044215C"/>
    <w:rsid w:val="00453E3C"/>
    <w:rsid w:val="00460A9E"/>
    <w:rsid w:val="00465789"/>
    <w:rsid w:val="00465832"/>
    <w:rsid w:val="00471F1B"/>
    <w:rsid w:val="004732E9"/>
    <w:rsid w:val="0047400E"/>
    <w:rsid w:val="00477B3E"/>
    <w:rsid w:val="00485185"/>
    <w:rsid w:val="004854BB"/>
    <w:rsid w:val="00487A26"/>
    <w:rsid w:val="00490247"/>
    <w:rsid w:val="004906D2"/>
    <w:rsid w:val="00494493"/>
    <w:rsid w:val="00496606"/>
    <w:rsid w:val="004A23CD"/>
    <w:rsid w:val="004B571C"/>
    <w:rsid w:val="004B6769"/>
    <w:rsid w:val="004C460F"/>
    <w:rsid w:val="004C788B"/>
    <w:rsid w:val="004D08B1"/>
    <w:rsid w:val="004D19DD"/>
    <w:rsid w:val="004E10E8"/>
    <w:rsid w:val="004E1547"/>
    <w:rsid w:val="004E3678"/>
    <w:rsid w:val="004E5E66"/>
    <w:rsid w:val="004E7ADB"/>
    <w:rsid w:val="004F794C"/>
    <w:rsid w:val="004F7F54"/>
    <w:rsid w:val="0050257D"/>
    <w:rsid w:val="005038A3"/>
    <w:rsid w:val="00503B4D"/>
    <w:rsid w:val="00504EE9"/>
    <w:rsid w:val="00511BA4"/>
    <w:rsid w:val="0051552F"/>
    <w:rsid w:val="00516E5E"/>
    <w:rsid w:val="005212D5"/>
    <w:rsid w:val="00521576"/>
    <w:rsid w:val="005250E6"/>
    <w:rsid w:val="00525632"/>
    <w:rsid w:val="00527E16"/>
    <w:rsid w:val="00530ACF"/>
    <w:rsid w:val="005311AD"/>
    <w:rsid w:val="00534B35"/>
    <w:rsid w:val="005369BF"/>
    <w:rsid w:val="00537A2F"/>
    <w:rsid w:val="00540363"/>
    <w:rsid w:val="0054141D"/>
    <w:rsid w:val="00542D23"/>
    <w:rsid w:val="00542E02"/>
    <w:rsid w:val="0054442C"/>
    <w:rsid w:val="0054760A"/>
    <w:rsid w:val="00550285"/>
    <w:rsid w:val="005534A0"/>
    <w:rsid w:val="0055602A"/>
    <w:rsid w:val="00562492"/>
    <w:rsid w:val="0056340D"/>
    <w:rsid w:val="005644F6"/>
    <w:rsid w:val="00564C2A"/>
    <w:rsid w:val="005700C2"/>
    <w:rsid w:val="00571563"/>
    <w:rsid w:val="00572A20"/>
    <w:rsid w:val="005760F0"/>
    <w:rsid w:val="00577B0A"/>
    <w:rsid w:val="00581390"/>
    <w:rsid w:val="0058235C"/>
    <w:rsid w:val="005836F8"/>
    <w:rsid w:val="005859F8"/>
    <w:rsid w:val="005918FA"/>
    <w:rsid w:val="00592A86"/>
    <w:rsid w:val="005A2AB2"/>
    <w:rsid w:val="005A3019"/>
    <w:rsid w:val="005A4D72"/>
    <w:rsid w:val="005B36F8"/>
    <w:rsid w:val="005B4281"/>
    <w:rsid w:val="005B4801"/>
    <w:rsid w:val="005B5E9A"/>
    <w:rsid w:val="005B683D"/>
    <w:rsid w:val="005C02F1"/>
    <w:rsid w:val="005C23A4"/>
    <w:rsid w:val="005C3693"/>
    <w:rsid w:val="005C3A6D"/>
    <w:rsid w:val="005C4069"/>
    <w:rsid w:val="005C4095"/>
    <w:rsid w:val="005C7852"/>
    <w:rsid w:val="005D0FDC"/>
    <w:rsid w:val="005D1CDF"/>
    <w:rsid w:val="005D2BB7"/>
    <w:rsid w:val="005D6470"/>
    <w:rsid w:val="005D6D3E"/>
    <w:rsid w:val="005D78B1"/>
    <w:rsid w:val="005E0158"/>
    <w:rsid w:val="005E61A8"/>
    <w:rsid w:val="005E6E4D"/>
    <w:rsid w:val="005F08A8"/>
    <w:rsid w:val="005F08D8"/>
    <w:rsid w:val="005F0942"/>
    <w:rsid w:val="005F0E85"/>
    <w:rsid w:val="005F4C39"/>
    <w:rsid w:val="005F6419"/>
    <w:rsid w:val="00601ECB"/>
    <w:rsid w:val="00602AB6"/>
    <w:rsid w:val="00603CAA"/>
    <w:rsid w:val="00604DA3"/>
    <w:rsid w:val="00605197"/>
    <w:rsid w:val="0060543D"/>
    <w:rsid w:val="006062B9"/>
    <w:rsid w:val="006104DD"/>
    <w:rsid w:val="006130B5"/>
    <w:rsid w:val="00617400"/>
    <w:rsid w:val="00630492"/>
    <w:rsid w:val="00631B62"/>
    <w:rsid w:val="00632D29"/>
    <w:rsid w:val="00633EB6"/>
    <w:rsid w:val="00633FEE"/>
    <w:rsid w:val="00635721"/>
    <w:rsid w:val="00635DF8"/>
    <w:rsid w:val="006405B0"/>
    <w:rsid w:val="006424A3"/>
    <w:rsid w:val="00645BCD"/>
    <w:rsid w:val="00646047"/>
    <w:rsid w:val="00647247"/>
    <w:rsid w:val="0065104F"/>
    <w:rsid w:val="0065115F"/>
    <w:rsid w:val="00652627"/>
    <w:rsid w:val="00653D12"/>
    <w:rsid w:val="006540D2"/>
    <w:rsid w:val="006552BF"/>
    <w:rsid w:val="00656435"/>
    <w:rsid w:val="0066357F"/>
    <w:rsid w:val="006641CB"/>
    <w:rsid w:val="00664950"/>
    <w:rsid w:val="00665512"/>
    <w:rsid w:val="00670FA0"/>
    <w:rsid w:val="00671681"/>
    <w:rsid w:val="0067498B"/>
    <w:rsid w:val="00675679"/>
    <w:rsid w:val="006772F0"/>
    <w:rsid w:val="0068118F"/>
    <w:rsid w:val="00681928"/>
    <w:rsid w:val="00682DDA"/>
    <w:rsid w:val="00682F93"/>
    <w:rsid w:val="00683220"/>
    <w:rsid w:val="0068398D"/>
    <w:rsid w:val="00685F81"/>
    <w:rsid w:val="00687FA0"/>
    <w:rsid w:val="0069219B"/>
    <w:rsid w:val="00695E4B"/>
    <w:rsid w:val="006A2E80"/>
    <w:rsid w:val="006A3C11"/>
    <w:rsid w:val="006A590B"/>
    <w:rsid w:val="006A64D5"/>
    <w:rsid w:val="006B460E"/>
    <w:rsid w:val="006B4B50"/>
    <w:rsid w:val="006B634F"/>
    <w:rsid w:val="006B6ACD"/>
    <w:rsid w:val="006B7010"/>
    <w:rsid w:val="006C3095"/>
    <w:rsid w:val="006E1151"/>
    <w:rsid w:val="006E3264"/>
    <w:rsid w:val="006E3E34"/>
    <w:rsid w:val="006E5436"/>
    <w:rsid w:val="006E6311"/>
    <w:rsid w:val="006F1614"/>
    <w:rsid w:val="006F561D"/>
    <w:rsid w:val="007003BC"/>
    <w:rsid w:val="00703E5C"/>
    <w:rsid w:val="00705104"/>
    <w:rsid w:val="007071E6"/>
    <w:rsid w:val="00710D48"/>
    <w:rsid w:val="007110D0"/>
    <w:rsid w:val="0071390C"/>
    <w:rsid w:val="0071396F"/>
    <w:rsid w:val="007145FF"/>
    <w:rsid w:val="0071516C"/>
    <w:rsid w:val="00715AFD"/>
    <w:rsid w:val="00715B2A"/>
    <w:rsid w:val="0072015E"/>
    <w:rsid w:val="00726163"/>
    <w:rsid w:val="007305D4"/>
    <w:rsid w:val="007307F9"/>
    <w:rsid w:val="00730A24"/>
    <w:rsid w:val="0073234D"/>
    <w:rsid w:val="007335BF"/>
    <w:rsid w:val="00736F5B"/>
    <w:rsid w:val="007440E1"/>
    <w:rsid w:val="007442CA"/>
    <w:rsid w:val="007450F1"/>
    <w:rsid w:val="007465A5"/>
    <w:rsid w:val="00747F7F"/>
    <w:rsid w:val="007505B2"/>
    <w:rsid w:val="00751515"/>
    <w:rsid w:val="00755DF9"/>
    <w:rsid w:val="00760E34"/>
    <w:rsid w:val="00761135"/>
    <w:rsid w:val="007626B7"/>
    <w:rsid w:val="00763396"/>
    <w:rsid w:val="007656D2"/>
    <w:rsid w:val="007709DC"/>
    <w:rsid w:val="00770E0A"/>
    <w:rsid w:val="00773BE4"/>
    <w:rsid w:val="0078212B"/>
    <w:rsid w:val="00783B22"/>
    <w:rsid w:val="00784DF6"/>
    <w:rsid w:val="00785232"/>
    <w:rsid w:val="0078584B"/>
    <w:rsid w:val="007907EB"/>
    <w:rsid w:val="0079109C"/>
    <w:rsid w:val="00796243"/>
    <w:rsid w:val="007A27D7"/>
    <w:rsid w:val="007A58BF"/>
    <w:rsid w:val="007A627F"/>
    <w:rsid w:val="007A6495"/>
    <w:rsid w:val="007B186C"/>
    <w:rsid w:val="007C1696"/>
    <w:rsid w:val="007C2AA6"/>
    <w:rsid w:val="007C3ED0"/>
    <w:rsid w:val="007C5223"/>
    <w:rsid w:val="007C5971"/>
    <w:rsid w:val="007C5F22"/>
    <w:rsid w:val="007C6566"/>
    <w:rsid w:val="007D1474"/>
    <w:rsid w:val="007D3C3C"/>
    <w:rsid w:val="007D470C"/>
    <w:rsid w:val="007D521F"/>
    <w:rsid w:val="007E187B"/>
    <w:rsid w:val="007E65A4"/>
    <w:rsid w:val="007E6738"/>
    <w:rsid w:val="007F1017"/>
    <w:rsid w:val="007F1BBE"/>
    <w:rsid w:val="007F54B9"/>
    <w:rsid w:val="007F5C5A"/>
    <w:rsid w:val="007F6587"/>
    <w:rsid w:val="007F6EB4"/>
    <w:rsid w:val="007F7FE1"/>
    <w:rsid w:val="00801283"/>
    <w:rsid w:val="00802702"/>
    <w:rsid w:val="008029C1"/>
    <w:rsid w:val="008031EB"/>
    <w:rsid w:val="00804897"/>
    <w:rsid w:val="00804A49"/>
    <w:rsid w:val="00806A76"/>
    <w:rsid w:val="00807137"/>
    <w:rsid w:val="00811C9D"/>
    <w:rsid w:val="0081409B"/>
    <w:rsid w:val="00816C80"/>
    <w:rsid w:val="008171A0"/>
    <w:rsid w:val="0082015D"/>
    <w:rsid w:val="00822415"/>
    <w:rsid w:val="00823BDC"/>
    <w:rsid w:val="00826586"/>
    <w:rsid w:val="00827467"/>
    <w:rsid w:val="00832B3C"/>
    <w:rsid w:val="00832ED1"/>
    <w:rsid w:val="0083356B"/>
    <w:rsid w:val="0083357B"/>
    <w:rsid w:val="00834CE9"/>
    <w:rsid w:val="0083751E"/>
    <w:rsid w:val="00841602"/>
    <w:rsid w:val="00841BCD"/>
    <w:rsid w:val="00843246"/>
    <w:rsid w:val="00845566"/>
    <w:rsid w:val="0084658C"/>
    <w:rsid w:val="008466BB"/>
    <w:rsid w:val="00846E45"/>
    <w:rsid w:val="00847264"/>
    <w:rsid w:val="00851A8E"/>
    <w:rsid w:val="0085365B"/>
    <w:rsid w:val="0085385D"/>
    <w:rsid w:val="00854348"/>
    <w:rsid w:val="00854C4F"/>
    <w:rsid w:val="0086080F"/>
    <w:rsid w:val="008608BF"/>
    <w:rsid w:val="00861BED"/>
    <w:rsid w:val="00866F17"/>
    <w:rsid w:val="0086758A"/>
    <w:rsid w:val="008711EB"/>
    <w:rsid w:val="00872AB4"/>
    <w:rsid w:val="00876508"/>
    <w:rsid w:val="008826C1"/>
    <w:rsid w:val="00883DFD"/>
    <w:rsid w:val="008965D2"/>
    <w:rsid w:val="00896B10"/>
    <w:rsid w:val="00897690"/>
    <w:rsid w:val="008A1BF7"/>
    <w:rsid w:val="008A5B0E"/>
    <w:rsid w:val="008A5B2B"/>
    <w:rsid w:val="008A5C41"/>
    <w:rsid w:val="008A6188"/>
    <w:rsid w:val="008A61A2"/>
    <w:rsid w:val="008B0676"/>
    <w:rsid w:val="008B0961"/>
    <w:rsid w:val="008B1A88"/>
    <w:rsid w:val="008B5290"/>
    <w:rsid w:val="008B5D76"/>
    <w:rsid w:val="008C2272"/>
    <w:rsid w:val="008C39F7"/>
    <w:rsid w:val="008C64B3"/>
    <w:rsid w:val="008D120A"/>
    <w:rsid w:val="008D2A8B"/>
    <w:rsid w:val="008D7235"/>
    <w:rsid w:val="008E038D"/>
    <w:rsid w:val="008E09A5"/>
    <w:rsid w:val="008E3DD7"/>
    <w:rsid w:val="008E66F1"/>
    <w:rsid w:val="008E6A06"/>
    <w:rsid w:val="008E721F"/>
    <w:rsid w:val="008E76B7"/>
    <w:rsid w:val="008F021F"/>
    <w:rsid w:val="008F0DD7"/>
    <w:rsid w:val="008F5616"/>
    <w:rsid w:val="008F5AC3"/>
    <w:rsid w:val="0090091A"/>
    <w:rsid w:val="009042BD"/>
    <w:rsid w:val="00904FE4"/>
    <w:rsid w:val="00906CCA"/>
    <w:rsid w:val="00911AB3"/>
    <w:rsid w:val="009126B5"/>
    <w:rsid w:val="0091409C"/>
    <w:rsid w:val="0091595B"/>
    <w:rsid w:val="00917389"/>
    <w:rsid w:val="009200D1"/>
    <w:rsid w:val="00920A15"/>
    <w:rsid w:val="00921A29"/>
    <w:rsid w:val="00923B26"/>
    <w:rsid w:val="00924B1E"/>
    <w:rsid w:val="009270F5"/>
    <w:rsid w:val="0093140B"/>
    <w:rsid w:val="0093168F"/>
    <w:rsid w:val="0093604D"/>
    <w:rsid w:val="00936159"/>
    <w:rsid w:val="00942FF3"/>
    <w:rsid w:val="00945F23"/>
    <w:rsid w:val="00950B7A"/>
    <w:rsid w:val="00952F1E"/>
    <w:rsid w:val="00953E29"/>
    <w:rsid w:val="009566FA"/>
    <w:rsid w:val="00957AA0"/>
    <w:rsid w:val="00961D29"/>
    <w:rsid w:val="00967F71"/>
    <w:rsid w:val="009716C1"/>
    <w:rsid w:val="00972C1A"/>
    <w:rsid w:val="009738AE"/>
    <w:rsid w:val="0097476B"/>
    <w:rsid w:val="00976A32"/>
    <w:rsid w:val="00977E1D"/>
    <w:rsid w:val="00981207"/>
    <w:rsid w:val="009845C4"/>
    <w:rsid w:val="00984BE1"/>
    <w:rsid w:val="00984EED"/>
    <w:rsid w:val="009876B1"/>
    <w:rsid w:val="00992199"/>
    <w:rsid w:val="009936D1"/>
    <w:rsid w:val="00997343"/>
    <w:rsid w:val="009A1985"/>
    <w:rsid w:val="009A214F"/>
    <w:rsid w:val="009A3A0C"/>
    <w:rsid w:val="009B0573"/>
    <w:rsid w:val="009B2CD7"/>
    <w:rsid w:val="009B440F"/>
    <w:rsid w:val="009B4F14"/>
    <w:rsid w:val="009B5F09"/>
    <w:rsid w:val="009B7870"/>
    <w:rsid w:val="009B7B4B"/>
    <w:rsid w:val="009B7C21"/>
    <w:rsid w:val="009C45B5"/>
    <w:rsid w:val="009C4B33"/>
    <w:rsid w:val="009C5BAC"/>
    <w:rsid w:val="009D12B9"/>
    <w:rsid w:val="009D651A"/>
    <w:rsid w:val="009D6688"/>
    <w:rsid w:val="009E0926"/>
    <w:rsid w:val="009E2805"/>
    <w:rsid w:val="009E4E7E"/>
    <w:rsid w:val="009E4F25"/>
    <w:rsid w:val="009E7757"/>
    <w:rsid w:val="009F362F"/>
    <w:rsid w:val="009F6178"/>
    <w:rsid w:val="00A02EC3"/>
    <w:rsid w:val="00A04992"/>
    <w:rsid w:val="00A065D0"/>
    <w:rsid w:val="00A1027D"/>
    <w:rsid w:val="00A10E6B"/>
    <w:rsid w:val="00A130CE"/>
    <w:rsid w:val="00A131BC"/>
    <w:rsid w:val="00A147AA"/>
    <w:rsid w:val="00A16BE9"/>
    <w:rsid w:val="00A21D71"/>
    <w:rsid w:val="00A21D96"/>
    <w:rsid w:val="00A22B78"/>
    <w:rsid w:val="00A2305C"/>
    <w:rsid w:val="00A24BB2"/>
    <w:rsid w:val="00A24C6B"/>
    <w:rsid w:val="00A2567A"/>
    <w:rsid w:val="00A25AE5"/>
    <w:rsid w:val="00A3012A"/>
    <w:rsid w:val="00A32556"/>
    <w:rsid w:val="00A335AD"/>
    <w:rsid w:val="00A337DA"/>
    <w:rsid w:val="00A34154"/>
    <w:rsid w:val="00A37002"/>
    <w:rsid w:val="00A4355E"/>
    <w:rsid w:val="00A51857"/>
    <w:rsid w:val="00A520D9"/>
    <w:rsid w:val="00A55B73"/>
    <w:rsid w:val="00A622CC"/>
    <w:rsid w:val="00A64C79"/>
    <w:rsid w:val="00A66525"/>
    <w:rsid w:val="00A66945"/>
    <w:rsid w:val="00A7000F"/>
    <w:rsid w:val="00A707ED"/>
    <w:rsid w:val="00A70AAF"/>
    <w:rsid w:val="00A74795"/>
    <w:rsid w:val="00A7572D"/>
    <w:rsid w:val="00A837F4"/>
    <w:rsid w:val="00A92BCD"/>
    <w:rsid w:val="00A950E9"/>
    <w:rsid w:val="00A9557A"/>
    <w:rsid w:val="00AA0F7D"/>
    <w:rsid w:val="00AA1B0E"/>
    <w:rsid w:val="00AA1FA9"/>
    <w:rsid w:val="00AA3BD3"/>
    <w:rsid w:val="00AA3FAD"/>
    <w:rsid w:val="00AA47B6"/>
    <w:rsid w:val="00AA5689"/>
    <w:rsid w:val="00AA715E"/>
    <w:rsid w:val="00AB44DE"/>
    <w:rsid w:val="00AB7291"/>
    <w:rsid w:val="00AB788D"/>
    <w:rsid w:val="00AC0014"/>
    <w:rsid w:val="00AC15AB"/>
    <w:rsid w:val="00AC163B"/>
    <w:rsid w:val="00AC1924"/>
    <w:rsid w:val="00AC1AC8"/>
    <w:rsid w:val="00AC2DAC"/>
    <w:rsid w:val="00AC3AE2"/>
    <w:rsid w:val="00AC5CA7"/>
    <w:rsid w:val="00AC6058"/>
    <w:rsid w:val="00AC6544"/>
    <w:rsid w:val="00AD0F3F"/>
    <w:rsid w:val="00AD226C"/>
    <w:rsid w:val="00AD398A"/>
    <w:rsid w:val="00AD422A"/>
    <w:rsid w:val="00AD748D"/>
    <w:rsid w:val="00AE2BA5"/>
    <w:rsid w:val="00AE56B1"/>
    <w:rsid w:val="00AE658C"/>
    <w:rsid w:val="00AE6D09"/>
    <w:rsid w:val="00AF03FC"/>
    <w:rsid w:val="00AF0DA6"/>
    <w:rsid w:val="00AF1417"/>
    <w:rsid w:val="00AF2A30"/>
    <w:rsid w:val="00AF35EB"/>
    <w:rsid w:val="00AF3E83"/>
    <w:rsid w:val="00AF5F42"/>
    <w:rsid w:val="00AF7A7C"/>
    <w:rsid w:val="00AF7EEB"/>
    <w:rsid w:val="00B01BFF"/>
    <w:rsid w:val="00B02070"/>
    <w:rsid w:val="00B033A2"/>
    <w:rsid w:val="00B05E0D"/>
    <w:rsid w:val="00B06DDC"/>
    <w:rsid w:val="00B07B83"/>
    <w:rsid w:val="00B11D4F"/>
    <w:rsid w:val="00B141CE"/>
    <w:rsid w:val="00B222E2"/>
    <w:rsid w:val="00B23D53"/>
    <w:rsid w:val="00B26E25"/>
    <w:rsid w:val="00B408B6"/>
    <w:rsid w:val="00B440C2"/>
    <w:rsid w:val="00B45B30"/>
    <w:rsid w:val="00B45FAF"/>
    <w:rsid w:val="00B52008"/>
    <w:rsid w:val="00B542DA"/>
    <w:rsid w:val="00B547DE"/>
    <w:rsid w:val="00B623E2"/>
    <w:rsid w:val="00B6369B"/>
    <w:rsid w:val="00B73862"/>
    <w:rsid w:val="00B73F43"/>
    <w:rsid w:val="00B74DDC"/>
    <w:rsid w:val="00B75BBF"/>
    <w:rsid w:val="00B805E9"/>
    <w:rsid w:val="00B856F2"/>
    <w:rsid w:val="00B95B51"/>
    <w:rsid w:val="00BA6B66"/>
    <w:rsid w:val="00BA6E48"/>
    <w:rsid w:val="00BB008D"/>
    <w:rsid w:val="00BB7E49"/>
    <w:rsid w:val="00BC588A"/>
    <w:rsid w:val="00BD38B9"/>
    <w:rsid w:val="00BD624E"/>
    <w:rsid w:val="00BD7D6D"/>
    <w:rsid w:val="00BE0AF6"/>
    <w:rsid w:val="00BE1F03"/>
    <w:rsid w:val="00BE2ECA"/>
    <w:rsid w:val="00BE38CE"/>
    <w:rsid w:val="00BE51EF"/>
    <w:rsid w:val="00BE58A7"/>
    <w:rsid w:val="00BE6C9C"/>
    <w:rsid w:val="00BF2218"/>
    <w:rsid w:val="00BF3683"/>
    <w:rsid w:val="00BF514B"/>
    <w:rsid w:val="00BF69F0"/>
    <w:rsid w:val="00C014D5"/>
    <w:rsid w:val="00C0426B"/>
    <w:rsid w:val="00C045DF"/>
    <w:rsid w:val="00C0607D"/>
    <w:rsid w:val="00C12009"/>
    <w:rsid w:val="00C1226A"/>
    <w:rsid w:val="00C12672"/>
    <w:rsid w:val="00C12E5A"/>
    <w:rsid w:val="00C16475"/>
    <w:rsid w:val="00C16611"/>
    <w:rsid w:val="00C1782B"/>
    <w:rsid w:val="00C21BAA"/>
    <w:rsid w:val="00C26D43"/>
    <w:rsid w:val="00C279E1"/>
    <w:rsid w:val="00C30A2B"/>
    <w:rsid w:val="00C36DF8"/>
    <w:rsid w:val="00C40AA2"/>
    <w:rsid w:val="00C46548"/>
    <w:rsid w:val="00C50139"/>
    <w:rsid w:val="00C5109B"/>
    <w:rsid w:val="00C528E4"/>
    <w:rsid w:val="00C5518E"/>
    <w:rsid w:val="00C57413"/>
    <w:rsid w:val="00C574D5"/>
    <w:rsid w:val="00C626C7"/>
    <w:rsid w:val="00C63CAC"/>
    <w:rsid w:val="00C655D3"/>
    <w:rsid w:val="00C65AC1"/>
    <w:rsid w:val="00C73F32"/>
    <w:rsid w:val="00C80717"/>
    <w:rsid w:val="00C85C37"/>
    <w:rsid w:val="00C86B9E"/>
    <w:rsid w:val="00C87462"/>
    <w:rsid w:val="00C92CA2"/>
    <w:rsid w:val="00C943C0"/>
    <w:rsid w:val="00CA180C"/>
    <w:rsid w:val="00CA2ABE"/>
    <w:rsid w:val="00CA3822"/>
    <w:rsid w:val="00CA79BB"/>
    <w:rsid w:val="00CB0710"/>
    <w:rsid w:val="00CB2250"/>
    <w:rsid w:val="00CB22B2"/>
    <w:rsid w:val="00CB495A"/>
    <w:rsid w:val="00CC3EE2"/>
    <w:rsid w:val="00CC72A5"/>
    <w:rsid w:val="00CC7C2A"/>
    <w:rsid w:val="00CD0136"/>
    <w:rsid w:val="00CD150F"/>
    <w:rsid w:val="00CD2C23"/>
    <w:rsid w:val="00CD44D5"/>
    <w:rsid w:val="00CD60B9"/>
    <w:rsid w:val="00CD6EB7"/>
    <w:rsid w:val="00CD7492"/>
    <w:rsid w:val="00CE0D13"/>
    <w:rsid w:val="00CE20B5"/>
    <w:rsid w:val="00CE3A6B"/>
    <w:rsid w:val="00CF6D9C"/>
    <w:rsid w:val="00D00211"/>
    <w:rsid w:val="00D02708"/>
    <w:rsid w:val="00D032FE"/>
    <w:rsid w:val="00D06309"/>
    <w:rsid w:val="00D1231A"/>
    <w:rsid w:val="00D15EC1"/>
    <w:rsid w:val="00D167E0"/>
    <w:rsid w:val="00D1707C"/>
    <w:rsid w:val="00D2216A"/>
    <w:rsid w:val="00D327BD"/>
    <w:rsid w:val="00D351EA"/>
    <w:rsid w:val="00D36E50"/>
    <w:rsid w:val="00D40288"/>
    <w:rsid w:val="00D4058E"/>
    <w:rsid w:val="00D40F98"/>
    <w:rsid w:val="00D422C7"/>
    <w:rsid w:val="00D4287B"/>
    <w:rsid w:val="00D43403"/>
    <w:rsid w:val="00D450D2"/>
    <w:rsid w:val="00D476FC"/>
    <w:rsid w:val="00D5270B"/>
    <w:rsid w:val="00D54AC7"/>
    <w:rsid w:val="00D560BE"/>
    <w:rsid w:val="00D6007B"/>
    <w:rsid w:val="00D621CB"/>
    <w:rsid w:val="00D62E71"/>
    <w:rsid w:val="00D63D35"/>
    <w:rsid w:val="00D6430D"/>
    <w:rsid w:val="00D65E16"/>
    <w:rsid w:val="00D66188"/>
    <w:rsid w:val="00D73095"/>
    <w:rsid w:val="00D731F6"/>
    <w:rsid w:val="00D740CA"/>
    <w:rsid w:val="00D7474E"/>
    <w:rsid w:val="00D842B7"/>
    <w:rsid w:val="00D85728"/>
    <w:rsid w:val="00D863DA"/>
    <w:rsid w:val="00D86788"/>
    <w:rsid w:val="00D93484"/>
    <w:rsid w:val="00D95481"/>
    <w:rsid w:val="00D96ABE"/>
    <w:rsid w:val="00D9792B"/>
    <w:rsid w:val="00DA0F01"/>
    <w:rsid w:val="00DA56B0"/>
    <w:rsid w:val="00DA7AD1"/>
    <w:rsid w:val="00DB2E26"/>
    <w:rsid w:val="00DC7A13"/>
    <w:rsid w:val="00DD0EC7"/>
    <w:rsid w:val="00DD0F40"/>
    <w:rsid w:val="00DD3668"/>
    <w:rsid w:val="00DD409D"/>
    <w:rsid w:val="00DD5CE9"/>
    <w:rsid w:val="00DE53C9"/>
    <w:rsid w:val="00DE53F0"/>
    <w:rsid w:val="00DE6C36"/>
    <w:rsid w:val="00DF2997"/>
    <w:rsid w:val="00DF47A2"/>
    <w:rsid w:val="00DF5D58"/>
    <w:rsid w:val="00DF64C9"/>
    <w:rsid w:val="00DF7AC4"/>
    <w:rsid w:val="00E004EA"/>
    <w:rsid w:val="00E03224"/>
    <w:rsid w:val="00E050D7"/>
    <w:rsid w:val="00E05ABC"/>
    <w:rsid w:val="00E10BC4"/>
    <w:rsid w:val="00E12F01"/>
    <w:rsid w:val="00E1415D"/>
    <w:rsid w:val="00E1501C"/>
    <w:rsid w:val="00E161E8"/>
    <w:rsid w:val="00E16BA5"/>
    <w:rsid w:val="00E24B89"/>
    <w:rsid w:val="00E2763E"/>
    <w:rsid w:val="00E310E3"/>
    <w:rsid w:val="00E323E9"/>
    <w:rsid w:val="00E34018"/>
    <w:rsid w:val="00E35661"/>
    <w:rsid w:val="00E358C5"/>
    <w:rsid w:val="00E371DD"/>
    <w:rsid w:val="00E41388"/>
    <w:rsid w:val="00E437D2"/>
    <w:rsid w:val="00E44313"/>
    <w:rsid w:val="00E53F60"/>
    <w:rsid w:val="00E55751"/>
    <w:rsid w:val="00E56547"/>
    <w:rsid w:val="00E62191"/>
    <w:rsid w:val="00E6658F"/>
    <w:rsid w:val="00E72D67"/>
    <w:rsid w:val="00E76733"/>
    <w:rsid w:val="00E77565"/>
    <w:rsid w:val="00E7770D"/>
    <w:rsid w:val="00E83C4F"/>
    <w:rsid w:val="00E869FD"/>
    <w:rsid w:val="00E91227"/>
    <w:rsid w:val="00E91FC3"/>
    <w:rsid w:val="00E9201F"/>
    <w:rsid w:val="00E95E3C"/>
    <w:rsid w:val="00E9672A"/>
    <w:rsid w:val="00EA2311"/>
    <w:rsid w:val="00EA3601"/>
    <w:rsid w:val="00EA4C36"/>
    <w:rsid w:val="00EC142B"/>
    <w:rsid w:val="00EC29A2"/>
    <w:rsid w:val="00EC7BC3"/>
    <w:rsid w:val="00ED3EB0"/>
    <w:rsid w:val="00ED5EFF"/>
    <w:rsid w:val="00ED7600"/>
    <w:rsid w:val="00ED7F61"/>
    <w:rsid w:val="00EF01C2"/>
    <w:rsid w:val="00EF15BA"/>
    <w:rsid w:val="00EF3E91"/>
    <w:rsid w:val="00EF6073"/>
    <w:rsid w:val="00EF698B"/>
    <w:rsid w:val="00EF6DB6"/>
    <w:rsid w:val="00EF7E29"/>
    <w:rsid w:val="00F00234"/>
    <w:rsid w:val="00F04233"/>
    <w:rsid w:val="00F04BD2"/>
    <w:rsid w:val="00F05B2D"/>
    <w:rsid w:val="00F06767"/>
    <w:rsid w:val="00F1362C"/>
    <w:rsid w:val="00F20ECA"/>
    <w:rsid w:val="00F2568B"/>
    <w:rsid w:val="00F26E4C"/>
    <w:rsid w:val="00F32EDB"/>
    <w:rsid w:val="00F37F3F"/>
    <w:rsid w:val="00F414F1"/>
    <w:rsid w:val="00F41A2D"/>
    <w:rsid w:val="00F4462D"/>
    <w:rsid w:val="00F46B01"/>
    <w:rsid w:val="00F474FE"/>
    <w:rsid w:val="00F508B8"/>
    <w:rsid w:val="00F54F83"/>
    <w:rsid w:val="00F54FC9"/>
    <w:rsid w:val="00F55D6A"/>
    <w:rsid w:val="00F57154"/>
    <w:rsid w:val="00F602B8"/>
    <w:rsid w:val="00F621E8"/>
    <w:rsid w:val="00F636D3"/>
    <w:rsid w:val="00F6673E"/>
    <w:rsid w:val="00F72CB1"/>
    <w:rsid w:val="00F735BF"/>
    <w:rsid w:val="00F7374C"/>
    <w:rsid w:val="00F76950"/>
    <w:rsid w:val="00F8215E"/>
    <w:rsid w:val="00F824F5"/>
    <w:rsid w:val="00F84650"/>
    <w:rsid w:val="00F905EB"/>
    <w:rsid w:val="00F90F34"/>
    <w:rsid w:val="00F90FAB"/>
    <w:rsid w:val="00F91335"/>
    <w:rsid w:val="00F9157F"/>
    <w:rsid w:val="00F9374D"/>
    <w:rsid w:val="00F97B2C"/>
    <w:rsid w:val="00FA101F"/>
    <w:rsid w:val="00FA16D0"/>
    <w:rsid w:val="00FA4913"/>
    <w:rsid w:val="00FA5486"/>
    <w:rsid w:val="00FA612F"/>
    <w:rsid w:val="00FA740C"/>
    <w:rsid w:val="00FA77EB"/>
    <w:rsid w:val="00FB06C0"/>
    <w:rsid w:val="00FB1587"/>
    <w:rsid w:val="00FB75FB"/>
    <w:rsid w:val="00FC29B9"/>
    <w:rsid w:val="00FC2C79"/>
    <w:rsid w:val="00FC66E7"/>
    <w:rsid w:val="00FC6FD3"/>
    <w:rsid w:val="00FD3913"/>
    <w:rsid w:val="00FD3CA4"/>
    <w:rsid w:val="00FD42A9"/>
    <w:rsid w:val="00FE305C"/>
    <w:rsid w:val="00FE3179"/>
    <w:rsid w:val="00FE481D"/>
    <w:rsid w:val="00FE4A06"/>
    <w:rsid w:val="00FE5842"/>
    <w:rsid w:val="00FE62EA"/>
    <w:rsid w:val="00FE6F40"/>
    <w:rsid w:val="00FF0301"/>
    <w:rsid w:val="00FF11DC"/>
    <w:rsid w:val="00FF1B3A"/>
    <w:rsid w:val="00FF7440"/>
    <w:rsid w:val="00FF7EA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17A08DB8"/>
  <w15:chartTrackingRefBased/>
  <w15:docId w15:val="{1994660C-E3F6-4924-9E03-474FC61B7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목록 단락,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table" w:customStyle="1" w:styleId="TableGrid1">
    <w:name w:val="Table Grid1"/>
    <w:basedOn w:val="TableNormal"/>
    <w:uiPriority w:val="39"/>
    <w:qFormat/>
    <w:rsid w:val="001B5C8D"/>
    <w:pPr>
      <w:spacing w:after="0" w:line="240" w:lineRule="auto"/>
    </w:pPr>
    <w:rPr>
      <w:rFonts w:ascii="Arial" w:eastAsia="Calibri" w:hAnsi="Arial" w:cs="Times New Roman"/>
      <w:sz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rsid w:val="001B5C8D"/>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en-GB"/>
    </w:rPr>
  </w:style>
  <w:style w:type="paragraph" w:styleId="List">
    <w:name w:val="List"/>
    <w:basedOn w:val="Normal"/>
    <w:uiPriority w:val="99"/>
    <w:semiHidden/>
    <w:unhideWhenUsed/>
    <w:rsid w:val="001B5C8D"/>
    <w:pPr>
      <w:ind w:left="283" w:hanging="283"/>
      <w:contextualSpacing/>
    </w:pPr>
  </w:style>
  <w:style w:type="character" w:styleId="PlaceholderText">
    <w:name w:val="Placeholder Text"/>
    <w:basedOn w:val="DefaultParagraphFont"/>
    <w:uiPriority w:val="99"/>
    <w:semiHidden/>
    <w:rsid w:val="00251D99"/>
    <w:rPr>
      <w:color w:val="808080"/>
    </w:rPr>
  </w:style>
  <w:style w:type="paragraph" w:styleId="Header">
    <w:name w:val="header"/>
    <w:basedOn w:val="Normal"/>
    <w:link w:val="HeaderChar"/>
    <w:uiPriority w:val="99"/>
    <w:semiHidden/>
    <w:unhideWhenUsed/>
    <w:rsid w:val="00534B3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34B35"/>
    <w:rPr>
      <w:rFonts w:ascii="Times New Roman" w:hAnsi="Times New Roman"/>
      <w:sz w:val="20"/>
    </w:rPr>
  </w:style>
  <w:style w:type="paragraph" w:styleId="Footer">
    <w:name w:val="footer"/>
    <w:basedOn w:val="Normal"/>
    <w:link w:val="FooterChar"/>
    <w:uiPriority w:val="99"/>
    <w:semiHidden/>
    <w:unhideWhenUsed/>
    <w:rsid w:val="00534B3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34B35"/>
    <w:rPr>
      <w:rFonts w:ascii="Times New Roman" w:hAnsi="Times New Roman"/>
      <w:sz w:val="20"/>
    </w:rPr>
  </w:style>
  <w:style w:type="character" w:styleId="Mention">
    <w:name w:val="Mention"/>
    <w:basedOn w:val="DefaultParagraphFont"/>
    <w:uiPriority w:val="99"/>
    <w:unhideWhenUsed/>
    <w:rsid w:val="00D36E5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1544355">
      <w:bodyDiv w:val="1"/>
      <w:marLeft w:val="0"/>
      <w:marRight w:val="0"/>
      <w:marTop w:val="0"/>
      <w:marBottom w:val="0"/>
      <w:divBdr>
        <w:top w:val="none" w:sz="0" w:space="0" w:color="auto"/>
        <w:left w:val="none" w:sz="0" w:space="0" w:color="auto"/>
        <w:bottom w:val="none" w:sz="0" w:space="0" w:color="auto"/>
        <w:right w:val="none" w:sz="0" w:space="0" w:color="auto"/>
      </w:divBdr>
      <w:divsChild>
        <w:div w:id="554658251">
          <w:marLeft w:val="1138"/>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5G%20Radio%20-%20RAN4%205G%20Documents\RAN4%20107%20Incheon\!Templates\3GPP_Paper_Template_RAN4_%23107_Dimitri_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5AIRPNAIUNRU-1328258698-22936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https://nokia.sharepoint.com/sites/c5g/5gradio/_layouts/15/DocIdRedir.aspx?ID=5AIRPNAIUNRU-1328258698-22936</Url>
      <Description>5AIRPNAIUNRU-1328258698-22936</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3GPP_Paper_Template_RAN4_#107_Dimitri_brief.dotx</Template>
  <TotalTime>2</TotalTime>
  <Pages>8</Pages>
  <Words>3767</Words>
  <Characters>21473</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Dimitri Gold (Nokia)</cp:lastModifiedBy>
  <cp:revision>5</cp:revision>
  <dcterms:created xsi:type="dcterms:W3CDTF">2023-05-15T18:09:00Z</dcterms:created>
  <dcterms:modified xsi:type="dcterms:W3CDTF">2023-05-15T18:11:00Z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060cde2c-868d-4a69-8046-0c11c1eebcaf</vt:lpwstr>
  </property>
  <property fmtid="{D5CDD505-2E9C-101B-9397-08002B2CF9AE}" pid="11" name="MediaServiceImageTags">
    <vt:lpwstr/>
  </property>
</Properties>
</file>