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9351E" w14:textId="342119EC" w:rsidR="00E916CF" w:rsidRPr="00C83C5D" w:rsidRDefault="00E916CF" w:rsidP="00E916CF">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t xml:space="preserve">         </w:t>
      </w:r>
      <w:r w:rsidR="00C83C5D" w:rsidRPr="00C83C5D">
        <w:rPr>
          <w:rFonts w:ascii="Arial" w:hAnsi="Arial" w:cs="Arial"/>
          <w:b/>
          <w:noProof/>
          <w:sz w:val="24"/>
          <w:lang w:val="en-CN"/>
        </w:rPr>
        <w:t>R4-2307651</w:t>
      </w:r>
    </w:p>
    <w:p w14:paraId="2BE78489" w14:textId="77777777" w:rsidR="00E916CF" w:rsidRDefault="00E916CF" w:rsidP="00E916CF">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63872870" w:rsidR="00463675" w:rsidRPr="00CA2863" w:rsidRDefault="00463675" w:rsidP="00CA2863">
      <w:pPr>
        <w:spacing w:after="60"/>
        <w:ind w:left="1985" w:hanging="1985"/>
        <w:rPr>
          <w:rFonts w:ascii="Times New Roman" w:hAnsi="Times New Roman" w:cs="Times New Roman"/>
          <w:b/>
          <w:bCs/>
          <w:sz w:val="21"/>
          <w:szCs w:val="21"/>
          <w:lang w:val="en-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8E71D1">
        <w:rPr>
          <w:rFonts w:ascii="Times New Roman" w:hAnsi="Times New Roman" w:cs="Times New Roman"/>
          <w:b/>
          <w:sz w:val="21"/>
          <w:szCs w:val="21"/>
        </w:rPr>
        <w:t xml:space="preserve">[draft] </w:t>
      </w:r>
      <w:r w:rsidR="00CA2863" w:rsidRPr="00CA2863">
        <w:rPr>
          <w:rFonts w:ascii="Times New Roman" w:hAnsi="Times New Roman" w:cs="Times New Roman"/>
          <w:b/>
          <w:bCs/>
          <w:sz w:val="21"/>
          <w:szCs w:val="21"/>
          <w:lang w:val="en-CN"/>
        </w:rPr>
        <w:t>LS on improvement on FR2 SCell/SCG setup delay</w:t>
      </w:r>
    </w:p>
    <w:p w14:paraId="528C34C0" w14:textId="5BFDD46C"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p>
    <w:p w14:paraId="67D09173" w14:textId="6248BB23"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4D738A">
        <w:rPr>
          <w:rFonts w:ascii="Times New Roman" w:hAnsi="Times New Roman" w:cs="Times New Roman"/>
          <w:bCs/>
          <w:sz w:val="21"/>
          <w:szCs w:val="21"/>
          <w:lang w:eastAsia="zh-CN"/>
        </w:rPr>
        <w:t>8</w:t>
      </w:r>
    </w:p>
    <w:p w14:paraId="4768D19A" w14:textId="549B8649"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5941C5" w:rsidRPr="005941C5">
        <w:rPr>
          <w:rFonts w:ascii="Times New Roman" w:hAnsi="Times New Roman" w:cs="Times New Roman"/>
          <w:bCs/>
          <w:sz w:val="21"/>
          <w:szCs w:val="21"/>
        </w:rPr>
        <w:t>NR_Mob_enh2-Core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07D16C7B"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560DB1">
        <w:rPr>
          <w:rFonts w:ascii="Times New Roman" w:hAnsi="Times New Roman" w:cs="Times New Roman"/>
          <w:bCs/>
          <w:sz w:val="21"/>
          <w:szCs w:val="21"/>
          <w:lang w:eastAsia="zh-CN"/>
        </w:rPr>
        <w:t>2</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Send any reply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482FCD27" w14:textId="4ED8A778" w:rsidR="00467818" w:rsidRDefault="00D82E43" w:rsidP="00404E54">
      <w:pPr>
        <w:spacing w:after="120"/>
        <w:rPr>
          <w:rFonts w:ascii="Times New Roman" w:hAnsi="Times New Roman" w:cs="Times New Roman"/>
          <w:bCs/>
          <w:sz w:val="21"/>
          <w:szCs w:val="21"/>
        </w:rPr>
      </w:pPr>
      <w:r>
        <w:rPr>
          <w:rFonts w:ascii="Times New Roman" w:hAnsi="Times New Roman" w:cs="Times New Roman"/>
          <w:bCs/>
          <w:sz w:val="21"/>
          <w:szCs w:val="21"/>
        </w:rPr>
        <w:t xml:space="preserve">RAN4 has been discussing solution for improvement on FR2 SCell/SCG setup delay. </w:t>
      </w:r>
      <w:r w:rsidR="00467818">
        <w:rPr>
          <w:rFonts w:ascii="Times New Roman" w:hAnsi="Times New Roman" w:cs="Times New Roman"/>
          <w:bCs/>
          <w:sz w:val="21"/>
          <w:szCs w:val="21"/>
        </w:rPr>
        <w:t xml:space="preserve">The target of this objective is to </w:t>
      </w:r>
      <w:r w:rsidR="00404E54">
        <w:rPr>
          <w:rFonts w:ascii="Times New Roman" w:hAnsi="Times New Roman" w:cs="Times New Roman"/>
          <w:bCs/>
          <w:sz w:val="21"/>
          <w:szCs w:val="21"/>
        </w:rPr>
        <w:t xml:space="preserve">enable UE to provide valid measurement results </w:t>
      </w:r>
      <w:r w:rsidR="00543820">
        <w:rPr>
          <w:rFonts w:ascii="Times New Roman" w:hAnsi="Times New Roman" w:cs="Times New Roman" w:hint="eastAsia"/>
          <w:bCs/>
          <w:sz w:val="21"/>
          <w:szCs w:val="21"/>
          <w:lang w:eastAsia="zh-CN"/>
        </w:rPr>
        <w:t>whe</w:t>
      </w:r>
      <w:r w:rsidR="00543820">
        <w:rPr>
          <w:rFonts w:ascii="Times New Roman" w:hAnsi="Times New Roman" w:cs="Times New Roman"/>
          <w:bCs/>
          <w:sz w:val="21"/>
          <w:szCs w:val="21"/>
          <w:lang w:eastAsia="zh-CN"/>
        </w:rPr>
        <w:t xml:space="preserve">n </w:t>
      </w:r>
      <w:r w:rsidR="00467818">
        <w:rPr>
          <w:rFonts w:ascii="Times New Roman" w:hAnsi="Times New Roman" w:cs="Times New Roman"/>
          <w:bCs/>
          <w:sz w:val="21"/>
          <w:szCs w:val="21"/>
        </w:rPr>
        <w:t xml:space="preserve">UE returns to connected mode from idle/inactive mode </w:t>
      </w:r>
      <w:r w:rsidR="00404E54">
        <w:rPr>
          <w:rFonts w:ascii="Times New Roman" w:hAnsi="Times New Roman" w:cs="Times New Roman"/>
          <w:bCs/>
          <w:sz w:val="21"/>
          <w:szCs w:val="21"/>
        </w:rPr>
        <w:t xml:space="preserve">so that network can configure CA/DC accordingly. </w:t>
      </w:r>
      <w:r w:rsidR="008D1625">
        <w:rPr>
          <w:rFonts w:ascii="Times New Roman" w:hAnsi="Times New Roman" w:cs="Times New Roman"/>
          <w:bCs/>
          <w:sz w:val="21"/>
          <w:szCs w:val="21"/>
        </w:rPr>
        <w:t>RAN4 agreed the following solution based on existing measurement:</w:t>
      </w:r>
    </w:p>
    <w:p w14:paraId="321CB437" w14:textId="77777777" w:rsidR="00FB6CE3" w:rsidRPr="006F25C6" w:rsidRDefault="008D1625" w:rsidP="008D1625">
      <w:pPr>
        <w:pStyle w:val="ListParagraph"/>
        <w:numPr>
          <w:ilvl w:val="0"/>
          <w:numId w:val="27"/>
        </w:numPr>
        <w:spacing w:after="120"/>
        <w:rPr>
          <w:rFonts w:ascii="Times New Roman" w:hAnsi="Times New Roman" w:cs="Times New Roman"/>
          <w:bCs/>
          <w:sz w:val="21"/>
          <w:szCs w:val="21"/>
          <w:u w:val="single"/>
        </w:rPr>
      </w:pPr>
      <w:r w:rsidRPr="006F25C6">
        <w:rPr>
          <w:rFonts w:ascii="Times New Roman" w:hAnsi="Times New Roman" w:cs="Times New Roman"/>
          <w:bCs/>
          <w:sz w:val="21"/>
          <w:szCs w:val="21"/>
          <w:u w:val="single"/>
        </w:rPr>
        <w:t xml:space="preserve">For UE configured with EMR, </w:t>
      </w:r>
    </w:p>
    <w:p w14:paraId="630B579A" w14:textId="38C293ED" w:rsidR="008D1625" w:rsidRDefault="00FB6CE3" w:rsidP="00FB6CE3">
      <w:pPr>
        <w:pStyle w:val="ListParagraph"/>
        <w:numPr>
          <w:ilvl w:val="1"/>
          <w:numId w:val="27"/>
        </w:numPr>
        <w:spacing w:after="120"/>
        <w:rPr>
          <w:rFonts w:ascii="Times New Roman" w:hAnsi="Times New Roman" w:cs="Times New Roman"/>
          <w:bCs/>
          <w:sz w:val="21"/>
          <w:szCs w:val="21"/>
        </w:rPr>
      </w:pPr>
      <w:r>
        <w:rPr>
          <w:rFonts w:ascii="Times New Roman" w:hAnsi="Times New Roman" w:cs="Times New Roman"/>
          <w:bCs/>
          <w:sz w:val="21"/>
          <w:szCs w:val="21"/>
        </w:rPr>
        <w:t>T</w:t>
      </w:r>
      <w:r w:rsidR="008D1625">
        <w:rPr>
          <w:rFonts w:ascii="Times New Roman" w:hAnsi="Times New Roman" w:cs="Times New Roman"/>
          <w:bCs/>
          <w:sz w:val="21"/>
          <w:szCs w:val="21"/>
        </w:rPr>
        <w:t>he existing indication of availability (</w:t>
      </w:r>
      <w:r w:rsidR="008D1625" w:rsidRPr="008D1625">
        <w:rPr>
          <w:rFonts w:ascii="Times New Roman" w:hAnsi="Times New Roman" w:cs="Times New Roman"/>
          <w:bCs/>
          <w:i/>
          <w:iCs/>
          <w:sz w:val="21"/>
          <w:szCs w:val="21"/>
        </w:rPr>
        <w:t>idleMeasAvailable</w:t>
      </w:r>
      <w:r w:rsidR="008D1625">
        <w:rPr>
          <w:rFonts w:ascii="Times New Roman" w:hAnsi="Times New Roman" w:cs="Times New Roman"/>
          <w:bCs/>
          <w:sz w:val="21"/>
          <w:szCs w:val="21"/>
        </w:rPr>
        <w:t xml:space="preserve">) can be </w:t>
      </w:r>
      <w:r>
        <w:rPr>
          <w:rFonts w:ascii="Times New Roman" w:hAnsi="Times New Roman" w:cs="Times New Roman"/>
          <w:bCs/>
          <w:sz w:val="21"/>
          <w:szCs w:val="21"/>
        </w:rPr>
        <w:t>reused</w:t>
      </w:r>
      <w:r w:rsidR="004D01F9">
        <w:rPr>
          <w:rFonts w:ascii="Times New Roman" w:hAnsi="Times New Roman" w:cs="Times New Roman"/>
          <w:bCs/>
          <w:sz w:val="21"/>
          <w:szCs w:val="21"/>
        </w:rPr>
        <w:t>, even after T331 expires.</w:t>
      </w:r>
    </w:p>
    <w:p w14:paraId="0E27B980" w14:textId="16FDE852" w:rsidR="004D01F9" w:rsidRDefault="004D01F9" w:rsidP="00FB6CE3">
      <w:pPr>
        <w:pStyle w:val="ListParagraph"/>
        <w:numPr>
          <w:ilvl w:val="1"/>
          <w:numId w:val="27"/>
        </w:numPr>
        <w:spacing w:after="120"/>
        <w:rPr>
          <w:rFonts w:ascii="Times New Roman" w:hAnsi="Times New Roman" w:cs="Times New Roman"/>
          <w:bCs/>
          <w:sz w:val="21"/>
          <w:szCs w:val="21"/>
        </w:rPr>
      </w:pPr>
      <w:r>
        <w:rPr>
          <w:rFonts w:ascii="Times New Roman" w:hAnsi="Times New Roman" w:cs="Times New Roman"/>
          <w:bCs/>
          <w:sz w:val="21"/>
          <w:szCs w:val="21"/>
        </w:rPr>
        <w:t xml:space="preserve">A </w:t>
      </w:r>
      <w:r w:rsidR="002A17D3">
        <w:rPr>
          <w:rFonts w:ascii="Times New Roman" w:hAnsi="Times New Roman" w:cs="Times New Roman"/>
          <w:bCs/>
          <w:sz w:val="21"/>
          <w:szCs w:val="21"/>
        </w:rPr>
        <w:t>new</w:t>
      </w:r>
      <w:r>
        <w:rPr>
          <w:rFonts w:ascii="Times New Roman" w:hAnsi="Times New Roman" w:cs="Times New Roman"/>
          <w:bCs/>
          <w:sz w:val="21"/>
          <w:szCs w:val="21"/>
        </w:rPr>
        <w:t xml:space="preserve"> indication</w:t>
      </w:r>
      <w:r w:rsidR="002A17D3">
        <w:rPr>
          <w:rFonts w:ascii="Times New Roman" w:hAnsi="Times New Roman" w:cs="Times New Roman"/>
          <w:bCs/>
          <w:sz w:val="21"/>
          <w:szCs w:val="21"/>
        </w:rPr>
        <w:t xml:space="preserve"> with two statuses regarding measurement result validity</w:t>
      </w:r>
      <w:r>
        <w:rPr>
          <w:rFonts w:ascii="Times New Roman" w:hAnsi="Times New Roman" w:cs="Times New Roman"/>
          <w:bCs/>
          <w:sz w:val="21"/>
          <w:szCs w:val="21"/>
        </w:rPr>
        <w:t xml:space="preserve"> needs to be introduced</w:t>
      </w:r>
      <w:r w:rsidR="009A1423">
        <w:rPr>
          <w:rFonts w:ascii="Times New Roman" w:hAnsi="Times New Roman" w:cs="Times New Roman"/>
          <w:bCs/>
          <w:sz w:val="21"/>
          <w:szCs w:val="21"/>
        </w:rPr>
        <w:t xml:space="preserve"> on top of existing EMR framework</w:t>
      </w:r>
      <w:r>
        <w:rPr>
          <w:rFonts w:ascii="Times New Roman" w:hAnsi="Times New Roman" w:cs="Times New Roman"/>
          <w:bCs/>
          <w:sz w:val="21"/>
          <w:szCs w:val="21"/>
        </w:rPr>
        <w:t xml:space="preserve"> per </w:t>
      </w:r>
      <w:r w:rsidR="00E57EE8">
        <w:rPr>
          <w:rFonts w:ascii="Times New Roman" w:hAnsi="Times New Roman" w:cs="Times New Roman"/>
          <w:bCs/>
          <w:sz w:val="21"/>
          <w:szCs w:val="21"/>
        </w:rPr>
        <w:t>carrier</w:t>
      </w:r>
      <w:r w:rsidR="009F5174">
        <w:rPr>
          <w:rFonts w:ascii="Times New Roman" w:hAnsi="Times New Roman" w:cs="Times New Roman"/>
          <w:bCs/>
          <w:sz w:val="21"/>
          <w:szCs w:val="21"/>
        </w:rPr>
        <w:t>.</w:t>
      </w:r>
    </w:p>
    <w:p w14:paraId="651144ED" w14:textId="4AD7FC8B" w:rsidR="007F582F" w:rsidRPr="002A17D3" w:rsidRDefault="002A17D3" w:rsidP="007F582F">
      <w:pPr>
        <w:pStyle w:val="ListParagraph"/>
        <w:numPr>
          <w:ilvl w:val="2"/>
          <w:numId w:val="27"/>
        </w:numPr>
        <w:spacing w:after="120"/>
        <w:rPr>
          <w:rFonts w:ascii="Times New Roman" w:hAnsi="Times New Roman" w:cs="Times New Roman"/>
          <w:bCs/>
          <w:sz w:val="21"/>
          <w:szCs w:val="21"/>
        </w:rPr>
      </w:pPr>
      <w:r>
        <w:rPr>
          <w:rFonts w:ascii="Times New Roman" w:hAnsi="Times New Roman" w:cs="Times New Roman"/>
          <w:bCs/>
          <w:sz w:val="21"/>
          <w:szCs w:val="21"/>
        </w:rPr>
        <w:t xml:space="preserve">‘valid’ means the reported measurement result can meet </w:t>
      </w:r>
      <w:r w:rsidRPr="002A17D3">
        <w:rPr>
          <w:rFonts w:ascii="Times New Roman" w:hAnsi="Times New Roman" w:cs="Times New Roman"/>
          <w:bCs/>
          <w:sz w:val="21"/>
          <w:szCs w:val="21"/>
          <w:lang w:val="en-US"/>
        </w:rPr>
        <w:t>criteria for measurements validity definition</w:t>
      </w:r>
      <w:r>
        <w:rPr>
          <w:rFonts w:ascii="Times New Roman" w:hAnsi="Times New Roman" w:cs="Times New Roman"/>
          <w:bCs/>
          <w:sz w:val="21"/>
          <w:szCs w:val="21"/>
          <w:lang w:val="en-US"/>
        </w:rPr>
        <w:t xml:space="preserve"> which will be specified in RAN4.</w:t>
      </w:r>
    </w:p>
    <w:p w14:paraId="30F35C20" w14:textId="7B532A88" w:rsidR="002A17D3" w:rsidRPr="006F25C6" w:rsidRDefault="002A17D3" w:rsidP="007F582F">
      <w:pPr>
        <w:pStyle w:val="ListParagraph"/>
        <w:numPr>
          <w:ilvl w:val="2"/>
          <w:numId w:val="27"/>
        </w:numPr>
        <w:spacing w:after="120"/>
        <w:rPr>
          <w:rFonts w:ascii="Times New Roman" w:hAnsi="Times New Roman" w:cs="Times New Roman"/>
          <w:bCs/>
          <w:sz w:val="21"/>
          <w:szCs w:val="21"/>
        </w:rPr>
      </w:pPr>
      <w:r>
        <w:rPr>
          <w:rFonts w:ascii="Times New Roman" w:hAnsi="Times New Roman" w:cs="Times New Roman"/>
          <w:bCs/>
          <w:sz w:val="21"/>
          <w:szCs w:val="21"/>
          <w:lang w:val="en-US"/>
        </w:rPr>
        <w:t xml:space="preserve">‘invalid’ </w:t>
      </w:r>
      <w:r>
        <w:rPr>
          <w:rFonts w:ascii="Times New Roman" w:hAnsi="Times New Roman" w:cs="Times New Roman"/>
          <w:bCs/>
          <w:sz w:val="21"/>
          <w:szCs w:val="21"/>
        </w:rPr>
        <w:t xml:space="preserve">means the reported measurement result can NOT meet </w:t>
      </w:r>
      <w:r w:rsidRPr="002A17D3">
        <w:rPr>
          <w:rFonts w:ascii="Times New Roman" w:hAnsi="Times New Roman" w:cs="Times New Roman"/>
          <w:bCs/>
          <w:sz w:val="21"/>
          <w:szCs w:val="21"/>
          <w:lang w:val="en-US"/>
        </w:rPr>
        <w:t>criteria for measurements validity definition</w:t>
      </w:r>
      <w:r>
        <w:rPr>
          <w:rFonts w:ascii="Times New Roman" w:hAnsi="Times New Roman" w:cs="Times New Roman"/>
          <w:bCs/>
          <w:sz w:val="21"/>
          <w:szCs w:val="21"/>
          <w:lang w:val="en-US"/>
        </w:rPr>
        <w:t xml:space="preserve"> which will be specified in RAN4.</w:t>
      </w:r>
    </w:p>
    <w:p w14:paraId="3B618688" w14:textId="77777777" w:rsidR="006F25C6" w:rsidRPr="006F25C6" w:rsidRDefault="006F25C6" w:rsidP="006F25C6">
      <w:pPr>
        <w:spacing w:after="120"/>
        <w:rPr>
          <w:rFonts w:ascii="Times New Roman" w:hAnsi="Times New Roman" w:cs="Times New Roman"/>
          <w:bCs/>
          <w:sz w:val="21"/>
          <w:szCs w:val="21"/>
        </w:rPr>
      </w:pPr>
    </w:p>
    <w:p w14:paraId="0D8381F3" w14:textId="77777777" w:rsidR="006F25C6" w:rsidRPr="006F25C6" w:rsidRDefault="00975AE5" w:rsidP="00975AE5">
      <w:pPr>
        <w:pStyle w:val="ListParagraph"/>
        <w:numPr>
          <w:ilvl w:val="0"/>
          <w:numId w:val="27"/>
        </w:numPr>
        <w:spacing w:after="120"/>
        <w:rPr>
          <w:rFonts w:ascii="Times New Roman" w:hAnsi="Times New Roman" w:cs="Times New Roman"/>
          <w:bCs/>
          <w:sz w:val="21"/>
          <w:szCs w:val="21"/>
          <w:u w:val="single"/>
        </w:rPr>
      </w:pPr>
      <w:r w:rsidRPr="006F25C6">
        <w:rPr>
          <w:rFonts w:ascii="Times New Roman" w:hAnsi="Times New Roman" w:cs="Times New Roman"/>
          <w:bCs/>
          <w:sz w:val="21"/>
          <w:szCs w:val="21"/>
          <w:u w:val="single"/>
        </w:rPr>
        <w:t xml:space="preserve">For UE not capable/configured with EMR, </w:t>
      </w:r>
    </w:p>
    <w:p w14:paraId="04ACC4A6" w14:textId="45880062" w:rsidR="00975AE5" w:rsidRDefault="00975AE5" w:rsidP="006F25C6">
      <w:pPr>
        <w:pStyle w:val="ListParagraph"/>
        <w:numPr>
          <w:ilvl w:val="1"/>
          <w:numId w:val="27"/>
        </w:numPr>
        <w:spacing w:after="120"/>
        <w:rPr>
          <w:rFonts w:ascii="Times New Roman" w:hAnsi="Times New Roman" w:cs="Times New Roman"/>
          <w:bCs/>
          <w:sz w:val="21"/>
          <w:szCs w:val="21"/>
        </w:rPr>
      </w:pPr>
      <w:r>
        <w:rPr>
          <w:rFonts w:ascii="Times New Roman" w:hAnsi="Times New Roman" w:cs="Times New Roman"/>
          <w:bCs/>
          <w:sz w:val="21"/>
          <w:szCs w:val="21"/>
        </w:rPr>
        <w:t>UE can report measurement results which are obtained from legacy idle/inactive mode measurement for cell re-selection purpose.</w:t>
      </w:r>
    </w:p>
    <w:p w14:paraId="386B2316" w14:textId="77777777" w:rsidR="002A0886" w:rsidRDefault="002A0886" w:rsidP="002A0886">
      <w:pPr>
        <w:pStyle w:val="ListParagraph"/>
        <w:numPr>
          <w:ilvl w:val="1"/>
          <w:numId w:val="27"/>
        </w:numPr>
        <w:spacing w:after="120"/>
        <w:rPr>
          <w:rFonts w:ascii="Times New Roman" w:hAnsi="Times New Roman" w:cs="Times New Roman"/>
          <w:bCs/>
          <w:sz w:val="21"/>
          <w:szCs w:val="21"/>
        </w:rPr>
      </w:pPr>
      <w:r>
        <w:rPr>
          <w:rFonts w:ascii="Times New Roman" w:hAnsi="Times New Roman" w:cs="Times New Roman"/>
          <w:bCs/>
          <w:sz w:val="21"/>
          <w:szCs w:val="21"/>
        </w:rPr>
        <w:t xml:space="preserve">RAN4 assumes the reporting time could be similar to EMR reporting, e.g. in </w:t>
      </w:r>
      <w:r w:rsidRPr="00261868">
        <w:rPr>
          <w:rFonts w:ascii="Times New Roman" w:hAnsi="Times New Roman" w:cs="Times New Roman"/>
          <w:bCs/>
          <w:i/>
          <w:iCs/>
          <w:sz w:val="21"/>
          <w:szCs w:val="21"/>
          <w:lang w:val="en-US"/>
        </w:rPr>
        <w:t>RRCResumeComplete/</w:t>
      </w:r>
      <w:r w:rsidRPr="00261868">
        <w:rPr>
          <w:rFonts w:ascii="Times New Roman" w:eastAsia="SimSun" w:hAnsi="Times New Roman" w:cs="Times New Roman"/>
          <w:i/>
          <w:iCs/>
          <w:color w:val="000000" w:themeColor="text1"/>
          <w:sz w:val="24"/>
          <w:szCs w:val="24"/>
          <w:lang w:val="en-US" w:eastAsia="zh-CN"/>
        </w:rPr>
        <w:t xml:space="preserve"> </w:t>
      </w:r>
      <w:r w:rsidRPr="00261868">
        <w:rPr>
          <w:rFonts w:ascii="Times New Roman" w:hAnsi="Times New Roman" w:cs="Times New Roman"/>
          <w:bCs/>
          <w:i/>
          <w:iCs/>
          <w:sz w:val="21"/>
          <w:szCs w:val="21"/>
          <w:lang w:val="en-US"/>
        </w:rPr>
        <w:t>RRCSetupComplete</w:t>
      </w:r>
      <w:r>
        <w:rPr>
          <w:rFonts w:ascii="Times New Roman" w:hAnsi="Times New Roman" w:cs="Times New Roman"/>
          <w:bCs/>
          <w:sz w:val="21"/>
          <w:szCs w:val="21"/>
          <w:lang w:val="en-US"/>
        </w:rPr>
        <w:t xml:space="preserve"> or </w:t>
      </w:r>
      <w:r w:rsidRPr="00261868">
        <w:rPr>
          <w:rFonts w:ascii="Times New Roman" w:hAnsi="Times New Roman" w:cs="Times New Roman"/>
          <w:bCs/>
          <w:i/>
          <w:iCs/>
          <w:sz w:val="21"/>
          <w:szCs w:val="21"/>
          <w:lang w:val="en-US"/>
        </w:rPr>
        <w:t>UEInformationResponse</w:t>
      </w:r>
      <w:r>
        <w:rPr>
          <w:rFonts w:ascii="Times New Roman" w:hAnsi="Times New Roman" w:cs="Times New Roman"/>
          <w:bCs/>
          <w:sz w:val="21"/>
          <w:szCs w:val="21"/>
          <w:lang w:val="en-US"/>
        </w:rPr>
        <w:t>.</w:t>
      </w:r>
      <w:r>
        <w:rPr>
          <w:rFonts w:ascii="Times New Roman" w:hAnsi="Times New Roman" w:cs="Times New Roman"/>
          <w:bCs/>
          <w:sz w:val="21"/>
          <w:szCs w:val="21"/>
        </w:rPr>
        <w:t xml:space="preserve"> Final decision can be up to RAN2.</w:t>
      </w:r>
    </w:p>
    <w:p w14:paraId="19BB48F9" w14:textId="5FDC0333" w:rsidR="003C0975" w:rsidRPr="003C0975" w:rsidRDefault="003C0975" w:rsidP="00A1624B">
      <w:pPr>
        <w:pStyle w:val="ListParagraph"/>
        <w:numPr>
          <w:ilvl w:val="1"/>
          <w:numId w:val="27"/>
        </w:numPr>
        <w:spacing w:after="120"/>
        <w:rPr>
          <w:rFonts w:ascii="Times New Roman" w:hAnsi="Times New Roman" w:cs="Times New Roman"/>
          <w:bCs/>
          <w:sz w:val="21"/>
          <w:szCs w:val="21"/>
        </w:rPr>
      </w:pPr>
      <w:r w:rsidRPr="003C0975">
        <w:rPr>
          <w:rFonts w:ascii="Times New Roman" w:hAnsi="Times New Roman" w:cs="Times New Roman"/>
          <w:bCs/>
          <w:sz w:val="21"/>
          <w:szCs w:val="21"/>
        </w:rPr>
        <w:t>Whether a similar indication of availability in EMR needs to be introduced is up to RAN2</w:t>
      </w:r>
      <w:r>
        <w:rPr>
          <w:rFonts w:ascii="Times New Roman" w:hAnsi="Times New Roman" w:cs="Times New Roman"/>
          <w:bCs/>
          <w:sz w:val="21"/>
          <w:szCs w:val="21"/>
        </w:rPr>
        <w:t>.</w:t>
      </w:r>
    </w:p>
    <w:p w14:paraId="6A1ACDAD" w14:textId="688A81E9" w:rsidR="005308BB" w:rsidRDefault="005308BB" w:rsidP="005308BB">
      <w:pPr>
        <w:pStyle w:val="ListParagraph"/>
        <w:numPr>
          <w:ilvl w:val="1"/>
          <w:numId w:val="27"/>
        </w:numPr>
        <w:spacing w:after="120"/>
        <w:rPr>
          <w:rFonts w:ascii="Times New Roman" w:hAnsi="Times New Roman" w:cs="Times New Roman"/>
          <w:bCs/>
          <w:sz w:val="21"/>
          <w:szCs w:val="21"/>
        </w:rPr>
      </w:pPr>
      <w:r>
        <w:rPr>
          <w:rFonts w:ascii="Times New Roman" w:hAnsi="Times New Roman" w:cs="Times New Roman"/>
          <w:bCs/>
          <w:sz w:val="21"/>
          <w:szCs w:val="21"/>
        </w:rPr>
        <w:t>A similar validity indication needs to be introduced</w:t>
      </w:r>
      <w:r w:rsidR="00D158DE">
        <w:rPr>
          <w:rFonts w:ascii="Times New Roman" w:hAnsi="Times New Roman" w:cs="Times New Roman"/>
          <w:bCs/>
          <w:sz w:val="21"/>
          <w:szCs w:val="21"/>
        </w:rPr>
        <w:t>.</w:t>
      </w:r>
    </w:p>
    <w:p w14:paraId="502026C7" w14:textId="0E3D531B" w:rsidR="00BF6BFC" w:rsidRPr="005E37E4" w:rsidRDefault="00BF6BFC" w:rsidP="00381655">
      <w:pPr>
        <w:jc w:val="both"/>
        <w:rPr>
          <w:rFonts w:ascii="Times New Roman" w:eastAsia="Webdings" w:hAnsi="Times New Roman" w:cs="Times New Roman"/>
          <w:sz w:val="21"/>
          <w:szCs w:val="21"/>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4BBA4526"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A0213A">
        <w:rPr>
          <w:rFonts w:ascii="Times New Roman" w:hAnsi="Times New Roman" w:cs="Times New Roman"/>
          <w:b/>
          <w:sz w:val="21"/>
          <w:szCs w:val="21"/>
        </w:rPr>
        <w:t>2</w:t>
      </w:r>
      <w:r w:rsidR="001526C2" w:rsidRPr="005E37E4">
        <w:rPr>
          <w:rFonts w:ascii="Times New Roman" w:hAnsi="Times New Roman" w:cs="Times New Roman"/>
          <w:b/>
          <w:sz w:val="21"/>
          <w:szCs w:val="21"/>
        </w:rPr>
        <w:t xml:space="preserve"> group.</w:t>
      </w:r>
    </w:p>
    <w:p w14:paraId="6E430879" w14:textId="5726A250"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A0213A">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D84730">
        <w:rPr>
          <w:rFonts w:ascii="Times New Roman" w:hAnsi="Times New Roman" w:cs="Times New Roman"/>
          <w:sz w:val="21"/>
          <w:szCs w:val="21"/>
          <w:lang w:eastAsia="zh-CN"/>
        </w:rPr>
        <w:t xml:space="preserve">take above RAN4 agreements into consideration </w:t>
      </w:r>
      <w:r w:rsidR="000B3BBD">
        <w:rPr>
          <w:rFonts w:ascii="Times New Roman" w:hAnsi="Times New Roman" w:cs="Times New Roman"/>
          <w:sz w:val="21"/>
          <w:szCs w:val="21"/>
          <w:lang w:eastAsia="zh-CN"/>
        </w:rPr>
        <w:t xml:space="preserve">and </w:t>
      </w:r>
      <w:r w:rsidR="00AC71C5">
        <w:rPr>
          <w:rFonts w:ascii="Times New Roman" w:hAnsi="Times New Roman" w:cs="Times New Roman"/>
          <w:sz w:val="21"/>
          <w:szCs w:val="21"/>
          <w:lang w:eastAsia="zh-CN"/>
        </w:rPr>
        <w:t>introduce</w:t>
      </w:r>
      <w:r w:rsidR="000B3BBD">
        <w:rPr>
          <w:rFonts w:ascii="Times New Roman" w:hAnsi="Times New Roman" w:cs="Times New Roman"/>
          <w:sz w:val="21"/>
          <w:szCs w:val="21"/>
          <w:lang w:eastAsia="zh-CN"/>
        </w:rPr>
        <w:t xml:space="preserve"> the new signalling</w:t>
      </w:r>
      <w:r w:rsidR="00AC71C5">
        <w:rPr>
          <w:rFonts w:ascii="Times New Roman" w:hAnsi="Times New Roman" w:cs="Times New Roman"/>
          <w:sz w:val="21"/>
          <w:szCs w:val="21"/>
          <w:lang w:eastAsia="zh-CN"/>
        </w:rPr>
        <w:t xml:space="preserve"> in RRC design.</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3A372ADF" w14:textId="77777777" w:rsidR="00E55DA3" w:rsidRPr="005E37E4" w:rsidRDefault="00E55DA3" w:rsidP="00E55DA3">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75E7C2C9" w14:textId="50D0C9F6"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lastRenderedPageBreak/>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w:t>
      </w:r>
      <w:r w:rsidR="005500D1">
        <w:rPr>
          <w:rFonts w:ascii="Times New Roman" w:hAnsi="Times New Roman" w:cs="Times New Roman"/>
          <w:bCs/>
          <w:sz w:val="21"/>
          <w:szCs w:val="21"/>
        </w:rPr>
        <w:t>8-bis</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sidR="005500D1">
        <w:rPr>
          <w:rFonts w:ascii="Times New Roman" w:hAnsi="Times New Roman" w:cs="Times New Roman"/>
          <w:sz w:val="21"/>
          <w:szCs w:val="21"/>
          <w:lang w:eastAsia="zh-CN"/>
        </w:rPr>
        <w:t>9</w:t>
      </w:r>
      <w:r w:rsidRPr="005E37E4">
        <w:rPr>
          <w:rFonts w:ascii="Times New Roman" w:hAnsi="Times New Roman" w:cs="Times New Roman"/>
          <w:sz w:val="21"/>
          <w:szCs w:val="21"/>
          <w:lang w:eastAsia="zh-CN"/>
        </w:rPr>
        <w:t xml:space="preserve"> – </w:t>
      </w:r>
      <w:r w:rsidR="005500D1">
        <w:rPr>
          <w:rFonts w:ascii="Times New Roman" w:hAnsi="Times New Roman" w:cs="Times New Roman"/>
          <w:sz w:val="21"/>
          <w:szCs w:val="21"/>
          <w:lang w:eastAsia="zh-CN"/>
        </w:rPr>
        <w:t>13</w:t>
      </w:r>
      <w:r w:rsidRPr="005E37E4">
        <w:rPr>
          <w:rFonts w:ascii="Times New Roman" w:hAnsi="Times New Roman" w:cs="Times New Roman"/>
          <w:sz w:val="21"/>
          <w:szCs w:val="21"/>
          <w:lang w:eastAsia="zh-CN"/>
        </w:rPr>
        <w:t xml:space="preserve"> </w:t>
      </w:r>
      <w:r w:rsidR="005500D1">
        <w:rPr>
          <w:rFonts w:ascii="Times New Roman" w:hAnsi="Times New Roman" w:cs="Times New Roman"/>
          <w:sz w:val="21"/>
          <w:szCs w:val="21"/>
          <w:lang w:eastAsia="zh-CN"/>
        </w:rPr>
        <w:t>October</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005500D1">
        <w:rPr>
          <w:rFonts w:ascii="Times New Roman" w:hAnsi="Times New Roman" w:cs="Times New Roman"/>
          <w:bCs/>
          <w:sz w:val="21"/>
          <w:szCs w:val="21"/>
        </w:rPr>
        <w:t>Xiamen</w:t>
      </w:r>
      <w:r>
        <w:rPr>
          <w:rFonts w:ascii="Times New Roman" w:hAnsi="Times New Roman" w:cs="Times New Roman"/>
          <w:bCs/>
          <w:sz w:val="21"/>
          <w:szCs w:val="21"/>
        </w:rPr>
        <w:t xml:space="preserve">, </w:t>
      </w:r>
      <w:r w:rsidR="005500D1">
        <w:rPr>
          <w:rFonts w:ascii="Times New Roman" w:hAnsi="Times New Roman" w:cs="Times New Roman"/>
          <w:bCs/>
          <w:sz w:val="21"/>
          <w:szCs w:val="21"/>
        </w:rPr>
        <w:t>China</w:t>
      </w:r>
    </w:p>
    <w:sectPr w:rsidR="00963EA6"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9A4A" w14:textId="77777777" w:rsidR="006220AC" w:rsidRDefault="006220AC">
      <w:r>
        <w:separator/>
      </w:r>
    </w:p>
  </w:endnote>
  <w:endnote w:type="continuationSeparator" w:id="0">
    <w:p w14:paraId="44B0446F" w14:textId="77777777" w:rsidR="006220AC" w:rsidRDefault="0062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59BB" w14:textId="77777777" w:rsidR="006220AC" w:rsidRDefault="006220AC">
      <w:r>
        <w:separator/>
      </w:r>
    </w:p>
  </w:footnote>
  <w:footnote w:type="continuationSeparator" w:id="0">
    <w:p w14:paraId="1ED8C613" w14:textId="77777777" w:rsidR="006220AC" w:rsidRDefault="00622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1"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4"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1"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26"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0"/>
  </w:num>
  <w:num w:numId="2" w16cid:durableId="217055999">
    <w:abstractNumId w:val="18"/>
  </w:num>
  <w:num w:numId="3" w16cid:durableId="1697458902">
    <w:abstractNumId w:val="13"/>
  </w:num>
  <w:num w:numId="4" w16cid:durableId="436559830">
    <w:abstractNumId w:val="5"/>
  </w:num>
  <w:num w:numId="5" w16cid:durableId="131560878">
    <w:abstractNumId w:val="10"/>
  </w:num>
  <w:num w:numId="6" w16cid:durableId="118384391">
    <w:abstractNumId w:val="15"/>
  </w:num>
  <w:num w:numId="7" w16cid:durableId="1468402240">
    <w:abstractNumId w:val="4"/>
  </w:num>
  <w:num w:numId="8" w16cid:durableId="1909222361">
    <w:abstractNumId w:val="2"/>
  </w:num>
  <w:num w:numId="9" w16cid:durableId="1606158437">
    <w:abstractNumId w:val="7"/>
  </w:num>
  <w:num w:numId="10" w16cid:durableId="725761985">
    <w:abstractNumId w:val="24"/>
  </w:num>
  <w:num w:numId="11" w16cid:durableId="2056074631">
    <w:abstractNumId w:val="6"/>
  </w:num>
  <w:num w:numId="12" w16cid:durableId="1893421247">
    <w:abstractNumId w:val="17"/>
  </w:num>
  <w:num w:numId="13" w16cid:durableId="64841749">
    <w:abstractNumId w:val="22"/>
  </w:num>
  <w:num w:numId="14" w16cid:durableId="474179798">
    <w:abstractNumId w:val="1"/>
  </w:num>
  <w:num w:numId="15" w16cid:durableId="9375242">
    <w:abstractNumId w:val="19"/>
  </w:num>
  <w:num w:numId="16" w16cid:durableId="2077627441">
    <w:abstractNumId w:val="9"/>
  </w:num>
  <w:num w:numId="17" w16cid:durableId="859124049">
    <w:abstractNumId w:val="25"/>
  </w:num>
  <w:num w:numId="18" w16cid:durableId="209848698">
    <w:abstractNumId w:val="14"/>
  </w:num>
  <w:num w:numId="19" w16cid:durableId="1434548923">
    <w:abstractNumId w:val="3"/>
  </w:num>
  <w:num w:numId="20" w16cid:durableId="1789541422">
    <w:abstractNumId w:val="21"/>
  </w:num>
  <w:num w:numId="21" w16cid:durableId="357506117">
    <w:abstractNumId w:val="16"/>
  </w:num>
  <w:num w:numId="22" w16cid:durableId="939527933">
    <w:abstractNumId w:val="12"/>
  </w:num>
  <w:num w:numId="23" w16cid:durableId="531307805">
    <w:abstractNumId w:val="8"/>
  </w:num>
  <w:num w:numId="24" w16cid:durableId="355233203">
    <w:abstractNumId w:val="11"/>
  </w:num>
  <w:num w:numId="25" w16cid:durableId="1505319471">
    <w:abstractNumId w:val="0"/>
  </w:num>
  <w:num w:numId="26" w16cid:durableId="1500002620">
    <w:abstractNumId w:val="23"/>
  </w:num>
  <w:num w:numId="27" w16cid:durableId="209246571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0A75"/>
    <w:rsid w:val="00054FBE"/>
    <w:rsid w:val="000618F1"/>
    <w:rsid w:val="000626AE"/>
    <w:rsid w:val="00067361"/>
    <w:rsid w:val="0006775A"/>
    <w:rsid w:val="0007062C"/>
    <w:rsid w:val="00075686"/>
    <w:rsid w:val="000B0783"/>
    <w:rsid w:val="000B3269"/>
    <w:rsid w:val="000B3BBD"/>
    <w:rsid w:val="000B3FB7"/>
    <w:rsid w:val="000C3B5D"/>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E0DD3"/>
    <w:rsid w:val="001E750B"/>
    <w:rsid w:val="001E77AC"/>
    <w:rsid w:val="001F147D"/>
    <w:rsid w:val="001F44BD"/>
    <w:rsid w:val="002006D6"/>
    <w:rsid w:val="002065C9"/>
    <w:rsid w:val="002175D3"/>
    <w:rsid w:val="0022124B"/>
    <w:rsid w:val="00225802"/>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7E97"/>
    <w:rsid w:val="002954DE"/>
    <w:rsid w:val="002A0886"/>
    <w:rsid w:val="002A17D3"/>
    <w:rsid w:val="002B2196"/>
    <w:rsid w:val="002B31BF"/>
    <w:rsid w:val="002B64E7"/>
    <w:rsid w:val="002C0BFE"/>
    <w:rsid w:val="002C3E10"/>
    <w:rsid w:val="002C7058"/>
    <w:rsid w:val="002D13EF"/>
    <w:rsid w:val="002D40E7"/>
    <w:rsid w:val="002D5BFE"/>
    <w:rsid w:val="002E40BE"/>
    <w:rsid w:val="002E475C"/>
    <w:rsid w:val="002E5FFE"/>
    <w:rsid w:val="002F2E15"/>
    <w:rsid w:val="002F7AD0"/>
    <w:rsid w:val="00301F43"/>
    <w:rsid w:val="00303380"/>
    <w:rsid w:val="003034C8"/>
    <w:rsid w:val="00306EB6"/>
    <w:rsid w:val="00317814"/>
    <w:rsid w:val="00333655"/>
    <w:rsid w:val="00333EC1"/>
    <w:rsid w:val="003419D0"/>
    <w:rsid w:val="003533A6"/>
    <w:rsid w:val="00353590"/>
    <w:rsid w:val="00355EF3"/>
    <w:rsid w:val="00363687"/>
    <w:rsid w:val="00365364"/>
    <w:rsid w:val="00372906"/>
    <w:rsid w:val="00381655"/>
    <w:rsid w:val="00381A88"/>
    <w:rsid w:val="00391CA6"/>
    <w:rsid w:val="003977DA"/>
    <w:rsid w:val="003A0AFD"/>
    <w:rsid w:val="003A0F99"/>
    <w:rsid w:val="003A2FCD"/>
    <w:rsid w:val="003A760F"/>
    <w:rsid w:val="003B0D08"/>
    <w:rsid w:val="003C0975"/>
    <w:rsid w:val="003C512F"/>
    <w:rsid w:val="003C666F"/>
    <w:rsid w:val="003D1F83"/>
    <w:rsid w:val="003D5EFC"/>
    <w:rsid w:val="003E6B6E"/>
    <w:rsid w:val="003F26D4"/>
    <w:rsid w:val="00402607"/>
    <w:rsid w:val="00402D77"/>
    <w:rsid w:val="00404E54"/>
    <w:rsid w:val="004053CC"/>
    <w:rsid w:val="00424C12"/>
    <w:rsid w:val="004256C3"/>
    <w:rsid w:val="00426890"/>
    <w:rsid w:val="00432648"/>
    <w:rsid w:val="004402BA"/>
    <w:rsid w:val="004446C5"/>
    <w:rsid w:val="00445E44"/>
    <w:rsid w:val="00447DBC"/>
    <w:rsid w:val="00455347"/>
    <w:rsid w:val="0046083D"/>
    <w:rsid w:val="00463675"/>
    <w:rsid w:val="0046640A"/>
    <w:rsid w:val="00467818"/>
    <w:rsid w:val="00485FE4"/>
    <w:rsid w:val="004932C3"/>
    <w:rsid w:val="004A170E"/>
    <w:rsid w:val="004A4A34"/>
    <w:rsid w:val="004B7323"/>
    <w:rsid w:val="004D01F9"/>
    <w:rsid w:val="004D525B"/>
    <w:rsid w:val="004D738A"/>
    <w:rsid w:val="004D7397"/>
    <w:rsid w:val="004F0749"/>
    <w:rsid w:val="004F12D0"/>
    <w:rsid w:val="00500A19"/>
    <w:rsid w:val="00511873"/>
    <w:rsid w:val="005149F1"/>
    <w:rsid w:val="005214B3"/>
    <w:rsid w:val="005308BB"/>
    <w:rsid w:val="00543820"/>
    <w:rsid w:val="00543B79"/>
    <w:rsid w:val="005460B3"/>
    <w:rsid w:val="005461ED"/>
    <w:rsid w:val="0054629C"/>
    <w:rsid w:val="005500D1"/>
    <w:rsid w:val="00551589"/>
    <w:rsid w:val="005576A1"/>
    <w:rsid w:val="00560DB1"/>
    <w:rsid w:val="00592655"/>
    <w:rsid w:val="005934E8"/>
    <w:rsid w:val="005941C5"/>
    <w:rsid w:val="005B237D"/>
    <w:rsid w:val="005B2A24"/>
    <w:rsid w:val="005C0C8A"/>
    <w:rsid w:val="005C2C6A"/>
    <w:rsid w:val="005C40CF"/>
    <w:rsid w:val="005C56CB"/>
    <w:rsid w:val="005D2C9D"/>
    <w:rsid w:val="005D56F5"/>
    <w:rsid w:val="005E37E4"/>
    <w:rsid w:val="005F6C77"/>
    <w:rsid w:val="005F77CC"/>
    <w:rsid w:val="0060592C"/>
    <w:rsid w:val="00606978"/>
    <w:rsid w:val="00610518"/>
    <w:rsid w:val="00617984"/>
    <w:rsid w:val="00620947"/>
    <w:rsid w:val="00620A6D"/>
    <w:rsid w:val="006220AC"/>
    <w:rsid w:val="0062409A"/>
    <w:rsid w:val="006274BE"/>
    <w:rsid w:val="00633B9B"/>
    <w:rsid w:val="00643E99"/>
    <w:rsid w:val="00646065"/>
    <w:rsid w:val="00663005"/>
    <w:rsid w:val="0067024C"/>
    <w:rsid w:val="00670B91"/>
    <w:rsid w:val="00672B47"/>
    <w:rsid w:val="00673396"/>
    <w:rsid w:val="00677509"/>
    <w:rsid w:val="00685C31"/>
    <w:rsid w:val="00691D34"/>
    <w:rsid w:val="006927D6"/>
    <w:rsid w:val="00696AEA"/>
    <w:rsid w:val="00697856"/>
    <w:rsid w:val="006A026E"/>
    <w:rsid w:val="006A19C7"/>
    <w:rsid w:val="006B3CBD"/>
    <w:rsid w:val="006B45C2"/>
    <w:rsid w:val="006C0D8B"/>
    <w:rsid w:val="006C1E78"/>
    <w:rsid w:val="006C2D45"/>
    <w:rsid w:val="006E0AAF"/>
    <w:rsid w:val="006E7747"/>
    <w:rsid w:val="006F25C6"/>
    <w:rsid w:val="006F2719"/>
    <w:rsid w:val="00701A28"/>
    <w:rsid w:val="00712F9F"/>
    <w:rsid w:val="0072280D"/>
    <w:rsid w:val="007310C6"/>
    <w:rsid w:val="0073148E"/>
    <w:rsid w:val="00742A17"/>
    <w:rsid w:val="00744635"/>
    <w:rsid w:val="00763C40"/>
    <w:rsid w:val="00774F34"/>
    <w:rsid w:val="00794FE2"/>
    <w:rsid w:val="007A1FDC"/>
    <w:rsid w:val="007A4C79"/>
    <w:rsid w:val="007B1781"/>
    <w:rsid w:val="007B3B4A"/>
    <w:rsid w:val="007B4F20"/>
    <w:rsid w:val="007B4F4C"/>
    <w:rsid w:val="007D4606"/>
    <w:rsid w:val="007E3CEC"/>
    <w:rsid w:val="007E4486"/>
    <w:rsid w:val="007F2366"/>
    <w:rsid w:val="007F582F"/>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7810"/>
    <w:rsid w:val="008B2616"/>
    <w:rsid w:val="008B4528"/>
    <w:rsid w:val="008B49A2"/>
    <w:rsid w:val="008C43F2"/>
    <w:rsid w:val="008C79C0"/>
    <w:rsid w:val="008D1625"/>
    <w:rsid w:val="008D5EFD"/>
    <w:rsid w:val="008E71D1"/>
    <w:rsid w:val="008E7763"/>
    <w:rsid w:val="0090172D"/>
    <w:rsid w:val="00912B85"/>
    <w:rsid w:val="0091443C"/>
    <w:rsid w:val="00923E7C"/>
    <w:rsid w:val="009252F6"/>
    <w:rsid w:val="00935FA5"/>
    <w:rsid w:val="00942813"/>
    <w:rsid w:val="00943AAB"/>
    <w:rsid w:val="00952403"/>
    <w:rsid w:val="0095622C"/>
    <w:rsid w:val="00956536"/>
    <w:rsid w:val="00963EA6"/>
    <w:rsid w:val="009657B9"/>
    <w:rsid w:val="009721D2"/>
    <w:rsid w:val="009726D0"/>
    <w:rsid w:val="00975AE5"/>
    <w:rsid w:val="00986B41"/>
    <w:rsid w:val="00993DD9"/>
    <w:rsid w:val="009A1423"/>
    <w:rsid w:val="009A378E"/>
    <w:rsid w:val="009A5B44"/>
    <w:rsid w:val="009B13B7"/>
    <w:rsid w:val="009C5270"/>
    <w:rsid w:val="009C6B80"/>
    <w:rsid w:val="009C6FFE"/>
    <w:rsid w:val="009D6FD3"/>
    <w:rsid w:val="009E4A8B"/>
    <w:rsid w:val="009E6DE7"/>
    <w:rsid w:val="009F06E4"/>
    <w:rsid w:val="009F38A1"/>
    <w:rsid w:val="009F4AC9"/>
    <w:rsid w:val="009F5174"/>
    <w:rsid w:val="009F7C4C"/>
    <w:rsid w:val="00A0213A"/>
    <w:rsid w:val="00A0368F"/>
    <w:rsid w:val="00A05506"/>
    <w:rsid w:val="00A263F6"/>
    <w:rsid w:val="00A35D37"/>
    <w:rsid w:val="00A37D21"/>
    <w:rsid w:val="00A42568"/>
    <w:rsid w:val="00A65A3A"/>
    <w:rsid w:val="00A66119"/>
    <w:rsid w:val="00A723AD"/>
    <w:rsid w:val="00A86B6A"/>
    <w:rsid w:val="00A87F2E"/>
    <w:rsid w:val="00A94F54"/>
    <w:rsid w:val="00AC0690"/>
    <w:rsid w:val="00AC0ACB"/>
    <w:rsid w:val="00AC1DF7"/>
    <w:rsid w:val="00AC286D"/>
    <w:rsid w:val="00AC5D9A"/>
    <w:rsid w:val="00AC71C5"/>
    <w:rsid w:val="00AC75AF"/>
    <w:rsid w:val="00AD08E8"/>
    <w:rsid w:val="00AD2B4E"/>
    <w:rsid w:val="00AD4460"/>
    <w:rsid w:val="00AD6458"/>
    <w:rsid w:val="00AF3BF4"/>
    <w:rsid w:val="00B05A41"/>
    <w:rsid w:val="00B07C56"/>
    <w:rsid w:val="00B10692"/>
    <w:rsid w:val="00B132CB"/>
    <w:rsid w:val="00B517F6"/>
    <w:rsid w:val="00B6611B"/>
    <w:rsid w:val="00B70B7E"/>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79C9"/>
    <w:rsid w:val="00C6528C"/>
    <w:rsid w:val="00C67A64"/>
    <w:rsid w:val="00C81EA2"/>
    <w:rsid w:val="00C82B7A"/>
    <w:rsid w:val="00C83AE2"/>
    <w:rsid w:val="00C83C5D"/>
    <w:rsid w:val="00C915BD"/>
    <w:rsid w:val="00CA1B10"/>
    <w:rsid w:val="00CA2863"/>
    <w:rsid w:val="00CA4791"/>
    <w:rsid w:val="00CA5B96"/>
    <w:rsid w:val="00CC0D3E"/>
    <w:rsid w:val="00CC43A1"/>
    <w:rsid w:val="00CD4E1D"/>
    <w:rsid w:val="00CE1433"/>
    <w:rsid w:val="00CE158E"/>
    <w:rsid w:val="00CE5FE2"/>
    <w:rsid w:val="00CF4018"/>
    <w:rsid w:val="00D116A3"/>
    <w:rsid w:val="00D14C6C"/>
    <w:rsid w:val="00D158DE"/>
    <w:rsid w:val="00D172D3"/>
    <w:rsid w:val="00D17C2A"/>
    <w:rsid w:val="00D214AB"/>
    <w:rsid w:val="00D303B5"/>
    <w:rsid w:val="00D31912"/>
    <w:rsid w:val="00D35E03"/>
    <w:rsid w:val="00D420C4"/>
    <w:rsid w:val="00D544A1"/>
    <w:rsid w:val="00D65CB5"/>
    <w:rsid w:val="00D669F8"/>
    <w:rsid w:val="00D808C7"/>
    <w:rsid w:val="00D82E43"/>
    <w:rsid w:val="00D845E2"/>
    <w:rsid w:val="00D84730"/>
    <w:rsid w:val="00D917F9"/>
    <w:rsid w:val="00D939A0"/>
    <w:rsid w:val="00D955B9"/>
    <w:rsid w:val="00DA0BB6"/>
    <w:rsid w:val="00DA14D5"/>
    <w:rsid w:val="00DA31A1"/>
    <w:rsid w:val="00DB0EC2"/>
    <w:rsid w:val="00DB298A"/>
    <w:rsid w:val="00DB31F2"/>
    <w:rsid w:val="00DB6E0A"/>
    <w:rsid w:val="00DC4A95"/>
    <w:rsid w:val="00DC4AC7"/>
    <w:rsid w:val="00DD2FE3"/>
    <w:rsid w:val="00DE54F1"/>
    <w:rsid w:val="00DE7B78"/>
    <w:rsid w:val="00E029CD"/>
    <w:rsid w:val="00E108B3"/>
    <w:rsid w:val="00E209E4"/>
    <w:rsid w:val="00E23AE1"/>
    <w:rsid w:val="00E2715F"/>
    <w:rsid w:val="00E55DA3"/>
    <w:rsid w:val="00E5695F"/>
    <w:rsid w:val="00E57EE8"/>
    <w:rsid w:val="00E62EB5"/>
    <w:rsid w:val="00E6345A"/>
    <w:rsid w:val="00E7332E"/>
    <w:rsid w:val="00E77221"/>
    <w:rsid w:val="00E871E4"/>
    <w:rsid w:val="00E9169F"/>
    <w:rsid w:val="00E916C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C3841"/>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19989960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120</cp:revision>
  <cp:lastPrinted>2002-04-23T01:10:00Z</cp:lastPrinted>
  <dcterms:created xsi:type="dcterms:W3CDTF">2023-02-09T03:11:00Z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