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29079" w14:textId="12F14397"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3C4FDE">
        <w:rPr>
          <w:rFonts w:ascii="Arial" w:eastAsia="SimSun" w:hAnsi="Arial" w:cs="Times New Roman"/>
          <w:b/>
          <w:sz w:val="24"/>
          <w:szCs w:val="20"/>
        </w:rPr>
        <w:t>bis-e</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746653" w:rsidRPr="00746653">
        <w:rPr>
          <w:rFonts w:ascii="Arial" w:eastAsia="SimSun" w:hAnsi="Arial" w:cs="Times New Roman"/>
          <w:b/>
          <w:bCs/>
          <w:sz w:val="24"/>
          <w:szCs w:val="20"/>
          <w:lang w:eastAsia="ja-JP"/>
        </w:rPr>
        <w:t>R4-2304501</w:t>
      </w:r>
    </w:p>
    <w:p w14:paraId="7E4D3876" w14:textId="77777777" w:rsidR="00841BCD" w:rsidRPr="00EF698B"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April</w:t>
      </w:r>
      <w:r w:rsidR="00521576">
        <w:rPr>
          <w:rFonts w:ascii="Arial" w:eastAsia="SimSun" w:hAnsi="Arial" w:cs="Times New Roman"/>
          <w:b/>
          <w:sz w:val="24"/>
          <w:szCs w:val="20"/>
        </w:rPr>
        <w:t xml:space="preserve"> </w:t>
      </w:r>
      <w:r>
        <w:rPr>
          <w:rFonts w:ascii="Arial" w:eastAsia="SimSun" w:hAnsi="Arial" w:cs="Times New Roman"/>
          <w:b/>
          <w:sz w:val="24"/>
          <w:szCs w:val="20"/>
        </w:rPr>
        <w:t>1</w:t>
      </w:r>
      <w:r w:rsidR="00521576">
        <w:rPr>
          <w:rFonts w:ascii="Arial" w:eastAsia="SimSun" w:hAnsi="Arial" w:cs="Times New Roman"/>
          <w:b/>
          <w:sz w:val="24"/>
          <w:szCs w:val="20"/>
        </w:rPr>
        <w:t>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737C0425"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7B7F440"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67224258" w14:textId="4C4DE718"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057F9D">
        <w:rPr>
          <w:rFonts w:ascii="Arial" w:eastAsia="Calibri" w:hAnsi="Arial" w:cs="Arial"/>
          <w:b/>
          <w:bCs/>
          <w:sz w:val="24"/>
        </w:rPr>
        <w:t>Discussion on applicability of SCS for NTN above 10 GHz</w:t>
      </w:r>
    </w:p>
    <w:p w14:paraId="285816FE" w14:textId="6F7DA823" w:rsidR="00841BCD" w:rsidRPr="00057F9D" w:rsidRDefault="00841BCD" w:rsidP="00841BCD">
      <w:pPr>
        <w:tabs>
          <w:tab w:val="left" w:pos="1985"/>
        </w:tabs>
        <w:spacing w:after="120" w:line="240" w:lineRule="auto"/>
        <w:rPr>
          <w:rFonts w:ascii="Arial" w:eastAsia="MS Mincho" w:hAnsi="Arial" w:cs="Arial"/>
          <w:b/>
          <w:bCs/>
          <w:sz w:val="24"/>
          <w:szCs w:val="20"/>
          <w:lang w:val="pt-BR"/>
        </w:rPr>
      </w:pPr>
      <w:r w:rsidRPr="00057F9D">
        <w:rPr>
          <w:rFonts w:ascii="Arial" w:eastAsia="MS Mincho" w:hAnsi="Arial" w:cs="Arial"/>
          <w:b/>
          <w:bCs/>
          <w:sz w:val="24"/>
          <w:szCs w:val="20"/>
          <w:lang w:val="pt-BR"/>
        </w:rPr>
        <w:t>Agenda item:</w:t>
      </w:r>
      <w:r w:rsidRPr="00057F9D">
        <w:rPr>
          <w:rFonts w:ascii="Arial" w:eastAsia="MS Mincho" w:hAnsi="Arial" w:cs="Arial"/>
          <w:b/>
          <w:bCs/>
          <w:sz w:val="24"/>
          <w:szCs w:val="20"/>
          <w:lang w:val="pt-BR"/>
        </w:rPr>
        <w:tab/>
      </w:r>
      <w:r w:rsidR="006002AC">
        <w:rPr>
          <w:rFonts w:ascii="Arial" w:eastAsia="MS Mincho" w:hAnsi="Arial" w:cs="Arial"/>
          <w:b/>
          <w:bCs/>
          <w:sz w:val="24"/>
          <w:szCs w:val="20"/>
          <w:lang w:val="pt-BR"/>
        </w:rPr>
        <w:t>5.27.5</w:t>
      </w:r>
    </w:p>
    <w:p w14:paraId="5676CCC3"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269A416A" w14:textId="77777777" w:rsidR="00E323E9" w:rsidRPr="00EF698B" w:rsidRDefault="00E323E9" w:rsidP="00841BCD">
      <w:pPr>
        <w:tabs>
          <w:tab w:val="left" w:pos="1985"/>
        </w:tabs>
        <w:rPr>
          <w:rFonts w:ascii="Arial" w:eastAsia="Calibri" w:hAnsi="Arial" w:cs="Arial"/>
          <w:b/>
          <w:bCs/>
          <w:sz w:val="24"/>
        </w:rPr>
      </w:pPr>
    </w:p>
    <w:p w14:paraId="06CC3A8E"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63EF1228" w14:textId="77777777" w:rsidR="00D71116" w:rsidRPr="00C75CEB" w:rsidRDefault="00D71116" w:rsidP="00D71116">
      <w:r w:rsidRPr="00C75CEB">
        <w:t>The NTN WI</w:t>
      </w:r>
      <w:r>
        <w:t>,</w:t>
      </w:r>
      <w:r w:rsidRPr="00C75CEB">
        <w:t xml:space="preserve"> </w:t>
      </w:r>
      <w:r>
        <w:t>as</w:t>
      </w:r>
      <w:r w:rsidRPr="00C75CEB">
        <w:t xml:space="preserve"> presented in [1], </w:t>
      </w:r>
      <w:r>
        <w:t>includes the following o</w:t>
      </w:r>
      <w:r w:rsidRPr="00C75CEB">
        <w:t xml:space="preserve">bjectives </w:t>
      </w:r>
      <w:r>
        <w:t>related to NTN deployment in above 10GHz bands</w:t>
      </w:r>
      <w:r w:rsidRPr="00C75CEB">
        <w:t>:</w:t>
      </w:r>
    </w:p>
    <w:tbl>
      <w:tblPr>
        <w:tblStyle w:val="TableGrid"/>
        <w:tblW w:w="0" w:type="auto"/>
        <w:tblLook w:val="04A0" w:firstRow="1" w:lastRow="0" w:firstColumn="1" w:lastColumn="0" w:noHBand="0" w:noVBand="1"/>
      </w:tblPr>
      <w:tblGrid>
        <w:gridCol w:w="9617"/>
      </w:tblGrid>
      <w:tr w:rsidR="00D71116" w:rsidRPr="00FF6B64" w14:paraId="01B14484" w14:textId="77777777" w:rsidTr="005A3E3F">
        <w:tc>
          <w:tcPr>
            <w:tcW w:w="9617" w:type="dxa"/>
          </w:tcPr>
          <w:p w14:paraId="659867B0" w14:textId="77777777" w:rsidR="00D71116" w:rsidRPr="00134B7D" w:rsidRDefault="00D71116" w:rsidP="005A3E3F">
            <w:pPr>
              <w:rPr>
                <w:bCs/>
              </w:rPr>
            </w:pPr>
            <w:r w:rsidRPr="00134B7D">
              <w:rPr>
                <w:bCs/>
              </w:rPr>
              <w:t>4.1.2</w:t>
            </w:r>
            <w:r w:rsidRPr="00134B7D">
              <w:rPr>
                <w:bCs/>
              </w:rPr>
              <w:tab/>
              <w:t>NR-NTN deployment in above 10 GHz bands</w:t>
            </w:r>
          </w:p>
          <w:p w14:paraId="22CEBF01" w14:textId="77777777" w:rsidR="00D71116" w:rsidRPr="00134B7D" w:rsidRDefault="00D71116" w:rsidP="005A3E3F">
            <w:pPr>
              <w:rPr>
                <w:bCs/>
              </w:rPr>
            </w:pPr>
          </w:p>
          <w:p w14:paraId="70824AB3" w14:textId="77777777" w:rsidR="00D71116" w:rsidRPr="00134B7D" w:rsidRDefault="00D71116" w:rsidP="005A3E3F">
            <w:pPr>
              <w:rPr>
                <w:bCs/>
              </w:rPr>
            </w:pPr>
            <w:r w:rsidRPr="00134B7D">
              <w:rPr>
                <w:bCs/>
              </w:rPr>
              <w:t>The following assumptions are taken a baseline for this work:</w:t>
            </w:r>
          </w:p>
          <w:p w14:paraId="51789DDA" w14:textId="77777777" w:rsidR="00D71116" w:rsidRPr="00134B7D" w:rsidRDefault="00D71116" w:rsidP="00D71116">
            <w:pPr>
              <w:numPr>
                <w:ilvl w:val="0"/>
                <w:numId w:val="27"/>
              </w:numPr>
              <w:overflowPunct w:val="0"/>
              <w:autoSpaceDE w:val="0"/>
              <w:autoSpaceDN w:val="0"/>
              <w:adjustRightInd w:val="0"/>
              <w:textAlignment w:val="baseline"/>
              <w:rPr>
                <w:bCs/>
              </w:rPr>
            </w:pPr>
            <w:r w:rsidRPr="00134B7D">
              <w:rPr>
                <w:bCs/>
              </w:rPr>
              <w:t>GSO and NGSO (</w:t>
            </w:r>
            <w:proofErr w:type="gramStart"/>
            <w:r w:rsidRPr="00134B7D">
              <w:rPr>
                <w:bCs/>
              </w:rPr>
              <w:t>e.g.</w:t>
            </w:r>
            <w:proofErr w:type="gramEnd"/>
            <w:r w:rsidRPr="00134B7D">
              <w:rPr>
                <w:bCs/>
              </w:rPr>
              <w:t xml:space="preserve"> LEO, MEO, HEO) based satellite access to be considered</w:t>
            </w:r>
          </w:p>
          <w:p w14:paraId="1B4C9288" w14:textId="77777777" w:rsidR="00D71116" w:rsidRPr="00134B7D" w:rsidRDefault="00D71116" w:rsidP="00D71116">
            <w:pPr>
              <w:numPr>
                <w:ilvl w:val="1"/>
                <w:numId w:val="27"/>
              </w:numPr>
              <w:overflowPunct w:val="0"/>
              <w:autoSpaceDE w:val="0"/>
              <w:autoSpaceDN w:val="0"/>
              <w:adjustRightInd w:val="0"/>
              <w:textAlignment w:val="baseline"/>
              <w:rPr>
                <w:bCs/>
              </w:rPr>
            </w:pPr>
            <w:r w:rsidRPr="00134B7D">
              <w:rPr>
                <w:bCs/>
              </w:rPr>
              <w:t xml:space="preserve">ESIM scenarios for NGSO in Ka band are not considered in this WI. </w:t>
            </w:r>
          </w:p>
          <w:p w14:paraId="639E392E" w14:textId="77777777" w:rsidR="00D71116" w:rsidRPr="00134B7D" w:rsidRDefault="00D71116" w:rsidP="00D71116">
            <w:pPr>
              <w:numPr>
                <w:ilvl w:val="0"/>
                <w:numId w:val="27"/>
              </w:numPr>
              <w:overflowPunct w:val="0"/>
              <w:autoSpaceDE w:val="0"/>
              <w:autoSpaceDN w:val="0"/>
              <w:adjustRightInd w:val="0"/>
              <w:textAlignment w:val="baseline"/>
              <w:rPr>
                <w:bCs/>
              </w:rPr>
            </w:pPr>
            <w:r w:rsidRPr="00134B7D">
              <w:rPr>
                <w:bCs/>
              </w:rPr>
              <w:t>Targeted UE types: fixed and mobile VSAT. VSAT UE characteristics from TR38.821 to be considered in priority but additional NTN UE classes may be considered if justified</w:t>
            </w:r>
          </w:p>
          <w:p w14:paraId="48048861" w14:textId="77777777" w:rsidR="00D71116" w:rsidRPr="00134B7D" w:rsidRDefault="00D71116" w:rsidP="00D71116">
            <w:pPr>
              <w:numPr>
                <w:ilvl w:val="1"/>
                <w:numId w:val="27"/>
              </w:numPr>
              <w:overflowPunct w:val="0"/>
              <w:autoSpaceDE w:val="0"/>
              <w:autoSpaceDN w:val="0"/>
              <w:adjustRightInd w:val="0"/>
              <w:textAlignment w:val="baseline"/>
              <w:rPr>
                <w:bCs/>
              </w:rPr>
            </w:pPr>
            <w:r w:rsidRPr="00134B7D">
              <w:rPr>
                <w:bCs/>
              </w:rPr>
              <w:t xml:space="preserve">Regarding mobile VSAT, three types of </w:t>
            </w:r>
            <w:proofErr w:type="gramStart"/>
            <w:r w:rsidRPr="00134B7D">
              <w:rPr>
                <w:bCs/>
              </w:rPr>
              <w:t>terminal</w:t>
            </w:r>
            <w:proofErr w:type="gramEnd"/>
            <w:r w:rsidRPr="00134B7D">
              <w:rPr>
                <w:bCs/>
              </w:rPr>
              <w:t xml:space="preserve"> and scenario exist; airborne, maritime and land based ESIM.</w:t>
            </w:r>
            <w:r w:rsidRPr="00134B7D">
              <w:t xml:space="preserve"> </w:t>
            </w:r>
            <w:r w:rsidRPr="00134B7D">
              <w:rPr>
                <w:bCs/>
              </w:rPr>
              <w:t>Which type(s) to be specified depends on the outcome of the regulation analysis and co-existence study.</w:t>
            </w:r>
          </w:p>
          <w:p w14:paraId="70F0D5F0" w14:textId="77777777" w:rsidR="00D71116" w:rsidRPr="00134B7D" w:rsidRDefault="00D71116" w:rsidP="00D71116">
            <w:pPr>
              <w:numPr>
                <w:ilvl w:val="0"/>
                <w:numId w:val="27"/>
              </w:numPr>
              <w:overflowPunct w:val="0"/>
              <w:autoSpaceDE w:val="0"/>
              <w:autoSpaceDN w:val="0"/>
              <w:adjustRightInd w:val="0"/>
              <w:textAlignment w:val="baseline"/>
              <w:rPr>
                <w:bCs/>
              </w:rPr>
            </w:pPr>
            <w:r w:rsidRPr="00134B7D">
              <w:rPr>
                <w:bCs/>
              </w:rPr>
              <w:t>FDD mode is assumed for satellite operation above 10 GHz, while TDD mode is assumed for terrestrial operation in FR2</w:t>
            </w:r>
          </w:p>
          <w:p w14:paraId="624C5D2F" w14:textId="77777777" w:rsidR="00D71116" w:rsidRPr="00134B7D" w:rsidRDefault="00D71116" w:rsidP="00D71116">
            <w:pPr>
              <w:numPr>
                <w:ilvl w:val="0"/>
                <w:numId w:val="27"/>
              </w:numPr>
              <w:overflowPunct w:val="0"/>
              <w:autoSpaceDE w:val="0"/>
              <w:autoSpaceDN w:val="0"/>
              <w:adjustRightInd w:val="0"/>
              <w:textAlignment w:val="baseline"/>
              <w:rPr>
                <w:bCs/>
              </w:rPr>
            </w:pPr>
            <w:r w:rsidRPr="00134B7D">
              <w:rPr>
                <w:bCs/>
              </w:rPr>
              <w:t xml:space="preserve">The </w:t>
            </w:r>
            <w:r>
              <w:rPr>
                <w:bCs/>
              </w:rPr>
              <w:t>ITU-R</w:t>
            </w:r>
            <w:r w:rsidRPr="00134B7D">
              <w:rPr>
                <w:bCs/>
              </w:rPr>
              <w:t xml:space="preserve"> harmonized Ka band</w:t>
            </w:r>
            <w:r>
              <w:rPr>
                <w:bCs/>
              </w:rPr>
              <w:t xml:space="preserve"> </w:t>
            </w:r>
            <w:r w:rsidRPr="00134B7D">
              <w:rPr>
                <w:bCs/>
              </w:rPr>
              <w:t>will serve as reference</w:t>
            </w:r>
          </w:p>
          <w:p w14:paraId="269FBDCD" w14:textId="77777777" w:rsidR="00D71116" w:rsidRPr="00134B7D" w:rsidRDefault="00D71116" w:rsidP="00D71116">
            <w:pPr>
              <w:numPr>
                <w:ilvl w:val="0"/>
                <w:numId w:val="27"/>
              </w:numPr>
              <w:overflowPunct w:val="0"/>
              <w:autoSpaceDE w:val="0"/>
              <w:autoSpaceDN w:val="0"/>
              <w:adjustRightInd w:val="0"/>
              <w:textAlignment w:val="baseline"/>
              <w:rPr>
                <w:bCs/>
              </w:rPr>
            </w:pPr>
            <w:r w:rsidRPr="00134B7D">
              <w:rPr>
                <w:bCs/>
              </w:rPr>
              <w:t>Co-existence between overlapping NTN and TN band portions is</w:t>
            </w:r>
            <w:r>
              <w:rPr>
                <w:bCs/>
              </w:rPr>
              <w:t xml:space="preserve"> out of scope of this work item. This aspect will be captured in the specification.</w:t>
            </w:r>
          </w:p>
          <w:p w14:paraId="59412043" w14:textId="77777777" w:rsidR="00D71116" w:rsidRPr="00134B7D" w:rsidRDefault="00D71116" w:rsidP="005A3E3F">
            <w:pPr>
              <w:rPr>
                <w:bCs/>
              </w:rPr>
            </w:pPr>
          </w:p>
          <w:p w14:paraId="327F8C6C" w14:textId="77777777" w:rsidR="00D71116" w:rsidRPr="00134B7D" w:rsidRDefault="00D71116" w:rsidP="005A3E3F">
            <w:pPr>
              <w:rPr>
                <w:bCs/>
              </w:rPr>
            </w:pPr>
            <w:r w:rsidRPr="00134B7D">
              <w:rPr>
                <w:bCs/>
              </w:rPr>
              <w:t xml:space="preserve">The following covers the objectives for NR-NTN deployment in above 10 GHz bands. </w:t>
            </w:r>
            <w:r>
              <w:rPr>
                <w:bCs/>
              </w:rPr>
              <w:t>T</w:t>
            </w:r>
            <w:r w:rsidRPr="00134B7D">
              <w:rPr>
                <w:bCs/>
              </w:rPr>
              <w:t>his work</w:t>
            </w:r>
            <w:r>
              <w:rPr>
                <w:bCs/>
              </w:rPr>
              <w:t xml:space="preserve"> is expected to start after June 2022.</w:t>
            </w:r>
          </w:p>
          <w:p w14:paraId="623ADC28" w14:textId="77777777" w:rsidR="00D71116" w:rsidRPr="00134B7D" w:rsidRDefault="00D71116" w:rsidP="005A3E3F">
            <w:pPr>
              <w:rPr>
                <w:bCs/>
              </w:rPr>
            </w:pPr>
          </w:p>
          <w:p w14:paraId="071CCAF8" w14:textId="77777777" w:rsidR="00D71116" w:rsidRPr="00134B7D" w:rsidRDefault="00D71116" w:rsidP="00D71116">
            <w:pPr>
              <w:numPr>
                <w:ilvl w:val="0"/>
                <w:numId w:val="28"/>
              </w:numPr>
              <w:overflowPunct w:val="0"/>
              <w:autoSpaceDE w:val="0"/>
              <w:autoSpaceDN w:val="0"/>
              <w:adjustRightInd w:val="0"/>
              <w:textAlignment w:val="baseline"/>
              <w:rPr>
                <w:bCs/>
              </w:rPr>
            </w:pPr>
            <w:r w:rsidRPr="00134B7D">
              <w:rPr>
                <w:bCs/>
              </w:rPr>
              <w:t>Study and identify NTN example band: Analysis of regulations and adjacent channel co-existence scenarios. The example band shall be identified early in the WI. Additional bands can be introduced in a release-independent manner. [RAN4]</w:t>
            </w:r>
          </w:p>
          <w:p w14:paraId="76A336CD" w14:textId="77777777" w:rsidR="00D71116" w:rsidRPr="00134B7D" w:rsidRDefault="00D71116" w:rsidP="00D71116">
            <w:pPr>
              <w:numPr>
                <w:ilvl w:val="1"/>
                <w:numId w:val="28"/>
              </w:numPr>
              <w:overflowPunct w:val="0"/>
              <w:autoSpaceDE w:val="0"/>
              <w:autoSpaceDN w:val="0"/>
              <w:adjustRightInd w:val="0"/>
              <w:textAlignment w:val="baseline"/>
              <w:rPr>
                <w:bCs/>
              </w:rPr>
            </w:pPr>
            <w:r w:rsidRPr="00134B7D">
              <w:rPr>
                <w:bCs/>
              </w:rPr>
              <w:t>Consider the satellite harmonized Ka band as a reference, according to ITU allocation; taking into account deployment type (</w:t>
            </w:r>
            <w:proofErr w:type="gramStart"/>
            <w:r w:rsidRPr="00134B7D">
              <w:rPr>
                <w:bCs/>
              </w:rPr>
              <w:t>e.g.</w:t>
            </w:r>
            <w:proofErr w:type="gramEnd"/>
            <w:r w:rsidRPr="00134B7D">
              <w:rPr>
                <w:bCs/>
              </w:rPr>
              <w:t xml:space="preserve"> VSAT, ESIM), scenarios, and ITU-R/regional regulations, define an example band suitable for development of generic 3GPP minimum performance requirements (the example RAN4 band may be a portion of or the entire harmonized Ka band). [RAN4]</w:t>
            </w:r>
          </w:p>
          <w:p w14:paraId="6E7A44D7" w14:textId="77777777" w:rsidR="00D71116" w:rsidRPr="00134B7D" w:rsidRDefault="00D71116" w:rsidP="00D71116">
            <w:pPr>
              <w:numPr>
                <w:ilvl w:val="1"/>
                <w:numId w:val="28"/>
              </w:numPr>
              <w:overflowPunct w:val="0"/>
              <w:autoSpaceDE w:val="0"/>
              <w:autoSpaceDN w:val="0"/>
              <w:adjustRightInd w:val="0"/>
              <w:textAlignment w:val="baseline"/>
              <w:rPr>
                <w:bCs/>
              </w:rPr>
            </w:pPr>
            <w:r w:rsidRPr="00134B7D">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14:paraId="63AFDB5F" w14:textId="77777777" w:rsidR="00D71116" w:rsidRPr="00134B7D" w:rsidRDefault="00D71116" w:rsidP="00D71116">
            <w:pPr>
              <w:numPr>
                <w:ilvl w:val="1"/>
                <w:numId w:val="28"/>
              </w:numPr>
              <w:overflowPunct w:val="0"/>
              <w:autoSpaceDE w:val="0"/>
              <w:autoSpaceDN w:val="0"/>
              <w:adjustRightInd w:val="0"/>
              <w:textAlignment w:val="baseline"/>
              <w:rPr>
                <w:bCs/>
              </w:rPr>
            </w:pPr>
            <w:r w:rsidRPr="00134B7D">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w:t>
            </w:r>
            <w:r>
              <w:rPr>
                <w:bCs/>
              </w:rPr>
              <w:t xml:space="preserve"> at the harmonized </w:t>
            </w:r>
            <w:r w:rsidRPr="00134B7D">
              <w:rPr>
                <w:bCs/>
              </w:rPr>
              <w:t>Ka band edges</w:t>
            </w:r>
            <w:bookmarkStart w:id="4" w:name="_Hlk90540445"/>
            <w:r w:rsidRPr="0098115F">
              <w:rPr>
                <w:bCs/>
              </w:rPr>
              <w:t>. The outcome is expected to be applicable to all NTN-TN adjacent band scenarios (if any) in the whole Ka band range where applicable and regulations allow</w:t>
            </w:r>
            <w:r w:rsidRPr="00134B7D">
              <w:rPr>
                <w:bCs/>
              </w:rPr>
              <w:t>.</w:t>
            </w:r>
            <w:bookmarkEnd w:id="4"/>
            <w:r w:rsidRPr="00134B7D">
              <w:rPr>
                <w:bCs/>
              </w:rPr>
              <w:t xml:space="preserve"> [RAN4]</w:t>
            </w:r>
          </w:p>
          <w:p w14:paraId="6C7FC1AC" w14:textId="77777777" w:rsidR="00D71116" w:rsidRPr="00134B7D" w:rsidRDefault="00D71116" w:rsidP="00D71116">
            <w:pPr>
              <w:numPr>
                <w:ilvl w:val="1"/>
                <w:numId w:val="28"/>
              </w:numPr>
              <w:overflowPunct w:val="0"/>
              <w:autoSpaceDE w:val="0"/>
              <w:autoSpaceDN w:val="0"/>
              <w:adjustRightInd w:val="0"/>
              <w:textAlignment w:val="baseline"/>
              <w:rPr>
                <w:bCs/>
              </w:rPr>
            </w:pPr>
            <w:r w:rsidRPr="00134B7D">
              <w:rPr>
                <w:bCs/>
              </w:rPr>
              <w:t>For all the above, RAN4 process as agreed for NTN in FR1 should be used for coexistence analysis in above 10 GHz bands [RAN4].</w:t>
            </w:r>
          </w:p>
          <w:p w14:paraId="7C35CE7B" w14:textId="77777777" w:rsidR="00D71116" w:rsidRPr="00134B7D" w:rsidRDefault="00D71116" w:rsidP="00D71116">
            <w:pPr>
              <w:numPr>
                <w:ilvl w:val="1"/>
                <w:numId w:val="28"/>
              </w:numPr>
              <w:overflowPunct w:val="0"/>
              <w:autoSpaceDE w:val="0"/>
              <w:autoSpaceDN w:val="0"/>
              <w:adjustRightInd w:val="0"/>
              <w:textAlignment w:val="baseline"/>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5" w:name="_Hlk89787333"/>
            <w:r w:rsidRPr="00134B7D">
              <w:rPr>
                <w:bCs/>
              </w:rPr>
              <w:t xml:space="preserve">RP-211596 </w:t>
            </w:r>
            <w:bookmarkEnd w:id="5"/>
            <w:r w:rsidRPr="00134B7D">
              <w:rPr>
                <w:bCs/>
              </w:rPr>
              <w:t>in RAN#92-e) [RAN4]</w:t>
            </w:r>
          </w:p>
          <w:p w14:paraId="373F2D36" w14:textId="77777777" w:rsidR="00D71116" w:rsidRPr="00134B7D" w:rsidRDefault="00D71116" w:rsidP="00D71116">
            <w:pPr>
              <w:numPr>
                <w:ilvl w:val="0"/>
                <w:numId w:val="28"/>
              </w:numPr>
              <w:overflowPunct w:val="0"/>
              <w:autoSpaceDE w:val="0"/>
              <w:autoSpaceDN w:val="0"/>
              <w:adjustRightInd w:val="0"/>
              <w:textAlignment w:val="baseline"/>
              <w:rPr>
                <w:bCs/>
              </w:rPr>
            </w:pPr>
            <w:r w:rsidRPr="00134B7D">
              <w:rPr>
                <w:bCs/>
              </w:rPr>
              <w:lastRenderedPageBreak/>
              <w:t>Specify Rx/Tx requirements for satellite access node and different VSAT UE class (not only 60 cm aperture) as appropriate for the identified example band [RAN4]</w:t>
            </w:r>
          </w:p>
          <w:p w14:paraId="0DB63315" w14:textId="77777777" w:rsidR="00D71116" w:rsidRPr="00134B7D" w:rsidRDefault="00D71116" w:rsidP="00D71116">
            <w:pPr>
              <w:numPr>
                <w:ilvl w:val="0"/>
                <w:numId w:val="28"/>
              </w:numPr>
              <w:overflowPunct w:val="0"/>
              <w:autoSpaceDE w:val="0"/>
              <w:autoSpaceDN w:val="0"/>
              <w:adjustRightInd w:val="0"/>
              <w:textAlignment w:val="baseline"/>
              <w:rPr>
                <w:bCs/>
              </w:rPr>
            </w:pPr>
            <w:r w:rsidRPr="00134B7D">
              <w:rPr>
                <w:bCs/>
              </w:rPr>
              <w:t>Identify values for physical layer parameters chosen from the existing FR1 and FR2 sets. The following set of parameters to specify, but not necessarily limited to, are listed.as follows [RAN4]:</w:t>
            </w:r>
          </w:p>
          <w:p w14:paraId="21D26487" w14:textId="77777777" w:rsidR="00D71116" w:rsidRPr="00134B7D" w:rsidRDefault="00D71116" w:rsidP="00D71116">
            <w:pPr>
              <w:numPr>
                <w:ilvl w:val="1"/>
                <w:numId w:val="28"/>
              </w:numPr>
              <w:overflowPunct w:val="0"/>
              <w:autoSpaceDE w:val="0"/>
              <w:autoSpaceDN w:val="0"/>
              <w:adjustRightInd w:val="0"/>
              <w:textAlignment w:val="baseline"/>
            </w:pPr>
            <w:r>
              <w:t xml:space="preserve">time relationship related enhancement (e.g., </w:t>
            </w:r>
            <w:proofErr w:type="spellStart"/>
            <w:r>
              <w:t>K_offset</w:t>
            </w:r>
            <w:proofErr w:type="spellEnd"/>
            <w:r>
              <w:t>)</w:t>
            </w:r>
          </w:p>
          <w:p w14:paraId="1F6755DA" w14:textId="77777777" w:rsidR="00D71116" w:rsidRPr="00134B7D" w:rsidRDefault="00D71116" w:rsidP="00D71116">
            <w:pPr>
              <w:numPr>
                <w:ilvl w:val="1"/>
                <w:numId w:val="28"/>
              </w:numPr>
              <w:overflowPunct w:val="0"/>
              <w:autoSpaceDE w:val="0"/>
              <w:autoSpaceDN w:val="0"/>
              <w:adjustRightInd w:val="0"/>
              <w:textAlignment w:val="baseline"/>
              <w:rPr>
                <w:bCs/>
              </w:rPr>
            </w:pPr>
            <w:r w:rsidRPr="00134B7D">
              <w:rPr>
                <w:bCs/>
              </w:rPr>
              <w:t>subcarrier spacing for different UL/DL signals/channels</w:t>
            </w:r>
          </w:p>
          <w:p w14:paraId="5A55589F" w14:textId="77777777" w:rsidR="00D71116" w:rsidRPr="00134B7D" w:rsidRDefault="00D71116" w:rsidP="00D71116">
            <w:pPr>
              <w:numPr>
                <w:ilvl w:val="1"/>
                <w:numId w:val="28"/>
              </w:numPr>
              <w:overflowPunct w:val="0"/>
              <w:autoSpaceDE w:val="0"/>
              <w:autoSpaceDN w:val="0"/>
              <w:adjustRightInd w:val="0"/>
              <w:textAlignment w:val="baseline"/>
              <w:rPr>
                <w:bCs/>
              </w:rPr>
            </w:pPr>
            <w:r w:rsidRPr="00134B7D">
              <w:rPr>
                <w:bCs/>
              </w:rPr>
              <w:t>PRACH configuration index for FDD above 10 GHz.</w:t>
            </w:r>
          </w:p>
          <w:p w14:paraId="1735B018" w14:textId="77777777" w:rsidR="00D71116" w:rsidRPr="00F43845" w:rsidRDefault="00D71116" w:rsidP="005A3E3F">
            <w:pPr>
              <w:rPr>
                <w:i/>
                <w:iCs/>
              </w:rPr>
            </w:pPr>
          </w:p>
        </w:tc>
      </w:tr>
    </w:tbl>
    <w:p w14:paraId="089E2D7C" w14:textId="77777777" w:rsidR="00D71116" w:rsidRDefault="00D71116" w:rsidP="00D71116">
      <w:pPr>
        <w:rPr>
          <w:highlight w:val="yellow"/>
        </w:rPr>
      </w:pPr>
    </w:p>
    <w:p w14:paraId="3743A400" w14:textId="77777777" w:rsidR="00D71116" w:rsidRDefault="00D71116" w:rsidP="00D71116">
      <w:r>
        <w:t xml:space="preserve">During RAN4 #106, the Way-Forward agreed for system parameters indicate that further progress on the SCS definition for NTN operation in the Ka band (above 10 GHz) should wait progress on the feasibility evaluation from the RRM point of view. </w:t>
      </w:r>
    </w:p>
    <w:tbl>
      <w:tblPr>
        <w:tblStyle w:val="TableGrid"/>
        <w:tblW w:w="0" w:type="auto"/>
        <w:tblLook w:val="04A0" w:firstRow="1" w:lastRow="0" w:firstColumn="1" w:lastColumn="0" w:noHBand="0" w:noVBand="1"/>
      </w:tblPr>
      <w:tblGrid>
        <w:gridCol w:w="9617"/>
      </w:tblGrid>
      <w:tr w:rsidR="00D71116" w14:paraId="76AB1341" w14:textId="77777777" w:rsidTr="00D71116">
        <w:tc>
          <w:tcPr>
            <w:tcW w:w="9617" w:type="dxa"/>
          </w:tcPr>
          <w:p w14:paraId="38F75614" w14:textId="77777777" w:rsidR="00D71116" w:rsidRDefault="00D71116" w:rsidP="00D71116">
            <w:pPr>
              <w:rPr>
                <w:b/>
                <w:lang w:eastAsia="zh-CN"/>
              </w:rPr>
            </w:pPr>
            <w:r>
              <w:rPr>
                <w:b/>
                <w:lang w:eastAsia="zh-CN"/>
              </w:rPr>
              <w:t>Issue 1-1-3: SCS</w:t>
            </w:r>
          </w:p>
          <w:p w14:paraId="03AE0FC4" w14:textId="77777777" w:rsidR="00D71116" w:rsidRDefault="00D71116" w:rsidP="00D71116">
            <w:pPr>
              <w:rPr>
                <w:lang w:eastAsia="zh-CN"/>
              </w:rPr>
            </w:pPr>
            <w:r>
              <w:rPr>
                <w:lang w:eastAsia="zh-CN"/>
              </w:rPr>
              <w:t>Agreement:</w:t>
            </w:r>
          </w:p>
          <w:p w14:paraId="479F8527" w14:textId="77777777" w:rsidR="00D71116" w:rsidRDefault="00D71116" w:rsidP="00D71116">
            <w:pPr>
              <w:pStyle w:val="ListParagraph"/>
              <w:numPr>
                <w:ilvl w:val="1"/>
                <w:numId w:val="29"/>
              </w:numPr>
              <w:autoSpaceDN w:val="0"/>
              <w:spacing w:after="120"/>
              <w:ind w:left="1440"/>
              <w:contextualSpacing w:val="0"/>
              <w:rPr>
                <w:rFonts w:eastAsia="SimSun"/>
                <w:szCs w:val="24"/>
                <w:lang w:eastAsia="zh-CN"/>
              </w:rPr>
            </w:pPr>
            <w:r>
              <w:rPr>
                <w:rFonts w:eastAsia="SimSun"/>
                <w:szCs w:val="24"/>
                <w:lang w:eastAsia="zh-CN"/>
              </w:rPr>
              <w:t xml:space="preserve">Option 1: </w:t>
            </w:r>
            <w:proofErr w:type="spellStart"/>
            <w:r w:rsidRPr="00D71116">
              <w:rPr>
                <w:bCs/>
                <w:highlight w:val="cyan"/>
                <w:lang w:val="sv-SE"/>
              </w:rPr>
              <w:t>Wait</w:t>
            </w:r>
            <w:proofErr w:type="spellEnd"/>
            <w:r w:rsidRPr="00D71116">
              <w:rPr>
                <w:bCs/>
                <w:highlight w:val="cyan"/>
                <w:lang w:val="sv-SE"/>
              </w:rPr>
              <w:t xml:space="preserve"> for RRM </w:t>
            </w:r>
            <w:proofErr w:type="spellStart"/>
            <w:r w:rsidRPr="00D71116">
              <w:rPr>
                <w:bCs/>
                <w:highlight w:val="cyan"/>
                <w:lang w:val="sv-SE"/>
              </w:rPr>
              <w:t>conclusion</w:t>
            </w:r>
            <w:proofErr w:type="spellEnd"/>
            <w:r w:rsidRPr="00D71116">
              <w:rPr>
                <w:bCs/>
                <w:highlight w:val="cyan"/>
                <w:lang w:val="sv-SE"/>
              </w:rPr>
              <w:t xml:space="preserve"> on the </w:t>
            </w:r>
            <w:proofErr w:type="spellStart"/>
            <w:r w:rsidRPr="00D71116">
              <w:rPr>
                <w:bCs/>
                <w:highlight w:val="cyan"/>
                <w:lang w:val="sv-SE"/>
              </w:rPr>
              <w:t>feasibility</w:t>
            </w:r>
            <w:proofErr w:type="spellEnd"/>
            <w:r w:rsidRPr="00D71116">
              <w:rPr>
                <w:bCs/>
                <w:highlight w:val="cyan"/>
                <w:lang w:val="sv-SE"/>
              </w:rPr>
              <w:t xml:space="preserve"> </w:t>
            </w:r>
            <w:proofErr w:type="spellStart"/>
            <w:r w:rsidRPr="00D71116">
              <w:rPr>
                <w:bCs/>
                <w:highlight w:val="cyan"/>
                <w:lang w:val="sv-SE"/>
              </w:rPr>
              <w:t>of</w:t>
            </w:r>
            <w:proofErr w:type="spellEnd"/>
            <w:r w:rsidRPr="00D71116">
              <w:rPr>
                <w:bCs/>
                <w:highlight w:val="cyan"/>
                <w:lang w:val="sv-SE"/>
              </w:rPr>
              <w:t xml:space="preserve"> </w:t>
            </w:r>
            <w:proofErr w:type="spellStart"/>
            <w:r w:rsidRPr="00D71116">
              <w:rPr>
                <w:bCs/>
                <w:highlight w:val="cyan"/>
                <w:lang w:val="sv-SE"/>
              </w:rPr>
              <w:t>using</w:t>
            </w:r>
            <w:proofErr w:type="spellEnd"/>
            <w:r w:rsidRPr="00D71116">
              <w:rPr>
                <w:bCs/>
                <w:highlight w:val="cyan"/>
                <w:lang w:val="sv-SE"/>
              </w:rPr>
              <w:t xml:space="preserve"> </w:t>
            </w:r>
            <w:proofErr w:type="spellStart"/>
            <w:r w:rsidRPr="00D71116">
              <w:rPr>
                <w:bCs/>
                <w:highlight w:val="cyan"/>
                <w:lang w:val="sv-SE"/>
              </w:rPr>
              <w:t>sub-carrier</w:t>
            </w:r>
            <w:proofErr w:type="spellEnd"/>
            <w:r w:rsidRPr="00D71116">
              <w:rPr>
                <w:bCs/>
                <w:highlight w:val="cyan"/>
                <w:lang w:val="sv-SE"/>
              </w:rPr>
              <w:t xml:space="preserve"> </w:t>
            </w:r>
            <w:proofErr w:type="spellStart"/>
            <w:r w:rsidRPr="00D71116">
              <w:rPr>
                <w:bCs/>
                <w:highlight w:val="cyan"/>
                <w:lang w:val="sv-SE"/>
              </w:rPr>
              <w:t>spacing</w:t>
            </w:r>
            <w:proofErr w:type="spellEnd"/>
            <w:r w:rsidRPr="00D71116">
              <w:rPr>
                <w:bCs/>
                <w:highlight w:val="cyan"/>
                <w:lang w:val="sv-SE"/>
              </w:rPr>
              <w:t xml:space="preserve"> </w:t>
            </w:r>
            <w:proofErr w:type="spellStart"/>
            <w:r w:rsidRPr="00D71116">
              <w:rPr>
                <w:bCs/>
                <w:highlight w:val="cyan"/>
                <w:lang w:val="sv-SE"/>
              </w:rPr>
              <w:t>values</w:t>
            </w:r>
            <w:proofErr w:type="spellEnd"/>
            <w:r w:rsidRPr="00D71116">
              <w:rPr>
                <w:bCs/>
                <w:highlight w:val="cyan"/>
                <w:lang w:val="sv-SE"/>
              </w:rPr>
              <w:t xml:space="preserve"> 60 and 120 kHz</w:t>
            </w:r>
            <w:r>
              <w:rPr>
                <w:bCs/>
                <w:lang w:val="sv-SE"/>
              </w:rPr>
              <w:t xml:space="preserve"> for NTN </w:t>
            </w:r>
            <w:proofErr w:type="spellStart"/>
            <w:r>
              <w:rPr>
                <w:bCs/>
                <w:lang w:val="sv-SE"/>
              </w:rPr>
              <w:t>above</w:t>
            </w:r>
            <w:proofErr w:type="spellEnd"/>
            <w:r>
              <w:rPr>
                <w:bCs/>
                <w:lang w:val="sv-SE"/>
              </w:rPr>
              <w:t xml:space="preserve"> 10 GHz. </w:t>
            </w:r>
          </w:p>
          <w:p w14:paraId="4DC416CA" w14:textId="77777777" w:rsidR="00D71116" w:rsidRDefault="00D71116" w:rsidP="00D71116"/>
        </w:tc>
      </w:tr>
    </w:tbl>
    <w:p w14:paraId="1C0E9695" w14:textId="77777777" w:rsidR="00D71116" w:rsidRDefault="00D71116" w:rsidP="00D71116"/>
    <w:p w14:paraId="76B3903E" w14:textId="77777777" w:rsidR="00D71116" w:rsidRPr="00C75CEB" w:rsidRDefault="00D71116" w:rsidP="00D71116">
      <w:r w:rsidRPr="00C75CEB">
        <w:t xml:space="preserve">In this contribution we present further considerations for the </w:t>
      </w:r>
      <w:r>
        <w:t xml:space="preserve">introduction of </w:t>
      </w:r>
      <w:r w:rsidRPr="00134B7D">
        <w:rPr>
          <w:bCs/>
        </w:rPr>
        <w:t>NTN deployment in above 10 GHz band</w:t>
      </w:r>
      <w:r>
        <w:rPr>
          <w:bCs/>
        </w:rPr>
        <w:t>s</w:t>
      </w:r>
      <w:r>
        <w:t xml:space="preserve">. </w:t>
      </w:r>
    </w:p>
    <w:p w14:paraId="61B18A9D" w14:textId="77777777" w:rsidR="0060543D" w:rsidRDefault="0060543D" w:rsidP="005C23A4"/>
    <w:p w14:paraId="731F9F0B" w14:textId="77777777" w:rsidR="003B659E" w:rsidRPr="00EF698B" w:rsidRDefault="003B659E" w:rsidP="00AE56B1">
      <w:pPr>
        <w:pStyle w:val="RAN4H1"/>
        <w:rPr>
          <w:lang w:val="en-US"/>
        </w:rPr>
      </w:pPr>
      <w:bookmarkStart w:id="6" w:name="_Toc116995842"/>
      <w:r w:rsidRPr="00EF698B">
        <w:rPr>
          <w:lang w:val="en-US"/>
        </w:rPr>
        <w:t>Discussion</w:t>
      </w:r>
      <w:bookmarkEnd w:id="6"/>
    </w:p>
    <w:p w14:paraId="1F256C6C" w14:textId="0B415D3D" w:rsidR="00692DA6" w:rsidRDefault="00692DA6" w:rsidP="00300956">
      <w:r>
        <w:t xml:space="preserve">At higher frequency ranges, such as the band above 10 GHz, the usage of larger SCS is justified for offering higher robustness against Doppler effect. As 3GPP progresses in its specification of such bands for NTN operation, it is important to evaluate the impacts of </w:t>
      </w:r>
      <w:r w:rsidR="00E90379">
        <w:t>the SCS</w:t>
      </w:r>
      <w:r>
        <w:t xml:space="preserve"> choice </w:t>
      </w:r>
      <w:r w:rsidR="005E6041">
        <w:t>from the RRM point of view, since</w:t>
      </w:r>
      <w:r>
        <w:t xml:space="preserve"> initial design (Rel-17) was defined with the usage of frequencies below 3GHz in mind. </w:t>
      </w:r>
    </w:p>
    <w:p w14:paraId="044B8CB0" w14:textId="77777777" w:rsidR="009818FD" w:rsidRDefault="009818FD" w:rsidP="009818FD">
      <w:pPr>
        <w:pStyle w:val="RAN4observation0"/>
      </w:pPr>
      <w:bookmarkStart w:id="7" w:name="_Toc132023824"/>
      <w:r>
        <w:t>If 30 kHz SCS is deployed on NTN Ka bands, the phase noise might become an issue at the higher end of the spectrum.</w:t>
      </w:r>
      <w:bookmarkEnd w:id="7"/>
      <w:r>
        <w:t xml:space="preserve">  </w:t>
      </w:r>
    </w:p>
    <w:p w14:paraId="79BD35C9" w14:textId="406EF292" w:rsidR="00300956" w:rsidRDefault="00692DA6" w:rsidP="00300956">
      <w:r>
        <w:t xml:space="preserve">Choosing a larger SCS leads to a more refined time granularity and shorter slot duration. The </w:t>
      </w:r>
      <w:r w:rsidR="005E6041">
        <w:t xml:space="preserve">specification effort from RRM point of view is impacted by </w:t>
      </w:r>
      <w:r>
        <w:t>the following aspects:</w:t>
      </w:r>
    </w:p>
    <w:p w14:paraId="6AC555F4" w14:textId="77777777" w:rsidR="00692DA6" w:rsidRDefault="00692DA6" w:rsidP="007D71CC">
      <w:pPr>
        <w:pStyle w:val="ListParagraph"/>
        <w:numPr>
          <w:ilvl w:val="0"/>
          <w:numId w:val="32"/>
        </w:numPr>
      </w:pPr>
      <w:r>
        <w:t xml:space="preserve">Timing Advance Accuracy </w:t>
      </w:r>
    </w:p>
    <w:p w14:paraId="2F7F6E3F" w14:textId="77777777" w:rsidR="00692DA6" w:rsidRDefault="00692DA6" w:rsidP="007D71CC">
      <w:pPr>
        <w:pStyle w:val="ListParagraph"/>
        <w:numPr>
          <w:ilvl w:val="0"/>
          <w:numId w:val="32"/>
        </w:numPr>
      </w:pPr>
      <w:r>
        <w:t>DL scheduling offset</w:t>
      </w:r>
      <w:r w:rsidR="00B40CF3">
        <w:t>s</w:t>
      </w:r>
      <w:r>
        <w:t xml:space="preserve"> </w:t>
      </w:r>
      <w:r w:rsidR="00B40CF3">
        <w:t xml:space="preserve"> (</w:t>
      </w:r>
      <w:proofErr w:type="spellStart"/>
      <w:r w:rsidR="00B40CF3">
        <w:t>K_mac</w:t>
      </w:r>
      <w:proofErr w:type="spellEnd"/>
      <w:r w:rsidR="00B40CF3">
        <w:t xml:space="preserve"> and </w:t>
      </w:r>
      <w:proofErr w:type="spellStart"/>
      <w:r w:rsidR="00B40CF3">
        <w:t>K_offset</w:t>
      </w:r>
      <w:proofErr w:type="spellEnd"/>
      <w:r w:rsidR="00B40CF3">
        <w:t>)</w:t>
      </w:r>
    </w:p>
    <w:p w14:paraId="46B5436C" w14:textId="1E11729F" w:rsidR="002B1A40" w:rsidRDefault="005B31CD" w:rsidP="007D71CC">
      <w:pPr>
        <w:pStyle w:val="ListParagraph"/>
        <w:numPr>
          <w:ilvl w:val="0"/>
          <w:numId w:val="32"/>
        </w:numPr>
      </w:pPr>
      <w:r>
        <w:t>Beam Sweeping /Beam Correspondence</w:t>
      </w:r>
    </w:p>
    <w:p w14:paraId="199A94FB" w14:textId="37862A2C" w:rsidR="002B1A40" w:rsidRDefault="007934FF" w:rsidP="005E6041">
      <w:pPr>
        <w:pStyle w:val="ListParagraph"/>
        <w:numPr>
          <w:ilvl w:val="0"/>
          <w:numId w:val="32"/>
        </w:numPr>
      </w:pPr>
      <w:r>
        <w:t>Impact on other RAN Groups</w:t>
      </w:r>
    </w:p>
    <w:p w14:paraId="5A521688" w14:textId="77777777" w:rsidR="0060543D" w:rsidRDefault="0060543D" w:rsidP="00300956"/>
    <w:p w14:paraId="1A3745D6" w14:textId="1658332B" w:rsidR="00CB22B2" w:rsidRDefault="009630F5" w:rsidP="00496606">
      <w:pPr>
        <w:pStyle w:val="RAN4H2"/>
      </w:pPr>
      <w:r>
        <w:t>Transmit Timing accuracy</w:t>
      </w:r>
    </w:p>
    <w:p w14:paraId="557EE1D5" w14:textId="744BCA98" w:rsidR="005C23A4" w:rsidRDefault="009630F5" w:rsidP="005C23A4">
      <w:r>
        <w:t>In Release 17, the timing error limit was extended for NTN compared to the legacy value commonly used for TN (</w:t>
      </w:r>
      <w:proofErr w:type="gramStart"/>
      <w:r w:rsidR="005E6041">
        <w:t>i.e.</w:t>
      </w:r>
      <w:proofErr w:type="gramEnd"/>
      <w:r w:rsidR="005E6041">
        <w:t xml:space="preserve"> </w:t>
      </w:r>
      <w:proofErr w:type="spellStart"/>
      <w:r w:rsidRPr="00C43797">
        <w:rPr>
          <w:rFonts w:eastAsia="SimSun" w:cs="v4.2.0"/>
        </w:rPr>
        <w:t>T</w:t>
      </w:r>
      <w:r w:rsidRPr="00C43797">
        <w:rPr>
          <w:rFonts w:eastAsia="SimSun" w:cs="v4.2.0"/>
          <w:vertAlign w:val="subscript"/>
        </w:rPr>
        <w:t>e_NTN</w:t>
      </w:r>
      <w:proofErr w:type="spellEnd"/>
      <w:r>
        <w:rPr>
          <w:rFonts w:eastAsia="SimSun" w:cs="v4.2.0"/>
          <w:vertAlign w:val="subscript"/>
        </w:rPr>
        <w:t xml:space="preserve"> </w:t>
      </w:r>
      <w:r>
        <w:rPr>
          <w:rFonts w:eastAsia="SimSun" w:cs="v4.2.0"/>
        </w:rPr>
        <w:t xml:space="preserve">&gt; </w:t>
      </w:r>
      <w:r w:rsidRPr="009C5807">
        <w:t>T</w:t>
      </w:r>
      <w:r w:rsidRPr="009C5807">
        <w:rPr>
          <w:vertAlign w:val="subscript"/>
        </w:rPr>
        <w:t>e</w:t>
      </w:r>
      <w:r>
        <w:t xml:space="preserve">) </w:t>
      </w:r>
      <w:r w:rsidR="00A167FE">
        <w:fldChar w:fldCharType="begin"/>
      </w:r>
      <w:r w:rsidR="00A167FE">
        <w:instrText xml:space="preserve"> REF _Ref118130196 \r \h </w:instrText>
      </w:r>
      <w:r w:rsidR="00A167FE">
        <w:fldChar w:fldCharType="separate"/>
      </w:r>
      <w:r w:rsidR="00A167FE">
        <w:t>[3]</w:t>
      </w:r>
      <w:r w:rsidR="00A167FE">
        <w:fldChar w:fldCharType="end"/>
      </w:r>
      <w:r w:rsidR="004B19F6">
        <w:t>. This was done</w:t>
      </w:r>
      <w:r>
        <w:t xml:space="preserve"> to accommodate for additional sources of inaccuracy in the UE procedure for autonomously update of transmit timing, when compared to the network-controlled transmit timing previously used in TN. The main </w:t>
      </w:r>
      <w:r w:rsidR="009918E6">
        <w:t xml:space="preserve">of these </w:t>
      </w:r>
      <w:r>
        <w:t>source</w:t>
      </w:r>
      <w:r w:rsidR="009918E6">
        <w:t>s is th</w:t>
      </w:r>
      <w:r>
        <w:t>e GNSS positioning accuracy</w:t>
      </w:r>
      <w:r w:rsidR="009918E6">
        <w:t>; while in a smaller extent other factors such as</w:t>
      </w:r>
      <w:r>
        <w:t xml:space="preserve"> the quantization and mathematical propagation of the orbital and common delay elements</w:t>
      </w:r>
      <w:r w:rsidR="009918E6">
        <w:t xml:space="preserve"> might also impact the transmit timing accuracy. </w:t>
      </w:r>
      <w:r>
        <w:t xml:space="preserve">. </w:t>
      </w:r>
    </w:p>
    <w:p w14:paraId="79C4B435" w14:textId="120E19C4" w:rsidR="009918E6" w:rsidRDefault="009918E6" w:rsidP="009918E6">
      <w:pPr>
        <w:pStyle w:val="RAN4Observation"/>
      </w:pPr>
      <w:bookmarkStart w:id="8" w:name="_Toc116981541"/>
      <w:bookmarkStart w:id="9" w:name="_Toc116982824"/>
      <w:bookmarkStart w:id="10" w:name="_Toc116982859"/>
      <w:bookmarkStart w:id="11" w:name="_Toc116982882"/>
      <w:bookmarkStart w:id="12" w:name="_Toc116994710"/>
      <w:bookmarkStart w:id="13" w:name="_Toc116994823"/>
      <w:bookmarkStart w:id="14" w:name="_Toc116994895"/>
      <w:bookmarkStart w:id="15" w:name="_Toc116994909"/>
      <w:bookmarkStart w:id="16" w:name="_Toc116995098"/>
      <w:bookmarkStart w:id="17" w:name="_Toc116995141"/>
      <w:bookmarkStart w:id="18" w:name="_Toc116995897"/>
      <w:bookmarkStart w:id="19" w:name="_Toc116995923"/>
      <w:bookmarkStart w:id="20" w:name="_Toc116995943"/>
      <w:bookmarkStart w:id="21" w:name="_Toc116996063"/>
      <w:bookmarkStart w:id="22" w:name="_Toc116996084"/>
      <w:bookmarkStart w:id="23" w:name="_Toc116996089"/>
      <w:bookmarkStart w:id="24" w:name="_Toc116996131"/>
      <w:bookmarkStart w:id="25" w:name="_Toc116996431"/>
      <w:bookmarkStart w:id="26" w:name="_Toc116996752"/>
      <w:bookmarkStart w:id="27" w:name="_Toc116997065"/>
      <w:r>
        <w:t>The relaxation of the timing error limit in Rel-17 was set between [14; 19]*64*T</w:t>
      </w:r>
      <w:r w:rsidRPr="009918E6">
        <w:rPr>
          <w:vertAlign w:val="subscript"/>
        </w:rPr>
        <w:t>c</w:t>
      </w:r>
      <w:r>
        <w:t xml:space="preserve">. </w:t>
      </w:r>
      <w:r w:rsidR="00737A94">
        <w:t>The relaxation considered an inaccuracy up to 50 meters for GNSS positioning and up to 30 meters for satellite position.</w:t>
      </w:r>
    </w:p>
    <w:p w14:paraId="2D14A3D8" w14:textId="77777777" w:rsidR="009918E6" w:rsidRDefault="009918E6" w:rsidP="009918E6">
      <w:pPr>
        <w:pStyle w:val="RAN4Observation"/>
        <w:numPr>
          <w:ilvl w:val="0"/>
          <w:numId w:val="0"/>
        </w:numPr>
      </w:pPr>
    </w:p>
    <w:p w14:paraId="44D00395" w14:textId="1320480F" w:rsidR="00886DC5" w:rsidRDefault="000037F3" w:rsidP="009918E6">
      <w:pPr>
        <w:pStyle w:val="RAN4Observation"/>
        <w:numPr>
          <w:ilvl w:val="0"/>
          <w:numId w:val="0"/>
        </w:numPr>
      </w:pPr>
      <w:r>
        <w:t xml:space="preserve">If a similar transmit timing relaxation is considered for the operation in the NTN Ka band, then, requirements must ensure that the network </w:t>
      </w:r>
      <w:proofErr w:type="gramStart"/>
      <w:r>
        <w:t>is capable of receiving</w:t>
      </w:r>
      <w:proofErr w:type="gramEnd"/>
      <w:r>
        <w:t xml:space="preserve"> the transmitted signal, considering the timing uncertainties. </w:t>
      </w:r>
      <w:r w:rsidR="00FF374C">
        <w:t>At the SAN side, the uncertainty of the UE transmission depends on several factors such as:</w:t>
      </w:r>
    </w:p>
    <w:p w14:paraId="42656C76" w14:textId="3900207F" w:rsidR="00FF374C" w:rsidRDefault="00FF374C" w:rsidP="00FF374C">
      <w:pPr>
        <w:pStyle w:val="ListParagraph"/>
        <w:numPr>
          <w:ilvl w:val="0"/>
          <w:numId w:val="33"/>
        </w:numPr>
        <w:rPr>
          <w:lang w:val="en-GB"/>
        </w:rPr>
      </w:pPr>
      <w:r>
        <w:rPr>
          <w:lang w:val="en-GB"/>
        </w:rPr>
        <w:lastRenderedPageBreak/>
        <w:t>Transmit timing error</w:t>
      </w:r>
    </w:p>
    <w:p w14:paraId="253C1A6D" w14:textId="25EA178F" w:rsidR="00FF374C" w:rsidRDefault="00FF374C" w:rsidP="00FF374C">
      <w:pPr>
        <w:pStyle w:val="ListParagraph"/>
        <w:numPr>
          <w:ilvl w:val="0"/>
          <w:numId w:val="33"/>
        </w:numPr>
        <w:rPr>
          <w:lang w:val="en-GB"/>
        </w:rPr>
      </w:pPr>
      <w:r>
        <w:rPr>
          <w:lang w:val="en-GB"/>
        </w:rPr>
        <w:t xml:space="preserve">The maximum </w:t>
      </w:r>
      <w:proofErr w:type="gramStart"/>
      <w:r>
        <w:rPr>
          <w:lang w:val="en-GB"/>
        </w:rPr>
        <w:t>transmit</w:t>
      </w:r>
      <w:proofErr w:type="gramEnd"/>
      <w:r>
        <w:rPr>
          <w:lang w:val="en-GB"/>
        </w:rPr>
        <w:t xml:space="preserve"> timing </w:t>
      </w:r>
      <w:r w:rsidRPr="00FC53A4">
        <w:rPr>
          <w:u w:val="single"/>
          <w:lang w:val="en-GB"/>
        </w:rPr>
        <w:t>adjustment</w:t>
      </w:r>
      <w:r>
        <w:rPr>
          <w:lang w:val="en-GB"/>
        </w:rPr>
        <w:t xml:space="preserve"> error</w:t>
      </w:r>
    </w:p>
    <w:p w14:paraId="20FAEB2C" w14:textId="72AD610D" w:rsidR="00FF374C" w:rsidRDefault="00FF374C" w:rsidP="00FF374C">
      <w:pPr>
        <w:pStyle w:val="ListParagraph"/>
        <w:numPr>
          <w:ilvl w:val="0"/>
          <w:numId w:val="33"/>
        </w:numPr>
        <w:rPr>
          <w:lang w:val="en-GB"/>
        </w:rPr>
      </w:pPr>
      <w:r>
        <w:rPr>
          <w:lang w:val="en-GB"/>
        </w:rPr>
        <w:t xml:space="preserve">The quantization error within the timing advance command. </w:t>
      </w:r>
    </w:p>
    <w:p w14:paraId="00711627" w14:textId="6E09796E" w:rsidR="000037F3" w:rsidRPr="00483ECB" w:rsidRDefault="000037F3" w:rsidP="00483ECB">
      <w:pPr>
        <w:pStyle w:val="ListParagraph"/>
        <w:numPr>
          <w:ilvl w:val="0"/>
          <w:numId w:val="33"/>
        </w:numPr>
        <w:rPr>
          <w:lang w:val="en-GB"/>
        </w:rPr>
      </w:pPr>
      <w:r>
        <w:rPr>
          <w:lang w:val="en-GB"/>
        </w:rPr>
        <w:t>Time dispersion of the channel</w:t>
      </w:r>
    </w:p>
    <w:p w14:paraId="6F9F11DB" w14:textId="4C3CA6E4" w:rsidR="00FF374C" w:rsidRDefault="00FF374C" w:rsidP="00FF374C">
      <w:pPr>
        <w:rPr>
          <w:lang w:val="en-GB"/>
        </w:rPr>
      </w:pPr>
    </w:p>
    <w:p w14:paraId="4DDB615A" w14:textId="2E690873" w:rsidR="00FF374C" w:rsidRPr="00FF374C" w:rsidRDefault="00FF374C" w:rsidP="00FF374C">
      <w:pPr>
        <w:rPr>
          <w:lang w:val="en-GB"/>
        </w:rPr>
      </w:pPr>
      <w:r>
        <w:rPr>
          <w:lang w:val="en-GB"/>
        </w:rPr>
        <w:t xml:space="preserve">The </w:t>
      </w:r>
      <w:r w:rsidR="00ED271C">
        <w:rPr>
          <w:lang w:val="en-GB"/>
        </w:rPr>
        <w:t xml:space="preserve">uncertainty of the UE transmission </w:t>
      </w:r>
      <w:r w:rsidR="00FC53A4">
        <w:rPr>
          <w:lang w:val="en-GB"/>
        </w:rPr>
        <w:t>must</w:t>
      </w:r>
      <w:r w:rsidR="00ED271C">
        <w:rPr>
          <w:lang w:val="en-GB"/>
        </w:rPr>
        <w:t xml:space="preserve"> be absorbed by the cyclic prefix. The </w:t>
      </w:r>
      <w:r>
        <w:rPr>
          <w:lang w:val="en-GB"/>
        </w:rPr>
        <w:t xml:space="preserve">CP duration, </w:t>
      </w:r>
      <m:oMath>
        <m:sSub>
          <m:sSubPr>
            <m:ctrlPr>
              <w:rPr>
                <w:rFonts w:ascii="Cambria Math" w:hAnsi="Cambria Math"/>
                <w:i/>
              </w:rPr>
            </m:ctrlPr>
          </m:sSubPr>
          <m:e>
            <m:r>
              <w:rPr>
                <w:rFonts w:ascii="Cambria Math" w:hAnsi="Cambria Math"/>
              </w:rPr>
              <m:t>T</m:t>
            </m:r>
          </m:e>
          <m:sub>
            <m:r>
              <w:rPr>
                <w:rFonts w:ascii="Cambria Math" w:hAnsi="Cambria Math"/>
              </w:rPr>
              <m:t>cp</m:t>
            </m:r>
          </m:sub>
        </m:sSub>
      </m:oMath>
      <w:r>
        <w:rPr>
          <w:rFonts w:eastAsiaTheme="minorEastAsia"/>
        </w:rPr>
        <w:t xml:space="preserve">, </w:t>
      </w:r>
      <w:r>
        <w:rPr>
          <w:lang w:val="en-GB"/>
        </w:rPr>
        <w:t xml:space="preserve">for the normal CP operation, as defined in </w:t>
      </w:r>
      <w:r w:rsidR="00A167FE">
        <w:rPr>
          <w:highlight w:val="yellow"/>
          <w:lang w:val="en-GB"/>
        </w:rPr>
        <w:fldChar w:fldCharType="begin"/>
      </w:r>
      <w:r w:rsidR="00A167FE">
        <w:rPr>
          <w:lang w:val="en-GB"/>
        </w:rPr>
        <w:instrText xml:space="preserve"> REF _Ref130303734 \r \h </w:instrText>
      </w:r>
      <w:r w:rsidR="00A167FE">
        <w:rPr>
          <w:highlight w:val="yellow"/>
          <w:lang w:val="en-GB"/>
        </w:rPr>
      </w:r>
      <w:r w:rsidR="00A167FE">
        <w:rPr>
          <w:highlight w:val="yellow"/>
          <w:lang w:val="en-GB"/>
        </w:rPr>
        <w:fldChar w:fldCharType="separate"/>
      </w:r>
      <w:r w:rsidR="00A167FE">
        <w:rPr>
          <w:lang w:val="en-GB"/>
        </w:rPr>
        <w:t>[4]</w:t>
      </w:r>
      <w:r w:rsidR="00A167FE">
        <w:rPr>
          <w:highlight w:val="yellow"/>
          <w:lang w:val="en-GB"/>
        </w:rPr>
        <w:fldChar w:fldCharType="end"/>
      </w:r>
      <w:r w:rsidR="00A167FE">
        <w:rPr>
          <w:lang w:val="en-GB"/>
        </w:rPr>
        <w:t xml:space="preserve"> </w:t>
      </w:r>
      <w:r>
        <w:rPr>
          <w:lang w:val="en-GB"/>
        </w:rPr>
        <w:t xml:space="preserve">depends on the SCS: </w:t>
      </w:r>
    </w:p>
    <w:p w14:paraId="72EE6E18" w14:textId="2AFFB98B" w:rsidR="005252A5" w:rsidRPr="005252A5" w:rsidRDefault="0015206E" w:rsidP="00FF374C">
      <w:pPr>
        <w:pStyle w:val="RAN4Observation"/>
        <w:numPr>
          <w:ilvl w:val="0"/>
          <w:numId w:val="0"/>
        </w:numPr>
      </w:pPr>
      <m:oMathPara>
        <m:oMath>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rPr>
            <m:t>=</m:t>
          </m:r>
          <m:d>
            <m:dPr>
              <m:ctrlPr>
                <w:rPr>
                  <w:rFonts w:ascii="Cambria Math" w:hAnsi="Cambria Math"/>
                  <w:i/>
                </w:rPr>
              </m:ctrlPr>
            </m:dPr>
            <m:e>
              <m:r>
                <w:rPr>
                  <w:rFonts w:ascii="Cambria Math" w:hAnsi="Cambria Math"/>
                </w:rPr>
                <m:t>144κ∙</m:t>
              </m:r>
              <m:sSup>
                <m:sSupPr>
                  <m:ctrlPr>
                    <w:rPr>
                      <w:rFonts w:ascii="Cambria Math" w:hAnsi="Cambria Math"/>
                      <w:i/>
                    </w:rPr>
                  </m:ctrlPr>
                </m:sSupPr>
                <m:e>
                  <m:r>
                    <w:rPr>
                      <w:rFonts w:ascii="Cambria Math" w:hAnsi="Cambria Math"/>
                    </w:rPr>
                    <m:t>2</m:t>
                  </m:r>
                </m:e>
                <m:sup>
                  <m:r>
                    <w:rPr>
                      <w:rFonts w:ascii="Cambria Math" w:hAnsi="Cambria Math"/>
                    </w:rPr>
                    <m:t>-μ</m:t>
                  </m:r>
                </m:sup>
              </m:sSup>
            </m:e>
          </m:d>
          <m:sSub>
            <m:sSubPr>
              <m:ctrlPr>
                <w:rPr>
                  <w:rFonts w:ascii="Cambria Math" w:hAnsi="Cambria Math"/>
                  <w:i/>
                </w:rPr>
              </m:ctrlPr>
            </m:sSubPr>
            <m:e>
              <m:r>
                <w:rPr>
                  <w:rFonts w:ascii="Cambria Math" w:hAnsi="Cambria Math"/>
                </w:rPr>
                <m:t>T</m:t>
              </m:r>
            </m:e>
            <m:sub>
              <m:r>
                <w:rPr>
                  <w:rFonts w:ascii="Cambria Math" w:hAnsi="Cambria Math"/>
                </w:rPr>
                <m:t>c</m:t>
              </m:r>
            </m:sub>
          </m:sSub>
        </m:oMath>
      </m:oMathPara>
    </w:p>
    <w:p w14:paraId="24826E62" w14:textId="68458493" w:rsidR="008573B3" w:rsidRDefault="008573B3" w:rsidP="008573B3">
      <w:pPr>
        <w:rPr>
          <w:lang w:val="en-GB"/>
        </w:rPr>
      </w:pPr>
    </w:p>
    <w:p w14:paraId="46B888AC" w14:textId="77777777" w:rsidR="000037F3" w:rsidRDefault="000037F3" w:rsidP="008573B3">
      <w:pPr>
        <w:rPr>
          <w:rFonts w:eastAsiaTheme="minorEastAsia"/>
          <w:lang w:val="en-GB"/>
        </w:rPr>
      </w:pPr>
      <w:r>
        <w:rPr>
          <w:lang w:val="en-GB"/>
        </w:rPr>
        <w:t xml:space="preserve">As mentioned before, in Rel-17, the transmit timing error limit was relaxed to introduce up to 80 meters of inaccuracy. As the timing advance corresponds to the double of the propagation delay, the relaxation considered the time for the signal to travel 160 meters. So, considering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relax</m:t>
            </m:r>
          </m:sub>
        </m:sSub>
      </m:oMath>
      <w:r>
        <w:rPr>
          <w:rFonts w:eastAsiaTheme="minorEastAsia"/>
          <w:lang w:val="en-GB"/>
        </w:rPr>
        <w:t xml:space="preserve"> as the relaxation time</w:t>
      </w:r>
    </w:p>
    <w:p w14:paraId="4DFBF10A" w14:textId="0222FB45" w:rsidR="00F351F2" w:rsidRDefault="0015206E" w:rsidP="008573B3">
      <w:pPr>
        <w:rPr>
          <w:lang w:val="en-GB"/>
        </w:rPr>
      </w:pPr>
      <m:oMathPara>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relax</m:t>
              </m:r>
            </m:sub>
          </m:sSub>
          <m:r>
            <w:rPr>
              <w:rFonts w:ascii="Cambria Math" w:hAnsi="Cambria Math"/>
              <w:lang w:val="en-GB"/>
            </w:rPr>
            <m:t>=</m:t>
          </m:r>
          <m:f>
            <m:fPr>
              <m:ctrlPr>
                <w:rPr>
                  <w:rFonts w:ascii="Cambria Math" w:hAnsi="Cambria Math"/>
                  <w:i/>
                  <w:lang w:val="en-GB"/>
                </w:rPr>
              </m:ctrlPr>
            </m:fPr>
            <m:num>
              <m:r>
                <w:rPr>
                  <w:rFonts w:ascii="Cambria Math" w:hAnsi="Cambria Math"/>
                  <w:lang w:val="en-GB"/>
                </w:rPr>
                <m:t>160</m:t>
              </m:r>
            </m:num>
            <m:den>
              <m:r>
                <w:rPr>
                  <w:rFonts w:ascii="Cambria Math" w:hAnsi="Cambria Math"/>
                  <w:lang w:val="en-GB"/>
                </w:rPr>
                <m:t>3*</m:t>
              </m:r>
              <m:sSup>
                <m:sSupPr>
                  <m:ctrlPr>
                    <w:rPr>
                      <w:rFonts w:ascii="Cambria Math" w:hAnsi="Cambria Math"/>
                      <w:i/>
                      <w:lang w:val="en-GB"/>
                    </w:rPr>
                  </m:ctrlPr>
                </m:sSupPr>
                <m:e>
                  <m:r>
                    <w:rPr>
                      <w:rFonts w:ascii="Cambria Math" w:hAnsi="Cambria Math"/>
                      <w:lang w:val="en-GB"/>
                    </w:rPr>
                    <m:t>10</m:t>
                  </m:r>
                </m:e>
                <m:sup>
                  <m:r>
                    <w:rPr>
                      <w:rFonts w:ascii="Cambria Math" w:hAnsi="Cambria Math"/>
                      <w:lang w:val="en-GB"/>
                    </w:rPr>
                    <m:t>8</m:t>
                  </m:r>
                </m:sup>
              </m:sSup>
            </m:den>
          </m:f>
          <m:r>
            <w:rPr>
              <w:rFonts w:ascii="Cambria Math" w:hAnsi="Cambria Math"/>
              <w:lang w:val="en-GB"/>
            </w:rPr>
            <m:t>≈(16.4 κ)</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c</m:t>
              </m:r>
            </m:sub>
          </m:sSub>
        </m:oMath>
      </m:oMathPara>
    </w:p>
    <w:p w14:paraId="026C5558" w14:textId="4BCDAC29" w:rsidR="00E95547" w:rsidRDefault="005560E5" w:rsidP="00AD0128">
      <w:pPr>
        <w:spacing w:before="240"/>
        <w:rPr>
          <w:rFonts w:eastAsiaTheme="minorEastAsia"/>
          <w:lang w:val="en-GB"/>
        </w:rPr>
      </w:pPr>
      <w:r>
        <w:rPr>
          <w:lang w:val="en-GB"/>
        </w:rPr>
        <w:t xml:space="preserve">For simplifying the analysis, we will consider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relax</m:t>
            </m:r>
          </m:sub>
        </m:sSub>
        <m:r>
          <w:rPr>
            <w:rFonts w:ascii="Cambria Math" w:hAnsi="Cambria Math"/>
            <w:lang w:val="en-GB"/>
          </w:rPr>
          <m:t>=16κ</m:t>
        </m:r>
      </m:oMath>
      <w:r>
        <w:rPr>
          <w:rFonts w:eastAsiaTheme="minorEastAsia"/>
          <w:lang w:val="en-GB"/>
        </w:rPr>
        <w:t>.</w:t>
      </w:r>
      <w:r w:rsidR="00AD0128">
        <w:rPr>
          <w:rFonts w:eastAsiaTheme="minorEastAsia"/>
          <w:lang w:val="en-GB"/>
        </w:rPr>
        <w:t xml:space="preserve"> Assuming the transmit timing error limit, </w:t>
      </w:r>
      <w:proofErr w:type="spellStart"/>
      <w:r w:rsidR="00AD0128">
        <w:rPr>
          <w:rFonts w:eastAsiaTheme="minorEastAsia"/>
          <w:lang w:val="en-GB"/>
        </w:rPr>
        <w:t>T</w:t>
      </w:r>
      <w:r w:rsidR="00AD0128" w:rsidRPr="00AD0128">
        <w:rPr>
          <w:rFonts w:eastAsiaTheme="minorEastAsia"/>
          <w:vertAlign w:val="subscript"/>
          <w:lang w:val="en-GB"/>
        </w:rPr>
        <w:t>e_NTN</w:t>
      </w:r>
      <w:proofErr w:type="spellEnd"/>
      <w:r w:rsidR="00AD0128" w:rsidRPr="00AD0128">
        <w:rPr>
          <w:rFonts w:eastAsiaTheme="minorEastAsia"/>
          <w:vertAlign w:val="subscript"/>
          <w:lang w:val="en-GB"/>
        </w:rPr>
        <w:t xml:space="preserve"> </w:t>
      </w:r>
      <w:r w:rsidR="00AD0128">
        <w:rPr>
          <w:rFonts w:eastAsiaTheme="minorEastAsia"/>
          <w:lang w:val="en-GB"/>
        </w:rPr>
        <w:t>= T</w:t>
      </w:r>
      <w:r w:rsidR="00AD0128" w:rsidRPr="00AD0128">
        <w:rPr>
          <w:rFonts w:eastAsiaTheme="minorEastAsia"/>
          <w:vertAlign w:val="subscript"/>
          <w:lang w:val="en-GB"/>
        </w:rPr>
        <w:t>e</w:t>
      </w:r>
      <w:r w:rsidR="00AD0128">
        <w:rPr>
          <w:rFonts w:eastAsiaTheme="minorEastAsia"/>
          <w:lang w:val="en-GB"/>
        </w:rPr>
        <w:t xml:space="preserve"> + </w:t>
      </w:r>
      <w:proofErr w:type="spellStart"/>
      <w:r w:rsidR="00AD0128">
        <w:rPr>
          <w:rFonts w:eastAsiaTheme="minorEastAsia"/>
          <w:lang w:val="en-GB"/>
        </w:rPr>
        <w:t>T</w:t>
      </w:r>
      <w:r w:rsidR="00AD0128" w:rsidRPr="00AD0128">
        <w:rPr>
          <w:rFonts w:eastAsiaTheme="minorEastAsia"/>
          <w:vertAlign w:val="subscript"/>
          <w:lang w:val="en-GB"/>
        </w:rPr>
        <w:t>rela</w:t>
      </w:r>
      <w:r w:rsidR="00AD0128">
        <w:rPr>
          <w:rFonts w:eastAsiaTheme="minorEastAsia"/>
          <w:vertAlign w:val="subscript"/>
          <w:lang w:val="en-GB"/>
        </w:rPr>
        <w:t>x</w:t>
      </w:r>
      <w:proofErr w:type="spellEnd"/>
      <w:r w:rsidR="00AD0128">
        <w:rPr>
          <w:rFonts w:eastAsiaTheme="minorEastAsia"/>
          <w:vertAlign w:val="subscript"/>
          <w:lang w:val="en-GB"/>
        </w:rPr>
        <w:t xml:space="preserve">, </w:t>
      </w:r>
      <w:r w:rsidR="00AD0128">
        <w:rPr>
          <w:rFonts w:eastAsiaTheme="minorEastAsia"/>
          <w:lang w:val="en-GB"/>
        </w:rPr>
        <w:t xml:space="preserve">is the absolute timing error, </w:t>
      </w:r>
      <w:r w:rsidR="00826AE0">
        <w:rPr>
          <w:rFonts w:eastAsiaTheme="minorEastAsia"/>
          <w:lang w:val="en-GB"/>
        </w:rPr>
        <w:t>the receiving system must be prepared to receive one UE with transmit timing error equal to +</w:t>
      </w:r>
      <w:proofErr w:type="spellStart"/>
      <w:r w:rsidR="00826AE0">
        <w:rPr>
          <w:rFonts w:eastAsiaTheme="minorEastAsia"/>
          <w:lang w:val="en-GB"/>
        </w:rPr>
        <w:t>T</w:t>
      </w:r>
      <w:r w:rsidR="00826AE0" w:rsidRPr="00826AE0">
        <w:rPr>
          <w:rFonts w:eastAsiaTheme="minorEastAsia"/>
          <w:vertAlign w:val="subscript"/>
          <w:lang w:val="en-GB"/>
        </w:rPr>
        <w:t>e_NTN</w:t>
      </w:r>
      <w:proofErr w:type="spellEnd"/>
      <w:r w:rsidR="00826AE0">
        <w:rPr>
          <w:rFonts w:eastAsiaTheme="minorEastAsia"/>
          <w:lang w:val="en-GB"/>
        </w:rPr>
        <w:t xml:space="preserve"> and another UE with transmit timing error equal to –</w:t>
      </w:r>
      <w:proofErr w:type="spellStart"/>
      <w:r w:rsidR="00826AE0">
        <w:rPr>
          <w:rFonts w:eastAsiaTheme="minorEastAsia"/>
          <w:lang w:val="en-GB"/>
        </w:rPr>
        <w:t>T</w:t>
      </w:r>
      <w:r w:rsidR="00826AE0" w:rsidRPr="00826AE0">
        <w:rPr>
          <w:rFonts w:eastAsiaTheme="minorEastAsia"/>
          <w:vertAlign w:val="subscript"/>
          <w:lang w:val="en-GB"/>
        </w:rPr>
        <w:t>e_NTN</w:t>
      </w:r>
      <w:proofErr w:type="spellEnd"/>
      <w:r w:rsidR="00826AE0" w:rsidRPr="00826AE0">
        <w:rPr>
          <w:rFonts w:eastAsiaTheme="minorEastAsia"/>
          <w:lang w:val="en-GB"/>
        </w:rPr>
        <w:t>.</w:t>
      </w:r>
      <w:r w:rsidR="00826AE0">
        <w:rPr>
          <w:rFonts w:eastAsiaTheme="minorEastAsia"/>
          <w:vertAlign w:val="subscript"/>
          <w:lang w:val="en-GB"/>
        </w:rPr>
        <w:t xml:space="preserve"> </w:t>
      </w:r>
      <w:r w:rsidR="00826AE0">
        <w:rPr>
          <w:rFonts w:eastAsiaTheme="minorEastAsia"/>
          <w:lang w:val="en-GB"/>
        </w:rPr>
        <w:t xml:space="preserve">In other words, the delay budget reserved to absorb the impact of UE transmit timing inaccuracy is twice as large as </w:t>
      </w:r>
      <w:proofErr w:type="spellStart"/>
      <w:r w:rsidR="00826AE0">
        <w:rPr>
          <w:rFonts w:eastAsiaTheme="minorEastAsia"/>
          <w:lang w:val="en-GB"/>
        </w:rPr>
        <w:t>T</w:t>
      </w:r>
      <w:r w:rsidR="00826AE0" w:rsidRPr="00AD0128">
        <w:rPr>
          <w:rFonts w:eastAsiaTheme="minorEastAsia"/>
          <w:vertAlign w:val="subscript"/>
          <w:lang w:val="en-GB"/>
        </w:rPr>
        <w:t>e_NTN</w:t>
      </w:r>
      <w:proofErr w:type="spellEnd"/>
      <w:r w:rsidR="00826AE0" w:rsidRPr="00826AE0">
        <w:rPr>
          <w:rFonts w:eastAsiaTheme="minorEastAsia"/>
          <w:lang w:val="en-GB"/>
        </w:rPr>
        <w:t>.</w:t>
      </w:r>
      <w:r w:rsidR="00826AE0">
        <w:rPr>
          <w:rFonts w:eastAsiaTheme="minorEastAsia"/>
          <w:lang w:val="en-GB"/>
        </w:rPr>
        <w:t xml:space="preserve"> </w:t>
      </w:r>
      <w:r w:rsidR="004A4019">
        <w:rPr>
          <w:rFonts w:eastAsiaTheme="minorEastAsia"/>
          <w:lang w:val="en-GB"/>
        </w:rPr>
        <w:t xml:space="preserve">This alone would make it impossible for the implementation of the GNSS relaxation for these SCS, as showed in </w:t>
      </w:r>
      <w:r w:rsidR="004A4019">
        <w:rPr>
          <w:rFonts w:eastAsiaTheme="minorEastAsia"/>
          <w:lang w:val="en-GB"/>
        </w:rPr>
        <w:fldChar w:fldCharType="begin"/>
      </w:r>
      <w:r w:rsidR="004A4019">
        <w:rPr>
          <w:rFonts w:eastAsiaTheme="minorEastAsia"/>
          <w:lang w:val="en-GB"/>
        </w:rPr>
        <w:instrText xml:space="preserve"> REF _Ref129959122 \h </w:instrText>
      </w:r>
      <w:r w:rsidR="004A4019">
        <w:rPr>
          <w:rFonts w:eastAsiaTheme="minorEastAsia"/>
          <w:lang w:val="en-GB"/>
        </w:rPr>
      </w:r>
      <w:r w:rsidR="004A4019">
        <w:rPr>
          <w:rFonts w:eastAsiaTheme="minorEastAsia"/>
          <w:lang w:val="en-GB"/>
        </w:rPr>
        <w:fldChar w:fldCharType="separate"/>
      </w:r>
      <w:r w:rsidR="004A4019">
        <w:t xml:space="preserve">Table </w:t>
      </w:r>
      <w:r w:rsidR="004A4019">
        <w:rPr>
          <w:noProof/>
        </w:rPr>
        <w:t>1</w:t>
      </w:r>
      <w:r w:rsidR="004A4019">
        <w:rPr>
          <w:rFonts w:eastAsiaTheme="minorEastAsia"/>
          <w:lang w:val="en-GB"/>
        </w:rPr>
        <w:fldChar w:fldCharType="end"/>
      </w:r>
      <w:r w:rsidR="004A4019">
        <w:rPr>
          <w:rFonts w:eastAsiaTheme="minorEastAsia"/>
          <w:lang w:val="en-GB"/>
        </w:rPr>
        <w:t>.</w:t>
      </w:r>
    </w:p>
    <w:p w14:paraId="0CF3EF40" w14:textId="403F3E1A" w:rsidR="004A4019" w:rsidRDefault="004A4019" w:rsidP="004A4019">
      <w:pPr>
        <w:pStyle w:val="Caption"/>
        <w:keepNext/>
      </w:pPr>
      <w:bookmarkStart w:id="28" w:name="_Ref129959122"/>
      <w:r>
        <w:t xml:space="preserve">Table </w:t>
      </w:r>
      <w:fldSimple w:instr=" SEQ Table \* ARABIC ">
        <w:r>
          <w:rPr>
            <w:noProof/>
          </w:rPr>
          <w:t>1</w:t>
        </w:r>
      </w:fldSimple>
      <w:bookmarkEnd w:id="28"/>
      <w:r>
        <w:t>. Impact on the delay budget of the relaxation of transmit timing error requirement</w:t>
      </w:r>
    </w:p>
    <w:tbl>
      <w:tblPr>
        <w:tblStyle w:val="Style1"/>
        <w:tblW w:w="0" w:type="auto"/>
        <w:tblLook w:val="04A0" w:firstRow="1" w:lastRow="0" w:firstColumn="1" w:lastColumn="0" w:noHBand="0" w:noVBand="1"/>
      </w:tblPr>
      <w:tblGrid>
        <w:gridCol w:w="1475"/>
        <w:gridCol w:w="1781"/>
        <w:gridCol w:w="992"/>
        <w:gridCol w:w="142"/>
        <w:gridCol w:w="1701"/>
        <w:gridCol w:w="1134"/>
        <w:gridCol w:w="2392"/>
      </w:tblGrid>
      <w:tr w:rsidR="004A4019" w:rsidRPr="00483ECB" w14:paraId="56D87638" w14:textId="77777777">
        <w:trPr>
          <w:cnfStyle w:val="100000000000" w:firstRow="1" w:lastRow="0" w:firstColumn="0" w:lastColumn="0" w:oddVBand="0" w:evenVBand="0" w:oddHBand="0" w:evenHBand="0" w:firstRowFirstColumn="0" w:firstRowLastColumn="0" w:lastRowFirstColumn="0" w:lastRowLastColumn="0"/>
        </w:trPr>
        <w:tc>
          <w:tcPr>
            <w:tcW w:w="1475" w:type="dxa"/>
          </w:tcPr>
          <w:p w14:paraId="54D07722" w14:textId="77777777" w:rsidR="004A4019" w:rsidRDefault="004A4019">
            <w:pPr>
              <w:rPr>
                <w:lang w:val="en-GB"/>
              </w:rPr>
            </w:pPr>
            <w:r>
              <w:t>SCS of SSB signals (kHz)</w:t>
            </w:r>
          </w:p>
        </w:tc>
        <w:tc>
          <w:tcPr>
            <w:tcW w:w="1781" w:type="dxa"/>
          </w:tcPr>
          <w:p w14:paraId="5C77247F" w14:textId="77777777" w:rsidR="004A4019" w:rsidRDefault="004A4019">
            <w:pPr>
              <w:rPr>
                <w:lang w:val="en-GB"/>
              </w:rPr>
            </w:pPr>
            <w:r>
              <w:t>SCS of uplink signals (kHz)</w:t>
            </w:r>
          </w:p>
        </w:tc>
        <w:tc>
          <w:tcPr>
            <w:tcW w:w="1134" w:type="dxa"/>
            <w:gridSpan w:val="2"/>
          </w:tcPr>
          <w:p w14:paraId="61C01179" w14:textId="77777777" w:rsidR="004A4019" w:rsidRPr="007303B4" w:rsidRDefault="0015206E">
            <w:pPr>
              <w:rPr>
                <w:lang w:val="en-GB"/>
              </w:rPr>
            </w:pP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cp</m:t>
                  </m:r>
                </m:sub>
              </m:sSub>
            </m:oMath>
            <w:r w:rsidR="004A4019">
              <w:rPr>
                <w:lang w:val="en-GB"/>
              </w:rPr>
              <w:t xml:space="preserve"> [T</w:t>
            </w:r>
            <w:r w:rsidR="004A4019" w:rsidRPr="0014528A">
              <w:rPr>
                <w:vertAlign w:val="subscript"/>
                <w:lang w:val="en-GB"/>
              </w:rPr>
              <w:t>s</w:t>
            </w:r>
            <w:r w:rsidR="004A4019">
              <w:rPr>
                <w:lang w:val="en-GB"/>
              </w:rPr>
              <w:t>]</w:t>
            </w:r>
          </w:p>
        </w:tc>
        <w:tc>
          <w:tcPr>
            <w:tcW w:w="1701" w:type="dxa"/>
          </w:tcPr>
          <w:p w14:paraId="206B3A08" w14:textId="77777777" w:rsidR="004A4019" w:rsidRPr="007303B4" w:rsidRDefault="004A4019">
            <w:pPr>
              <w:rPr>
                <w:rFonts w:ascii="Arial" w:eastAsia="SimSun" w:hAnsi="Arial" w:cs="Times New Roman"/>
                <w:lang w:val="en-GB"/>
              </w:rPr>
            </w:pPr>
            <w:r>
              <w:rPr>
                <w:rFonts w:ascii="Arial" w:eastAsia="SimSun" w:hAnsi="Arial" w:cs="Times New Roman"/>
                <w:lang w:val="en-GB"/>
              </w:rPr>
              <w:t>T</w:t>
            </w:r>
            <w:r w:rsidRPr="007303B4">
              <w:rPr>
                <w:rFonts w:ascii="Arial" w:eastAsia="SimSun" w:hAnsi="Arial" w:cs="Times New Roman"/>
                <w:vertAlign w:val="subscript"/>
                <w:lang w:val="en-GB"/>
              </w:rPr>
              <w:t>e</w:t>
            </w:r>
            <w:r>
              <w:rPr>
                <w:rFonts w:ascii="Arial" w:eastAsia="SimSun" w:hAnsi="Arial" w:cs="Times New Roman"/>
                <w:lang w:val="en-GB"/>
              </w:rPr>
              <w:t xml:space="preserve"> (terrestrial) [T</w:t>
            </w:r>
            <w:r>
              <w:rPr>
                <w:rFonts w:ascii="Arial" w:eastAsia="SimSun" w:hAnsi="Arial" w:cs="Times New Roman"/>
                <w:vertAlign w:val="subscript"/>
                <w:lang w:val="en-GB"/>
              </w:rPr>
              <w:t>s</w:t>
            </w:r>
            <w:r>
              <w:rPr>
                <w:rFonts w:ascii="Arial" w:eastAsia="SimSun" w:hAnsi="Arial" w:cs="Times New Roman"/>
                <w:lang w:val="en-GB"/>
              </w:rPr>
              <w:t>]</w:t>
            </w:r>
          </w:p>
        </w:tc>
        <w:tc>
          <w:tcPr>
            <w:tcW w:w="1134" w:type="dxa"/>
          </w:tcPr>
          <w:p w14:paraId="4C9E0E09" w14:textId="77777777" w:rsidR="004A4019" w:rsidRDefault="004A4019">
            <w:pPr>
              <w:rPr>
                <w:lang w:val="en-GB"/>
              </w:rPr>
            </w:pPr>
            <w:proofErr w:type="spellStart"/>
            <w:r>
              <w:rPr>
                <w:rFonts w:ascii="Arial" w:eastAsia="SimSun" w:hAnsi="Arial" w:cs="Times New Roman"/>
                <w:lang w:val="en-GB"/>
              </w:rPr>
              <w:t>T</w:t>
            </w:r>
            <w:r>
              <w:rPr>
                <w:rFonts w:ascii="Arial" w:eastAsia="SimSun" w:hAnsi="Arial" w:cs="Times New Roman"/>
                <w:vertAlign w:val="subscript"/>
                <w:lang w:val="en-GB"/>
              </w:rPr>
              <w:t>relax</w:t>
            </w:r>
            <w:proofErr w:type="spellEnd"/>
            <w:r>
              <w:rPr>
                <w:rFonts w:ascii="Arial" w:eastAsia="SimSun" w:hAnsi="Arial" w:cs="Times New Roman"/>
                <w:lang w:val="en-GB"/>
              </w:rPr>
              <w:t>[T</w:t>
            </w:r>
            <w:r>
              <w:rPr>
                <w:rFonts w:ascii="Arial" w:eastAsia="SimSun" w:hAnsi="Arial" w:cs="Times New Roman"/>
                <w:vertAlign w:val="subscript"/>
                <w:lang w:val="en-GB"/>
              </w:rPr>
              <w:t>s</w:t>
            </w:r>
            <w:r>
              <w:rPr>
                <w:rFonts w:ascii="Arial" w:eastAsia="SimSun" w:hAnsi="Arial" w:cs="Times New Roman"/>
                <w:lang w:val="en-GB"/>
              </w:rPr>
              <w:t>]</w:t>
            </w:r>
          </w:p>
        </w:tc>
        <w:tc>
          <w:tcPr>
            <w:tcW w:w="2392" w:type="dxa"/>
          </w:tcPr>
          <w:p w14:paraId="668D53E5" w14:textId="77777777" w:rsidR="004A4019" w:rsidRPr="00483ECB" w:rsidRDefault="004A4019">
            <w:pPr>
              <w:rPr>
                <w:rFonts w:ascii="Arial" w:eastAsia="SimSun" w:hAnsi="Arial" w:cs="Times New Roman"/>
                <w:lang w:val="en-GB"/>
              </w:rPr>
            </w:pPr>
            <w:proofErr w:type="spellStart"/>
            <w:r>
              <w:rPr>
                <w:rFonts w:ascii="Arial" w:eastAsia="SimSun" w:hAnsi="Arial" w:cs="Times New Roman"/>
                <w:lang w:val="en-GB"/>
              </w:rPr>
              <w:t>T</w:t>
            </w:r>
            <w:r>
              <w:rPr>
                <w:rFonts w:ascii="Arial" w:eastAsia="SimSun" w:hAnsi="Arial" w:cs="Times New Roman"/>
                <w:vertAlign w:val="subscript"/>
                <w:lang w:val="en-GB"/>
              </w:rPr>
              <w:t>cp</w:t>
            </w:r>
            <w:proofErr w:type="spellEnd"/>
            <w:r>
              <w:rPr>
                <w:rFonts w:ascii="Arial" w:eastAsia="SimSun" w:hAnsi="Arial" w:cs="Times New Roman"/>
                <w:lang w:val="en-GB"/>
              </w:rPr>
              <w:t xml:space="preserve"> –2( T</w:t>
            </w:r>
            <w:r>
              <w:rPr>
                <w:rFonts w:ascii="Arial" w:eastAsia="SimSun" w:hAnsi="Arial" w:cs="Times New Roman"/>
                <w:vertAlign w:val="subscript"/>
                <w:lang w:val="en-GB"/>
              </w:rPr>
              <w:t>e</w:t>
            </w:r>
            <w:r>
              <w:rPr>
                <w:rFonts w:ascii="Arial" w:eastAsia="SimSun" w:hAnsi="Arial" w:cs="Times New Roman"/>
                <w:lang w:val="en-GB"/>
              </w:rPr>
              <w:t xml:space="preserve"> – </w:t>
            </w:r>
            <w:proofErr w:type="spellStart"/>
            <w:r>
              <w:rPr>
                <w:rFonts w:ascii="Arial" w:eastAsia="SimSun" w:hAnsi="Arial" w:cs="Times New Roman"/>
                <w:lang w:val="en-GB"/>
              </w:rPr>
              <w:t>T</w:t>
            </w:r>
            <w:r>
              <w:rPr>
                <w:rFonts w:ascii="Arial" w:eastAsia="SimSun" w:hAnsi="Arial" w:cs="Times New Roman"/>
                <w:vertAlign w:val="subscript"/>
                <w:lang w:val="en-GB"/>
              </w:rPr>
              <w:t>relax</w:t>
            </w:r>
            <w:proofErr w:type="spellEnd"/>
            <w:r>
              <w:rPr>
                <w:rFonts w:ascii="Arial" w:eastAsia="SimSun" w:hAnsi="Arial" w:cs="Times New Roman"/>
                <w:vertAlign w:val="subscript"/>
                <w:lang w:val="en-GB"/>
              </w:rPr>
              <w:t xml:space="preserve"> </w:t>
            </w:r>
            <w:r>
              <w:rPr>
                <w:rFonts w:ascii="Arial" w:eastAsia="SimSun" w:hAnsi="Arial" w:cs="Times New Roman"/>
                <w:lang w:val="en-GB"/>
              </w:rPr>
              <w:t>)[T</w:t>
            </w:r>
            <w:r>
              <w:rPr>
                <w:rFonts w:ascii="Arial" w:eastAsia="SimSun" w:hAnsi="Arial" w:cs="Times New Roman"/>
                <w:vertAlign w:val="subscript"/>
                <w:lang w:val="en-GB"/>
              </w:rPr>
              <w:t>s</w:t>
            </w:r>
            <w:r>
              <w:rPr>
                <w:rFonts w:ascii="Arial" w:eastAsia="SimSun" w:hAnsi="Arial" w:cs="Times New Roman"/>
                <w:lang w:val="en-GB"/>
              </w:rPr>
              <w:t>]</w:t>
            </w:r>
          </w:p>
        </w:tc>
      </w:tr>
      <w:tr w:rsidR="004A4019" w:rsidRPr="004A4019" w14:paraId="2592A1ED" w14:textId="77777777">
        <w:tc>
          <w:tcPr>
            <w:tcW w:w="1475" w:type="dxa"/>
          </w:tcPr>
          <w:p w14:paraId="493C301D" w14:textId="77777777" w:rsidR="004A4019" w:rsidRDefault="004A4019">
            <w:pPr>
              <w:jc w:val="center"/>
              <w:rPr>
                <w:lang w:val="en-GB"/>
              </w:rPr>
            </w:pPr>
            <w:r>
              <w:rPr>
                <w:lang w:val="en-GB"/>
              </w:rPr>
              <w:t>15</w:t>
            </w:r>
          </w:p>
        </w:tc>
        <w:tc>
          <w:tcPr>
            <w:tcW w:w="1781" w:type="dxa"/>
          </w:tcPr>
          <w:p w14:paraId="250EA659" w14:textId="77777777" w:rsidR="004A4019" w:rsidRDefault="004A4019">
            <w:pPr>
              <w:jc w:val="center"/>
              <w:rPr>
                <w:lang w:val="en-GB"/>
              </w:rPr>
            </w:pPr>
            <w:r>
              <w:rPr>
                <w:lang w:val="en-GB"/>
              </w:rPr>
              <w:t>60</w:t>
            </w:r>
          </w:p>
        </w:tc>
        <w:tc>
          <w:tcPr>
            <w:tcW w:w="992" w:type="dxa"/>
          </w:tcPr>
          <w:p w14:paraId="3E1067B1" w14:textId="77777777" w:rsidR="004A4019" w:rsidRDefault="004A4019">
            <w:pPr>
              <w:rPr>
                <w:lang w:val="en-GB"/>
              </w:rPr>
            </w:pPr>
            <w:r w:rsidRPr="009F11C1">
              <w:rPr>
                <w:lang w:val="en-GB"/>
              </w:rPr>
              <w:t>36</w:t>
            </w:r>
          </w:p>
        </w:tc>
        <w:tc>
          <w:tcPr>
            <w:tcW w:w="1843" w:type="dxa"/>
            <w:gridSpan w:val="2"/>
          </w:tcPr>
          <w:p w14:paraId="1666D675" w14:textId="77777777" w:rsidR="004A4019" w:rsidRDefault="004A4019">
            <w:pPr>
              <w:rPr>
                <w:lang w:val="en-GB"/>
              </w:rPr>
            </w:pPr>
            <w:r>
              <w:rPr>
                <w:lang w:val="en-GB"/>
              </w:rPr>
              <w:t>10</w:t>
            </w:r>
          </w:p>
        </w:tc>
        <w:tc>
          <w:tcPr>
            <w:tcW w:w="1134" w:type="dxa"/>
          </w:tcPr>
          <w:p w14:paraId="023E023A" w14:textId="77777777" w:rsidR="004A4019" w:rsidRDefault="004A4019">
            <w:pPr>
              <w:rPr>
                <w:lang w:val="en-GB"/>
              </w:rPr>
            </w:pPr>
            <w:r w:rsidRPr="003E670F">
              <w:rPr>
                <w:lang w:val="en-GB"/>
              </w:rPr>
              <w:t>16</w:t>
            </w:r>
          </w:p>
        </w:tc>
        <w:tc>
          <w:tcPr>
            <w:tcW w:w="2392" w:type="dxa"/>
          </w:tcPr>
          <w:p w14:paraId="1FE815A2" w14:textId="77777777" w:rsidR="004A4019" w:rsidRPr="004A4019" w:rsidRDefault="004A4019">
            <w:pPr>
              <w:rPr>
                <w:rFonts w:ascii="Arial" w:eastAsia="Calibri" w:hAnsi="Arial" w:cs="Arial"/>
                <w:color w:val="FF0000"/>
              </w:rPr>
            </w:pPr>
            <w:r w:rsidRPr="004A4019">
              <w:rPr>
                <w:rFonts w:ascii="Arial" w:eastAsia="Calibri" w:hAnsi="Arial" w:cs="Arial"/>
                <w:color w:val="FF0000"/>
              </w:rPr>
              <w:t>-16</w:t>
            </w:r>
          </w:p>
        </w:tc>
      </w:tr>
      <w:tr w:rsidR="004A4019" w:rsidRPr="004A4019" w14:paraId="0EBB6B9A" w14:textId="77777777">
        <w:tc>
          <w:tcPr>
            <w:tcW w:w="1475" w:type="dxa"/>
          </w:tcPr>
          <w:p w14:paraId="055AC2D0" w14:textId="77777777" w:rsidR="004A4019" w:rsidRDefault="004A4019">
            <w:pPr>
              <w:jc w:val="center"/>
              <w:rPr>
                <w:lang w:val="en-GB"/>
              </w:rPr>
            </w:pPr>
            <w:r>
              <w:rPr>
                <w:lang w:val="en-GB"/>
              </w:rPr>
              <w:t>30</w:t>
            </w:r>
          </w:p>
        </w:tc>
        <w:tc>
          <w:tcPr>
            <w:tcW w:w="1781" w:type="dxa"/>
          </w:tcPr>
          <w:p w14:paraId="05F06482" w14:textId="77777777" w:rsidR="004A4019" w:rsidRDefault="004A4019">
            <w:pPr>
              <w:jc w:val="center"/>
              <w:rPr>
                <w:lang w:val="en-GB"/>
              </w:rPr>
            </w:pPr>
            <w:r>
              <w:rPr>
                <w:lang w:val="en-GB"/>
              </w:rPr>
              <w:t>60</w:t>
            </w:r>
          </w:p>
        </w:tc>
        <w:tc>
          <w:tcPr>
            <w:tcW w:w="992" w:type="dxa"/>
          </w:tcPr>
          <w:p w14:paraId="724C7284" w14:textId="77777777" w:rsidR="004A4019" w:rsidRDefault="004A4019">
            <w:pPr>
              <w:rPr>
                <w:lang w:val="en-GB"/>
              </w:rPr>
            </w:pPr>
            <w:r w:rsidRPr="009F11C1">
              <w:rPr>
                <w:lang w:val="en-GB"/>
              </w:rPr>
              <w:t>36</w:t>
            </w:r>
          </w:p>
        </w:tc>
        <w:tc>
          <w:tcPr>
            <w:tcW w:w="1843" w:type="dxa"/>
            <w:gridSpan w:val="2"/>
          </w:tcPr>
          <w:p w14:paraId="79D220FE" w14:textId="77777777" w:rsidR="004A4019" w:rsidRDefault="004A4019">
            <w:pPr>
              <w:rPr>
                <w:lang w:val="en-GB"/>
              </w:rPr>
            </w:pPr>
            <w:r>
              <w:rPr>
                <w:lang w:val="en-GB"/>
              </w:rPr>
              <w:t>7</w:t>
            </w:r>
          </w:p>
        </w:tc>
        <w:tc>
          <w:tcPr>
            <w:tcW w:w="1134" w:type="dxa"/>
          </w:tcPr>
          <w:p w14:paraId="0D48B7F9" w14:textId="77777777" w:rsidR="004A4019" w:rsidRDefault="004A4019">
            <w:pPr>
              <w:rPr>
                <w:lang w:val="en-GB"/>
              </w:rPr>
            </w:pPr>
            <w:r w:rsidRPr="003E670F">
              <w:rPr>
                <w:lang w:val="en-GB"/>
              </w:rPr>
              <w:t>16</w:t>
            </w:r>
          </w:p>
        </w:tc>
        <w:tc>
          <w:tcPr>
            <w:tcW w:w="2392" w:type="dxa"/>
          </w:tcPr>
          <w:p w14:paraId="39C67D23" w14:textId="77777777" w:rsidR="004A4019" w:rsidRPr="004A4019" w:rsidRDefault="004A4019">
            <w:pPr>
              <w:rPr>
                <w:rFonts w:ascii="Arial" w:eastAsia="Calibri" w:hAnsi="Arial" w:cs="Arial"/>
                <w:color w:val="FF0000"/>
              </w:rPr>
            </w:pPr>
            <w:r w:rsidRPr="004A4019">
              <w:rPr>
                <w:rFonts w:ascii="Arial" w:eastAsia="Calibri" w:hAnsi="Arial" w:cs="Arial"/>
                <w:color w:val="FF0000"/>
              </w:rPr>
              <w:t>- 7</w:t>
            </w:r>
          </w:p>
        </w:tc>
      </w:tr>
      <w:tr w:rsidR="004A4019" w:rsidRPr="004A4019" w14:paraId="085BB597" w14:textId="77777777">
        <w:tc>
          <w:tcPr>
            <w:tcW w:w="1475" w:type="dxa"/>
          </w:tcPr>
          <w:p w14:paraId="471BBC26" w14:textId="77777777" w:rsidR="004A4019" w:rsidRDefault="004A4019">
            <w:pPr>
              <w:jc w:val="center"/>
              <w:rPr>
                <w:lang w:val="en-GB"/>
              </w:rPr>
            </w:pPr>
            <w:r>
              <w:rPr>
                <w:lang w:val="en-GB"/>
              </w:rPr>
              <w:t>120</w:t>
            </w:r>
          </w:p>
        </w:tc>
        <w:tc>
          <w:tcPr>
            <w:tcW w:w="1781" w:type="dxa"/>
          </w:tcPr>
          <w:p w14:paraId="0E0DE968" w14:textId="77777777" w:rsidR="004A4019" w:rsidRDefault="004A4019">
            <w:pPr>
              <w:jc w:val="center"/>
              <w:rPr>
                <w:lang w:val="en-GB"/>
              </w:rPr>
            </w:pPr>
            <w:r>
              <w:rPr>
                <w:lang w:val="en-GB"/>
              </w:rPr>
              <w:t>60</w:t>
            </w:r>
          </w:p>
        </w:tc>
        <w:tc>
          <w:tcPr>
            <w:tcW w:w="992" w:type="dxa"/>
          </w:tcPr>
          <w:p w14:paraId="46BFE7F7" w14:textId="77777777" w:rsidR="004A4019" w:rsidRDefault="004A4019">
            <w:pPr>
              <w:rPr>
                <w:lang w:val="en-GB"/>
              </w:rPr>
            </w:pPr>
            <w:r w:rsidRPr="009F11C1">
              <w:rPr>
                <w:lang w:val="en-GB"/>
              </w:rPr>
              <w:t>36</w:t>
            </w:r>
          </w:p>
        </w:tc>
        <w:tc>
          <w:tcPr>
            <w:tcW w:w="1843" w:type="dxa"/>
            <w:gridSpan w:val="2"/>
          </w:tcPr>
          <w:p w14:paraId="4B32B683" w14:textId="77777777" w:rsidR="004A4019" w:rsidRDefault="004A4019">
            <w:pPr>
              <w:rPr>
                <w:lang w:val="en-GB"/>
              </w:rPr>
            </w:pPr>
            <w:r>
              <w:rPr>
                <w:lang w:val="en-GB"/>
              </w:rPr>
              <w:t>3.5</w:t>
            </w:r>
          </w:p>
        </w:tc>
        <w:tc>
          <w:tcPr>
            <w:tcW w:w="1134" w:type="dxa"/>
          </w:tcPr>
          <w:p w14:paraId="739099E0" w14:textId="77777777" w:rsidR="004A4019" w:rsidRDefault="004A4019">
            <w:pPr>
              <w:rPr>
                <w:lang w:val="en-GB"/>
              </w:rPr>
            </w:pPr>
            <w:r w:rsidRPr="003E670F">
              <w:rPr>
                <w:lang w:val="en-GB"/>
              </w:rPr>
              <w:t>16</w:t>
            </w:r>
          </w:p>
        </w:tc>
        <w:tc>
          <w:tcPr>
            <w:tcW w:w="2392" w:type="dxa"/>
          </w:tcPr>
          <w:p w14:paraId="0D6C21DC" w14:textId="77777777" w:rsidR="004A4019" w:rsidRPr="004A4019" w:rsidRDefault="004A4019">
            <w:pPr>
              <w:rPr>
                <w:rFonts w:ascii="Arial" w:eastAsia="MS Mincho" w:hAnsi="Arial" w:cs="Arial"/>
                <w:color w:val="FF0000"/>
              </w:rPr>
            </w:pPr>
            <w:r w:rsidRPr="004A4019">
              <w:rPr>
                <w:rFonts w:ascii="Arial" w:eastAsia="MS Mincho" w:hAnsi="Arial" w:cs="Arial"/>
                <w:color w:val="FF0000"/>
              </w:rPr>
              <w:t>-3</w:t>
            </w:r>
          </w:p>
        </w:tc>
      </w:tr>
      <w:tr w:rsidR="004A4019" w:rsidRPr="004A4019" w14:paraId="6479C421" w14:textId="77777777">
        <w:tc>
          <w:tcPr>
            <w:tcW w:w="1475" w:type="dxa"/>
          </w:tcPr>
          <w:p w14:paraId="41520BF7" w14:textId="77777777" w:rsidR="004A4019" w:rsidRDefault="004A4019">
            <w:pPr>
              <w:jc w:val="center"/>
              <w:rPr>
                <w:lang w:val="en-GB"/>
              </w:rPr>
            </w:pPr>
            <w:r>
              <w:rPr>
                <w:lang w:val="en-GB"/>
              </w:rPr>
              <w:t>240</w:t>
            </w:r>
          </w:p>
        </w:tc>
        <w:tc>
          <w:tcPr>
            <w:tcW w:w="1781" w:type="dxa"/>
          </w:tcPr>
          <w:p w14:paraId="03A1DFB8" w14:textId="77777777" w:rsidR="004A4019" w:rsidRDefault="004A4019">
            <w:pPr>
              <w:jc w:val="center"/>
              <w:rPr>
                <w:lang w:val="en-GB"/>
              </w:rPr>
            </w:pPr>
            <w:r>
              <w:rPr>
                <w:lang w:val="en-GB"/>
              </w:rPr>
              <w:t>60</w:t>
            </w:r>
          </w:p>
        </w:tc>
        <w:tc>
          <w:tcPr>
            <w:tcW w:w="992" w:type="dxa"/>
          </w:tcPr>
          <w:p w14:paraId="74105947" w14:textId="77777777" w:rsidR="004A4019" w:rsidRDefault="004A4019">
            <w:pPr>
              <w:rPr>
                <w:lang w:val="en-GB"/>
              </w:rPr>
            </w:pPr>
            <w:r w:rsidRPr="009F11C1">
              <w:rPr>
                <w:lang w:val="en-GB"/>
              </w:rPr>
              <w:t>36</w:t>
            </w:r>
          </w:p>
        </w:tc>
        <w:tc>
          <w:tcPr>
            <w:tcW w:w="1843" w:type="dxa"/>
            <w:gridSpan w:val="2"/>
          </w:tcPr>
          <w:p w14:paraId="323DE4EA" w14:textId="77777777" w:rsidR="004A4019" w:rsidRDefault="004A4019">
            <w:pPr>
              <w:rPr>
                <w:lang w:val="en-GB"/>
              </w:rPr>
            </w:pPr>
            <w:r>
              <w:rPr>
                <w:lang w:val="en-GB"/>
              </w:rPr>
              <w:t>3</w:t>
            </w:r>
          </w:p>
        </w:tc>
        <w:tc>
          <w:tcPr>
            <w:tcW w:w="1134" w:type="dxa"/>
          </w:tcPr>
          <w:p w14:paraId="0B83C30C" w14:textId="77777777" w:rsidR="004A4019" w:rsidRDefault="004A4019">
            <w:pPr>
              <w:rPr>
                <w:lang w:val="en-GB"/>
              </w:rPr>
            </w:pPr>
            <w:r w:rsidRPr="003E670F">
              <w:rPr>
                <w:lang w:val="en-GB"/>
              </w:rPr>
              <w:t>16</w:t>
            </w:r>
          </w:p>
        </w:tc>
        <w:tc>
          <w:tcPr>
            <w:tcW w:w="2392" w:type="dxa"/>
          </w:tcPr>
          <w:p w14:paraId="58DE5543" w14:textId="77777777" w:rsidR="004A4019" w:rsidRPr="004A4019" w:rsidRDefault="004A4019">
            <w:pPr>
              <w:rPr>
                <w:rFonts w:ascii="Arial" w:eastAsia="Calibri" w:hAnsi="Arial" w:cs="Arial"/>
                <w:color w:val="FF0000"/>
              </w:rPr>
            </w:pPr>
            <w:r w:rsidRPr="004A4019">
              <w:rPr>
                <w:rFonts w:ascii="Arial" w:eastAsia="Calibri" w:hAnsi="Arial" w:cs="Arial"/>
                <w:color w:val="FF0000"/>
              </w:rPr>
              <w:t>-2</w:t>
            </w:r>
          </w:p>
        </w:tc>
      </w:tr>
      <w:tr w:rsidR="004A4019" w:rsidRPr="004A4019" w14:paraId="74318125" w14:textId="77777777">
        <w:tc>
          <w:tcPr>
            <w:tcW w:w="1475" w:type="dxa"/>
          </w:tcPr>
          <w:p w14:paraId="2E660932" w14:textId="77777777" w:rsidR="004A4019" w:rsidRDefault="004A4019">
            <w:pPr>
              <w:jc w:val="center"/>
              <w:rPr>
                <w:lang w:val="en-GB"/>
              </w:rPr>
            </w:pPr>
            <w:r>
              <w:rPr>
                <w:lang w:val="en-GB"/>
              </w:rPr>
              <w:t>120</w:t>
            </w:r>
          </w:p>
        </w:tc>
        <w:tc>
          <w:tcPr>
            <w:tcW w:w="1781" w:type="dxa"/>
          </w:tcPr>
          <w:p w14:paraId="1B7B8986" w14:textId="77777777" w:rsidR="004A4019" w:rsidRDefault="004A4019">
            <w:pPr>
              <w:jc w:val="center"/>
              <w:rPr>
                <w:lang w:val="en-GB"/>
              </w:rPr>
            </w:pPr>
            <w:r>
              <w:rPr>
                <w:lang w:val="en-GB"/>
              </w:rPr>
              <w:t>120</w:t>
            </w:r>
          </w:p>
        </w:tc>
        <w:tc>
          <w:tcPr>
            <w:tcW w:w="992" w:type="dxa"/>
          </w:tcPr>
          <w:p w14:paraId="6D57A2A8" w14:textId="77777777" w:rsidR="004A4019" w:rsidRDefault="004A4019">
            <w:pPr>
              <w:rPr>
                <w:lang w:val="en-GB"/>
              </w:rPr>
            </w:pPr>
            <w:r>
              <w:rPr>
                <w:lang w:val="en-GB"/>
              </w:rPr>
              <w:t>18</w:t>
            </w:r>
          </w:p>
        </w:tc>
        <w:tc>
          <w:tcPr>
            <w:tcW w:w="1843" w:type="dxa"/>
            <w:gridSpan w:val="2"/>
          </w:tcPr>
          <w:p w14:paraId="56080416" w14:textId="77777777" w:rsidR="004A4019" w:rsidRDefault="004A4019">
            <w:pPr>
              <w:rPr>
                <w:lang w:val="en-GB"/>
              </w:rPr>
            </w:pPr>
            <w:r>
              <w:rPr>
                <w:lang w:val="en-GB"/>
              </w:rPr>
              <w:t>3.5</w:t>
            </w:r>
          </w:p>
        </w:tc>
        <w:tc>
          <w:tcPr>
            <w:tcW w:w="1134" w:type="dxa"/>
          </w:tcPr>
          <w:p w14:paraId="0C919FFB" w14:textId="77777777" w:rsidR="004A4019" w:rsidRDefault="004A4019">
            <w:pPr>
              <w:rPr>
                <w:lang w:val="en-GB"/>
              </w:rPr>
            </w:pPr>
            <w:r w:rsidRPr="003E670F">
              <w:rPr>
                <w:lang w:val="en-GB"/>
              </w:rPr>
              <w:t>16</w:t>
            </w:r>
          </w:p>
        </w:tc>
        <w:tc>
          <w:tcPr>
            <w:tcW w:w="2392" w:type="dxa"/>
          </w:tcPr>
          <w:p w14:paraId="49B30772" w14:textId="77777777" w:rsidR="004A4019" w:rsidRPr="004A4019" w:rsidRDefault="004A4019">
            <w:pPr>
              <w:rPr>
                <w:rFonts w:ascii="Arial" w:eastAsia="SimSun" w:hAnsi="Arial" w:cs="Times New Roman"/>
                <w:color w:val="FF0000"/>
              </w:rPr>
            </w:pPr>
            <w:r w:rsidRPr="004A4019">
              <w:rPr>
                <w:rFonts w:ascii="Arial" w:eastAsia="SimSun" w:hAnsi="Arial" w:cs="Times New Roman"/>
                <w:color w:val="FF0000"/>
              </w:rPr>
              <w:t>-21</w:t>
            </w:r>
          </w:p>
        </w:tc>
      </w:tr>
    </w:tbl>
    <w:p w14:paraId="00EB7984" w14:textId="577D8C14" w:rsidR="00826AE0" w:rsidRDefault="00826AE0" w:rsidP="00AD0128">
      <w:pPr>
        <w:spacing w:before="240"/>
        <w:rPr>
          <w:rFonts w:eastAsiaTheme="minorEastAsia"/>
          <w:lang w:val="en-GB"/>
        </w:rPr>
      </w:pPr>
      <w:r>
        <w:rPr>
          <w:rFonts w:eastAsiaTheme="minorEastAsia"/>
          <w:lang w:val="en-GB"/>
        </w:rPr>
        <w:t xml:space="preserve">This was </w:t>
      </w:r>
      <w:r w:rsidR="00ED6E2A">
        <w:rPr>
          <w:rFonts w:eastAsiaTheme="minorEastAsia"/>
          <w:lang w:val="en-GB"/>
        </w:rPr>
        <w:t>reason</w:t>
      </w:r>
      <w:r>
        <w:rPr>
          <w:rFonts w:eastAsiaTheme="minorEastAsia"/>
          <w:lang w:val="en-GB"/>
        </w:rPr>
        <w:t xml:space="preserve"> to exclude 60 kHz from the Rel-17 operation on FR1 as it would consume most of the delay budget and preclude any practical application. </w:t>
      </w:r>
    </w:p>
    <w:p w14:paraId="4663C360" w14:textId="4DDD6010" w:rsidR="00826AE0" w:rsidRDefault="00826AE0" w:rsidP="00826AE0">
      <w:pPr>
        <w:pStyle w:val="RAN4observation0"/>
      </w:pPr>
      <w:bookmarkStart w:id="29" w:name="_Toc132023825"/>
      <w:r>
        <w:t xml:space="preserve">In Rel-17, the inclusion of relaxed timing requirements due to GNSS and satellite position inaccuracies led to the exclusion of the 60 kHz of the FR1 </w:t>
      </w:r>
      <w:r w:rsidR="00ED6E2A">
        <w:t>operation since</w:t>
      </w:r>
      <w:r>
        <w:t xml:space="preserve"> it would consume most of the delay budget.</w:t>
      </w:r>
      <w:bookmarkEnd w:id="29"/>
      <w:r>
        <w:t xml:space="preserve"> </w:t>
      </w:r>
    </w:p>
    <w:p w14:paraId="75538E17" w14:textId="7315F1A6" w:rsidR="004A4019" w:rsidRDefault="004A4019" w:rsidP="004A4019">
      <w:r>
        <w:rPr>
          <w:rFonts w:eastAsiaTheme="minorEastAsia"/>
        </w:rPr>
        <w:t xml:space="preserve">In addition to the transmit timing inaccuracy, the delay budget is also affected by the dispersion of the channel. </w:t>
      </w:r>
      <w:r>
        <w:t xml:space="preserve">3GPP has previously agreed on reference channel models for </w:t>
      </w:r>
      <w:r w:rsidRPr="00F351F2">
        <w:t>NTN, originated during the study item phase</w:t>
      </w:r>
      <w:r w:rsidR="00757ABB">
        <w:t xml:space="preserve"> </w:t>
      </w:r>
      <w:r w:rsidR="00757ABB">
        <w:fldChar w:fldCharType="begin"/>
      </w:r>
      <w:r w:rsidR="00757ABB">
        <w:instrText xml:space="preserve"> REF _Ref130303848 \r \h </w:instrText>
      </w:r>
      <w:r w:rsidR="00757ABB">
        <w:fldChar w:fldCharType="separate"/>
      </w:r>
      <w:r w:rsidR="00757ABB">
        <w:t>[5]</w:t>
      </w:r>
      <w:r w:rsidR="00757ABB">
        <w:fldChar w:fldCharType="end"/>
      </w:r>
      <w:r>
        <w:t xml:space="preserve"> for NTN deployments and that are now used as the reference channels for demodulation </w:t>
      </w:r>
      <w:r w:rsidR="00C94B14">
        <w:fldChar w:fldCharType="begin"/>
      </w:r>
      <w:r w:rsidR="00C94B14">
        <w:instrText xml:space="preserve"> REF _Ref130303923 \r \h </w:instrText>
      </w:r>
      <w:r w:rsidR="00C94B14">
        <w:fldChar w:fldCharType="separate"/>
      </w:r>
      <w:r w:rsidR="00C94B14">
        <w:t>[6]</w:t>
      </w:r>
      <w:r w:rsidR="00C94B14">
        <w:fldChar w:fldCharType="end"/>
      </w:r>
      <w:r w:rsidR="00C94B14">
        <w:t xml:space="preserve">. </w:t>
      </w:r>
      <w:r>
        <w:t>The channel model NTN-TDLA100 has a rms delay spread of 100 ns; with the detailed model describing a relevant delay path with a 285 ns delay (which corresponds to 8.8 T</w:t>
      </w:r>
      <w:r w:rsidRPr="0014528A">
        <w:rPr>
          <w:vertAlign w:val="subscript"/>
        </w:rPr>
        <w:t>s</w:t>
      </w:r>
      <w:r>
        <w:t xml:space="preserve">).    It is worth noting that the delay spread of the NTN reference model is higher than any of the delay spreads considered for 60 and 120 kHz before in TN </w:t>
      </w:r>
      <w:r w:rsidR="008B6454">
        <w:fldChar w:fldCharType="begin"/>
      </w:r>
      <w:r w:rsidR="008B6454">
        <w:instrText xml:space="preserve"> REF _Ref130304090 \r \h </w:instrText>
      </w:r>
      <w:r w:rsidR="008B6454">
        <w:fldChar w:fldCharType="separate"/>
      </w:r>
      <w:r w:rsidR="008B6454">
        <w:t>[7]</w:t>
      </w:r>
      <w:r w:rsidR="008B6454">
        <w:fldChar w:fldCharType="end"/>
      </w:r>
      <w:r w:rsidR="008B6454">
        <w:fldChar w:fldCharType="begin"/>
      </w:r>
      <w:r w:rsidR="008B6454">
        <w:instrText xml:space="preserve"> REF _Ref130304091 \r \h </w:instrText>
      </w:r>
      <w:r w:rsidR="008B6454">
        <w:fldChar w:fldCharType="separate"/>
      </w:r>
      <w:r w:rsidR="008B6454">
        <w:t>[8]</w:t>
      </w:r>
      <w:r w:rsidR="008B6454">
        <w:fldChar w:fldCharType="end"/>
      </w:r>
      <w:r>
        <w:t xml:space="preserve">, which makes the delay budget even more stringent in NTN. </w:t>
      </w:r>
    </w:p>
    <w:p w14:paraId="26BD2FBC" w14:textId="36B09B77" w:rsidR="00C615BE" w:rsidRDefault="00C615BE" w:rsidP="00C615BE">
      <w:pPr>
        <w:pStyle w:val="CommentText"/>
      </w:pPr>
      <w:r>
        <w:t>Besides, another component that need consideration is the “systematic error in the common TA”</w:t>
      </w:r>
      <w:r w:rsidR="00BE0DF5">
        <w:t xml:space="preserve"> that will be observed in practical deployments that ensues from </w:t>
      </w:r>
      <w:r>
        <w:t>reduced accuracy of the polynomial fit. Since we only have a 2</w:t>
      </w:r>
      <w:r w:rsidRPr="004A6DF0">
        <w:rPr>
          <w:vertAlign w:val="superscript"/>
        </w:rPr>
        <w:t>nd</w:t>
      </w:r>
      <w:r>
        <w:t xml:space="preserve"> order polynomial to describe the Common TA there will be a “systematic error” due to modeling of the feeder link (common TA), which will evolve over time. </w:t>
      </w:r>
      <w:r w:rsidR="009624EC">
        <w:t>This aspect was discussed in</w:t>
      </w:r>
      <w:r>
        <w:t xml:space="preserve"> RAN1 contribution </w:t>
      </w:r>
      <w:r w:rsidR="009624EC">
        <w:t>that have shown that this error can</w:t>
      </w:r>
      <w:r>
        <w:t xml:space="preserve"> become quite substantial in R1-2110900, where it is seen that even for 10 seconds </w:t>
      </w:r>
      <w:r w:rsidR="009624EC">
        <w:t>of horizon of prediction,</w:t>
      </w:r>
      <w:r>
        <w:t xml:space="preserve"> we </w:t>
      </w:r>
      <w:r w:rsidR="009624EC">
        <w:t>may</w:t>
      </w:r>
      <w:r>
        <w:t xml:space="preserve"> see a systematic error of ~1us. </w:t>
      </w:r>
    </w:p>
    <w:p w14:paraId="71C06EA2" w14:textId="42DCFE89" w:rsidR="00C615BE" w:rsidRDefault="00C615BE" w:rsidP="004A4019"/>
    <w:p w14:paraId="667430C4" w14:textId="77777777" w:rsidR="0014528A" w:rsidRPr="0014528A" w:rsidRDefault="0014528A" w:rsidP="0014528A">
      <w:pPr>
        <w:rPr>
          <w:lang w:val="en-GB"/>
        </w:rPr>
      </w:pPr>
    </w:p>
    <w:p w14:paraId="2D6B4AFE" w14:textId="77777777" w:rsidR="0014528A" w:rsidRPr="002B6D41" w:rsidRDefault="0014528A" w:rsidP="0014528A">
      <w:pPr>
        <w:pStyle w:val="RAN4observation0"/>
      </w:pPr>
      <w:bookmarkStart w:id="30" w:name="_Toc132023826"/>
      <w:r>
        <w:lastRenderedPageBreak/>
        <w:t xml:space="preserve">From a practical point of view, the total transmit timing error should be smaller than </w:t>
      </w:r>
      <w:r w:rsidRPr="002B6D41">
        <w:t>4 Ts for 120 kHz and 8 Ts for 60 kHz.</w:t>
      </w:r>
      <w:bookmarkEnd w:id="30"/>
      <w:r w:rsidRPr="002B6D41">
        <w:t xml:space="preserve"> </w:t>
      </w:r>
    </w:p>
    <w:p w14:paraId="67892269" w14:textId="77777777" w:rsidR="004E3A4A" w:rsidRPr="004E3A4A" w:rsidRDefault="004E3A4A" w:rsidP="004E3A4A">
      <w:pPr>
        <w:rPr>
          <w:lang w:val="en-GB"/>
        </w:rPr>
      </w:pPr>
    </w:p>
    <w:p w14:paraId="2C2D6848" w14:textId="3652AC1C" w:rsidR="004E3A4A" w:rsidRDefault="000E44B8" w:rsidP="004E3A4A">
      <w:pPr>
        <w:pStyle w:val="RAN4observation0"/>
      </w:pPr>
      <w:bookmarkStart w:id="31" w:name="_Toc132023827"/>
      <w:r>
        <w:t xml:space="preserve">VSAT devices are more complex </w:t>
      </w:r>
      <w:r w:rsidR="00D2037C">
        <w:t xml:space="preserve">than regular handheld </w:t>
      </w:r>
      <w:r w:rsidR="00220D54">
        <w:t>devices and</w:t>
      </w:r>
      <w:r w:rsidR="00D2037C">
        <w:t xml:space="preserve"> might support tightened requirements.</w:t>
      </w:r>
      <w:bookmarkEnd w:id="31"/>
    </w:p>
    <w:p w14:paraId="4B2033AD" w14:textId="77777777" w:rsidR="0014528A" w:rsidRPr="0014528A" w:rsidRDefault="0014528A" w:rsidP="0014528A">
      <w:pPr>
        <w:rPr>
          <w:lang w:val="en-GB"/>
        </w:rPr>
      </w:pPr>
    </w:p>
    <w:p w14:paraId="13EBA0C4" w14:textId="77777777" w:rsidR="009818FD" w:rsidRDefault="009818FD" w:rsidP="00C92B35">
      <w:pPr>
        <w:pStyle w:val="RAN4proposal"/>
        <w:rPr>
          <w:lang w:val="en-GB"/>
        </w:rPr>
      </w:pPr>
      <w:bookmarkStart w:id="32" w:name="_Toc132023828"/>
      <w:r>
        <w:rPr>
          <w:lang w:val="en-GB"/>
        </w:rPr>
        <w:t>For the operation in the NTN Ka-bands, if the chosen SCS is 60 or 120 kHz, the transmit timing error limit must be tightened up to 4 Ts for 120 kHz and 8 Ts for 60 kHz.</w:t>
      </w:r>
      <w:bookmarkEnd w:id="32"/>
      <w:r>
        <w:rPr>
          <w:lang w:val="en-GB"/>
        </w:rPr>
        <w:t xml:space="preserve"> </w:t>
      </w:r>
    </w:p>
    <w:p w14:paraId="71063108" w14:textId="77777777" w:rsidR="009818FD" w:rsidRDefault="009818FD" w:rsidP="00C92B35">
      <w:pPr>
        <w:pStyle w:val="RAN4proposal"/>
        <w:rPr>
          <w:lang w:val="en-GB"/>
        </w:rPr>
      </w:pPr>
      <w:bookmarkStart w:id="33" w:name="_Toc132023829"/>
      <w:r>
        <w:rPr>
          <w:lang w:val="en-GB"/>
        </w:rPr>
        <w:t>If the transmit timing error cannot be tightened up, and the chosen SCS is 60 or 120 kHz, RAN4 shall ask RAN1 to provide alternative synchronization solutions for NTN.</w:t>
      </w:r>
      <w:bookmarkEnd w:id="33"/>
      <w:r>
        <w:rPr>
          <w:lang w:val="en-GB"/>
        </w:rPr>
        <w:t xml:space="preserve"> </w:t>
      </w:r>
    </w:p>
    <w:p w14:paraId="677DD9C7" w14:textId="45B0DFFD" w:rsidR="00FF374C" w:rsidRDefault="00FF374C" w:rsidP="00BD4E0E">
      <w:pPr>
        <w:rPr>
          <w:lang w:val="en-GB"/>
        </w:rPr>
      </w:pPr>
    </w:p>
    <w:p w14:paraId="69A3071E" w14:textId="64BDF53D" w:rsidR="00ED6E2A" w:rsidRDefault="00ED6E2A" w:rsidP="00ED6E2A">
      <w:pPr>
        <w:pStyle w:val="RAN4H2"/>
      </w:pPr>
      <w:r>
        <w:t>Timing Relationships</w:t>
      </w:r>
    </w:p>
    <w:p w14:paraId="66761267" w14:textId="149DEBFC" w:rsidR="00ED6E2A" w:rsidRDefault="00ED6E2A" w:rsidP="00ED6E2A"/>
    <w:p w14:paraId="0972D880" w14:textId="5CB75289" w:rsidR="00B33366" w:rsidRDefault="00B33366" w:rsidP="00ED6E2A">
      <w:r>
        <w:t xml:space="preserve">Since the study item in Rel-16 </w:t>
      </w:r>
      <w:r w:rsidR="00147C16">
        <w:fldChar w:fldCharType="begin"/>
      </w:r>
      <w:r w:rsidR="00147C16">
        <w:instrText xml:space="preserve"> REF _Ref130303848 \r \h </w:instrText>
      </w:r>
      <w:r w:rsidR="00147C16">
        <w:fldChar w:fldCharType="separate"/>
      </w:r>
      <w:r w:rsidR="00147C16">
        <w:t>[5]</w:t>
      </w:r>
      <w:r w:rsidR="00147C16">
        <w:fldChar w:fldCharType="end"/>
      </w:r>
      <w:r w:rsidR="00147C16">
        <w:t>,</w:t>
      </w:r>
      <w:r>
        <w:t xml:space="preserve">the issue on the DL-UL timing relationships was raised for NTN. Because the range of Timing Advance was much larger in NTN then in previous TN, DL assignments/scheduling could not be fulfilled with causality if the offset between the DL and UL slot numbering was not offset. Because of that, the parameter </w:t>
      </w:r>
      <w:proofErr w:type="spellStart"/>
      <w:r>
        <w:t>K</w:t>
      </w:r>
      <w:r w:rsidRPr="00B33366">
        <w:rPr>
          <w:vertAlign w:val="subscript"/>
        </w:rPr>
        <w:t>offset</w:t>
      </w:r>
      <w:proofErr w:type="spellEnd"/>
      <w:r>
        <w:t xml:space="preserve"> was created for NTN. Likewise, when the downlink synchronization reference point was moved from the </w:t>
      </w:r>
      <w:proofErr w:type="spellStart"/>
      <w:r>
        <w:t>gNB</w:t>
      </w:r>
      <w:proofErr w:type="spellEnd"/>
      <w:r>
        <w:t xml:space="preserve"> to the satellite on the transparent architecture, the timing relationship of MAC procedures would also require an offset, which led to the creation of the parameter </w:t>
      </w:r>
      <w:proofErr w:type="spellStart"/>
      <w:r>
        <w:t>K</w:t>
      </w:r>
      <w:r w:rsidRPr="00B33366">
        <w:rPr>
          <w:vertAlign w:val="subscript"/>
        </w:rPr>
        <w:t>mac</w:t>
      </w:r>
      <w:proofErr w:type="spellEnd"/>
      <w:r>
        <w:t>.</w:t>
      </w:r>
    </w:p>
    <w:p w14:paraId="694B4AB1" w14:textId="5780D2E7" w:rsidR="00B33366" w:rsidRDefault="00B23284" w:rsidP="00ED6E2A">
      <w:r>
        <w:t xml:space="preserve">It is well-known that </w:t>
      </w:r>
      <w:proofErr w:type="spellStart"/>
      <w:r>
        <w:t>K</w:t>
      </w:r>
      <w:r w:rsidRPr="00B33366">
        <w:rPr>
          <w:vertAlign w:val="subscript"/>
        </w:rPr>
        <w:t>offset</w:t>
      </w:r>
      <w:proofErr w:type="spellEnd"/>
      <w:r>
        <w:rPr>
          <w:vertAlign w:val="subscript"/>
        </w:rPr>
        <w:t xml:space="preserve"> </w:t>
      </w:r>
      <w:r>
        <w:t xml:space="preserve">must be larger than </w:t>
      </w:r>
      <w:r w:rsidR="00337DA5">
        <w:t xml:space="preserve">the UE Timing Advance, whereas </w:t>
      </w:r>
      <w:proofErr w:type="spellStart"/>
      <w:r w:rsidR="00337DA5">
        <w:t>K</w:t>
      </w:r>
      <w:r w:rsidR="00337DA5" w:rsidRPr="00B33366">
        <w:rPr>
          <w:vertAlign w:val="subscript"/>
        </w:rPr>
        <w:t>mac</w:t>
      </w:r>
      <w:proofErr w:type="spellEnd"/>
      <w:r w:rsidR="00337DA5">
        <w:rPr>
          <w:vertAlign w:val="subscript"/>
        </w:rPr>
        <w:t xml:space="preserve"> </w:t>
      </w:r>
      <w:r w:rsidR="00337DA5">
        <w:t xml:space="preserve">must be larger than the feeder link delay. </w:t>
      </w:r>
      <w:r w:rsidR="00122CDD">
        <w:t xml:space="preserve"> In Rel-17, both parameters were designed so that they</w:t>
      </w:r>
      <w:r w:rsidR="005C5087">
        <w:t xml:space="preserve"> are </w:t>
      </w:r>
      <w:proofErr w:type="spellStart"/>
      <w:r w:rsidR="005C5087">
        <w:t>signalled</w:t>
      </w:r>
      <w:proofErr w:type="spellEnd"/>
      <w:r w:rsidR="005C5087">
        <w:t xml:space="preserve"> as a total offset based on the 15 kHz subcarrier spacing, </w:t>
      </w:r>
      <w:r w:rsidR="00BD6385">
        <w:t>which means it is implicitly conveyed in “</w:t>
      </w:r>
      <w:proofErr w:type="spellStart"/>
      <w:r w:rsidR="00BD6385">
        <w:t>ms</w:t>
      </w:r>
      <w:proofErr w:type="spellEnd"/>
      <w:proofErr w:type="gramStart"/>
      <w:r w:rsidR="00BD6385">
        <w:t>”, and</w:t>
      </w:r>
      <w:proofErr w:type="gramEnd"/>
      <w:r w:rsidR="00BD6385">
        <w:t xml:space="preserve"> needs no </w:t>
      </w:r>
      <w:proofErr w:type="spellStart"/>
      <w:r w:rsidR="00BD6385">
        <w:t>adjusment</w:t>
      </w:r>
      <w:proofErr w:type="spellEnd"/>
      <w:r w:rsidR="00BD6385">
        <w:t xml:space="preserve"> </w:t>
      </w:r>
      <w:r w:rsidR="008B6454">
        <w:t xml:space="preserve"> </w:t>
      </w:r>
      <w:r w:rsidR="008B6454">
        <w:fldChar w:fldCharType="begin"/>
      </w:r>
      <w:r w:rsidR="008B6454">
        <w:instrText xml:space="preserve"> REF _Ref118130224 \r \h </w:instrText>
      </w:r>
      <w:r w:rsidR="008B6454">
        <w:fldChar w:fldCharType="separate"/>
      </w:r>
      <w:r w:rsidR="008B6454">
        <w:t>[9]</w:t>
      </w:r>
      <w:r w:rsidR="008B6454">
        <w:fldChar w:fldCharType="end"/>
      </w:r>
      <w:r w:rsidR="005C5087">
        <w:t xml:space="preserve">. </w:t>
      </w:r>
    </w:p>
    <w:p w14:paraId="571900DE" w14:textId="15D99AD8" w:rsidR="00BD6385" w:rsidRDefault="00BD6385" w:rsidP="00ED6E2A">
      <w:r>
        <w:t xml:space="preserve">For </w:t>
      </w:r>
      <w:proofErr w:type="spellStart"/>
      <w:r>
        <w:t>K</w:t>
      </w:r>
      <w:r w:rsidRPr="00BD6385">
        <w:rPr>
          <w:vertAlign w:val="subscript"/>
        </w:rPr>
        <w:t>mac</w:t>
      </w:r>
      <w:proofErr w:type="spellEnd"/>
      <w:r>
        <w:rPr>
          <w:vertAlign w:val="subscript"/>
        </w:rPr>
        <w:t xml:space="preserve"> </w:t>
      </w:r>
      <w:r>
        <w:t>however, it seems that even though the intention was similar, the description text is not as accurate. This will require an up</w:t>
      </w:r>
      <w:r w:rsidR="00BA2B63">
        <w:t xml:space="preserve">date on the text specification for </w:t>
      </w:r>
      <w:proofErr w:type="spellStart"/>
      <w:r w:rsidR="00BA2B63">
        <w:t>K</w:t>
      </w:r>
      <w:r w:rsidR="00BA2B63" w:rsidRPr="00BD6385">
        <w:rPr>
          <w:vertAlign w:val="subscript"/>
        </w:rPr>
        <w:t>mac</w:t>
      </w:r>
      <w:proofErr w:type="spellEnd"/>
      <w:r w:rsidR="00BA2B63">
        <w:rPr>
          <w:vertAlign w:val="subscript"/>
        </w:rPr>
        <w:t xml:space="preserve"> </w:t>
      </w:r>
      <w:r w:rsidR="00BA2B63">
        <w:t>in TS 38.331.</w:t>
      </w:r>
    </w:p>
    <w:tbl>
      <w:tblPr>
        <w:tblStyle w:val="TableGrid"/>
        <w:tblW w:w="0" w:type="auto"/>
        <w:tblLook w:val="04A0" w:firstRow="1" w:lastRow="0" w:firstColumn="1" w:lastColumn="0" w:noHBand="0" w:noVBand="1"/>
      </w:tblPr>
      <w:tblGrid>
        <w:gridCol w:w="9617"/>
      </w:tblGrid>
      <w:tr w:rsidR="005C4EFC" w14:paraId="6CFBAA84" w14:textId="77777777" w:rsidTr="005C4EFC">
        <w:tc>
          <w:tcPr>
            <w:tcW w:w="9617" w:type="dxa"/>
          </w:tcPr>
          <w:p w14:paraId="4F3E458E" w14:textId="77777777" w:rsidR="00C41A02" w:rsidRDefault="00C41A02" w:rsidP="00C41A02">
            <w:pPr>
              <w:pStyle w:val="TAL"/>
              <w:rPr>
                <w:b/>
                <w:bCs/>
                <w:i/>
                <w:iCs/>
              </w:rPr>
            </w:pPr>
            <w:proofErr w:type="spellStart"/>
            <w:r>
              <w:rPr>
                <w:b/>
                <w:bCs/>
                <w:i/>
                <w:iCs/>
              </w:rPr>
              <w:t>kmac</w:t>
            </w:r>
            <w:proofErr w:type="spellEnd"/>
          </w:p>
          <w:p w14:paraId="22FF4682" w14:textId="77777777" w:rsidR="00C41A02" w:rsidRDefault="00C41A02" w:rsidP="00C41A02">
            <w:pPr>
              <w:pStyle w:val="TAL"/>
              <w:rPr>
                <w:lang w:eastAsia="sv-SE"/>
              </w:rPr>
            </w:pPr>
            <w:r>
              <w:rPr>
                <w:lang w:eastAsia="sv-SE"/>
              </w:rPr>
              <w:t xml:space="preserve">Scheduling offset provided by network if downlink and uplink frame timing are not aligned at </w:t>
            </w:r>
            <w:proofErr w:type="spellStart"/>
            <w:r>
              <w:rPr>
                <w:lang w:eastAsia="sv-SE"/>
              </w:rPr>
              <w:t>gNB</w:t>
            </w:r>
            <w:proofErr w:type="spellEnd"/>
            <w:r>
              <w:rPr>
                <w:lang w:eastAsia="sv-SE"/>
              </w:rPr>
              <w:t xml:space="preserve">. It is needed for UE action and assumption on downlink configuration indicated by a MAC CE command in PDSCH (see TS 38.213 [13]). If the field is absent </w:t>
            </w:r>
            <w:r>
              <w:rPr>
                <w:rFonts w:eastAsia="DengXian"/>
                <w:lang w:eastAsia="zh-CN"/>
              </w:rPr>
              <w:t>UE assumes value 0.</w:t>
            </w:r>
          </w:p>
          <w:p w14:paraId="7FF173FD" w14:textId="3640AE9C" w:rsidR="005C4EFC" w:rsidRDefault="00C41A02" w:rsidP="00C41A02">
            <w:r>
              <w:rPr>
                <w:lang w:eastAsia="sv-SE"/>
              </w:rPr>
              <w:t xml:space="preserve">For the reference subcarrier spacing value for the unit of </w:t>
            </w:r>
            <w:proofErr w:type="spellStart"/>
            <w:r>
              <w:rPr>
                <w:lang w:eastAsia="sv-SE"/>
              </w:rPr>
              <w:t>K_mac</w:t>
            </w:r>
            <w:proofErr w:type="spellEnd"/>
            <w:r>
              <w:rPr>
                <w:lang w:eastAsia="sv-SE"/>
              </w:rPr>
              <w:t xml:space="preserve"> in FR1, a value of 15 kHz is used. The unit of </w:t>
            </w:r>
            <w:proofErr w:type="spellStart"/>
            <w:r>
              <w:rPr>
                <w:lang w:eastAsia="sv-SE"/>
              </w:rPr>
              <w:t>K_mac</w:t>
            </w:r>
            <w:proofErr w:type="spellEnd"/>
            <w:r>
              <w:rPr>
                <w:lang w:eastAsia="sv-SE"/>
              </w:rPr>
              <w:t xml:space="preserve"> is number of slots for a given subcarrier spacing.</w:t>
            </w:r>
          </w:p>
        </w:tc>
      </w:tr>
    </w:tbl>
    <w:p w14:paraId="01765B49" w14:textId="77777777" w:rsidR="005C4EFC" w:rsidRPr="00BA2B63" w:rsidRDefault="005C4EFC" w:rsidP="00ED6E2A"/>
    <w:p w14:paraId="4AFC33E5" w14:textId="5838FE3C" w:rsidR="00E437D2" w:rsidRPr="00105F99" w:rsidRDefault="00AF5727" w:rsidP="00105F99">
      <w:pPr>
        <w:pStyle w:val="RAN4observation0"/>
      </w:pPr>
      <w:bookmarkStart w:id="34" w:name="_Toc116994711"/>
      <w:bookmarkStart w:id="35" w:name="_Toc116994824"/>
      <w:bookmarkStart w:id="36" w:name="_Toc116994896"/>
      <w:bookmarkStart w:id="37" w:name="_Toc116994910"/>
      <w:bookmarkStart w:id="38" w:name="_Toc116995099"/>
      <w:bookmarkStart w:id="39" w:name="_Toc116995142"/>
      <w:bookmarkStart w:id="40" w:name="_Toc116995898"/>
      <w:bookmarkStart w:id="41" w:name="_Toc116995944"/>
      <w:bookmarkStart w:id="42" w:name="_Toc116996073"/>
      <w:bookmarkStart w:id="43" w:name="_Toc116996132"/>
      <w:bookmarkStart w:id="44" w:name="_Toc116996432"/>
      <w:bookmarkStart w:id="45" w:name="_Toc116996753"/>
      <w:bookmarkStart w:id="46" w:name="_Toc116997066"/>
      <w:bookmarkStart w:id="47" w:name="_Toc132023830"/>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roofErr w:type="spellStart"/>
      <w:r w:rsidRPr="00105F99">
        <w:t>Koffset</w:t>
      </w:r>
      <w:proofErr w:type="spellEnd"/>
      <w:r w:rsidRPr="00105F99">
        <w:t xml:space="preserve"> </w:t>
      </w:r>
      <w:bookmarkEnd w:id="34"/>
      <w:bookmarkEnd w:id="35"/>
      <w:bookmarkEnd w:id="36"/>
      <w:bookmarkEnd w:id="37"/>
      <w:bookmarkEnd w:id="38"/>
      <w:bookmarkEnd w:id="39"/>
      <w:bookmarkEnd w:id="40"/>
      <w:bookmarkEnd w:id="41"/>
      <w:bookmarkEnd w:id="42"/>
      <w:bookmarkEnd w:id="43"/>
      <w:bookmarkEnd w:id="44"/>
      <w:bookmarkEnd w:id="45"/>
      <w:bookmarkEnd w:id="46"/>
      <w:r w:rsidR="001B7E3D" w:rsidRPr="00105F99">
        <w:t xml:space="preserve">can support larger SCS. </w:t>
      </w:r>
      <w:proofErr w:type="spellStart"/>
      <w:r w:rsidR="00C41A02" w:rsidRPr="00105F99">
        <w:t>Kmac</w:t>
      </w:r>
      <w:proofErr w:type="spellEnd"/>
      <w:r w:rsidR="00C41A02" w:rsidRPr="00105F99">
        <w:t xml:space="preserve"> will require RAN2 specification update to support the range for </w:t>
      </w:r>
      <w:proofErr w:type="spellStart"/>
      <w:r w:rsidR="00C41A02" w:rsidRPr="00105F99">
        <w:t>K</w:t>
      </w:r>
      <w:r w:rsidR="00105F99" w:rsidRPr="00105F99">
        <w:rPr>
          <w:vertAlign w:val="subscript"/>
        </w:rPr>
        <w:t>mac</w:t>
      </w:r>
      <w:proofErr w:type="spellEnd"/>
      <w:r w:rsidR="00105F99" w:rsidRPr="00105F99">
        <w:t>.</w:t>
      </w:r>
      <w:bookmarkEnd w:id="47"/>
      <w:r w:rsidR="00105F99" w:rsidRPr="00105F99">
        <w:t xml:space="preserve"> </w:t>
      </w:r>
    </w:p>
    <w:p w14:paraId="2AE23DFC" w14:textId="4B513079" w:rsidR="00105F99" w:rsidRDefault="00105F99" w:rsidP="00105F99">
      <w:pPr>
        <w:pStyle w:val="RAN4proposal"/>
      </w:pPr>
      <w:bookmarkStart w:id="48" w:name="_Toc132023831"/>
      <w:r>
        <w:t xml:space="preserve">When RAN4 reaches a definition on the choice of SCS for the operation in NTN Ka-Band, RAN4 shall request RAN2 to update the definition of  </w:t>
      </w:r>
      <w:proofErr w:type="spellStart"/>
      <w:r>
        <w:t>kmac</w:t>
      </w:r>
      <w:proofErr w:type="spellEnd"/>
      <w:r>
        <w:t>.</w:t>
      </w:r>
      <w:bookmarkEnd w:id="48"/>
      <w:r>
        <w:t xml:space="preserve"> </w:t>
      </w:r>
    </w:p>
    <w:p w14:paraId="515594AA" w14:textId="77777777" w:rsidR="00105F99" w:rsidRPr="00105F99" w:rsidRDefault="00105F99" w:rsidP="00105F99">
      <w:pPr>
        <w:pStyle w:val="RAN4proposal"/>
        <w:numPr>
          <w:ilvl w:val="0"/>
          <w:numId w:val="0"/>
        </w:numPr>
        <w:rPr>
          <w:lang w:val="en-GB"/>
        </w:rPr>
      </w:pPr>
    </w:p>
    <w:p w14:paraId="0D5B8566" w14:textId="2C0E8632" w:rsidR="001B7E3D" w:rsidRDefault="008E2700" w:rsidP="001B7E3D">
      <w:pPr>
        <w:pStyle w:val="RAN4H2"/>
      </w:pPr>
      <w:r>
        <w:t xml:space="preserve">Beam </w:t>
      </w:r>
      <w:r w:rsidR="005B31CD">
        <w:t>Sweeping /Beam Correspondence</w:t>
      </w:r>
    </w:p>
    <w:p w14:paraId="00827D14" w14:textId="72C1078C" w:rsidR="00E27511" w:rsidRDefault="00E27511" w:rsidP="00E27511">
      <w:pPr>
        <w:rPr>
          <w:lang w:val="en-GB"/>
        </w:rPr>
      </w:pPr>
      <w:r>
        <w:rPr>
          <w:lang w:val="en-GB"/>
        </w:rPr>
        <w:t>If the NTN requirements in the operation above 10 GHz (</w:t>
      </w:r>
      <w:r w:rsidR="00484ED4">
        <w:rPr>
          <w:lang w:val="en-GB"/>
        </w:rPr>
        <w:t>FR2-NTN</w:t>
      </w:r>
      <w:r>
        <w:rPr>
          <w:lang w:val="en-GB"/>
        </w:rPr>
        <w:t xml:space="preserve">) are to be designed considering a similar deployment case than that observed for FR2, it will be necessary to design requirements for </w:t>
      </w:r>
      <w:r w:rsidR="00C1194C">
        <w:rPr>
          <w:lang w:val="en-GB"/>
        </w:rPr>
        <w:t xml:space="preserve">inter-band mobility, as previously done for FR1-FR2 mobility in TN. </w:t>
      </w:r>
    </w:p>
    <w:p w14:paraId="57FB5788" w14:textId="54D9175A" w:rsidR="00C1194C" w:rsidRPr="00C725A8" w:rsidRDefault="00C1194C" w:rsidP="00C1194C">
      <w:pPr>
        <w:pStyle w:val="RAN4proposal"/>
        <w:rPr>
          <w:lang w:val="en-GB"/>
        </w:rPr>
      </w:pPr>
      <w:bookmarkStart w:id="49" w:name="_Toc132023832"/>
      <w:r>
        <w:rPr>
          <w:lang w:val="en-GB"/>
        </w:rPr>
        <w:t>If SCS to be used in NTN operation in Ka-Band</w:t>
      </w:r>
      <w:r w:rsidR="00B176DB">
        <w:rPr>
          <w:lang w:val="en-GB"/>
        </w:rPr>
        <w:t xml:space="preserve"> (</w:t>
      </w:r>
      <w:r w:rsidR="00484ED4">
        <w:rPr>
          <w:lang w:val="en-GB"/>
        </w:rPr>
        <w:t>FR2-NTN</w:t>
      </w:r>
      <w:r w:rsidR="00B176DB">
        <w:rPr>
          <w:lang w:val="en-GB"/>
        </w:rPr>
        <w:t xml:space="preserve">) </w:t>
      </w:r>
      <w:r>
        <w:rPr>
          <w:lang w:val="en-GB"/>
        </w:rPr>
        <w:t xml:space="preserve"> is set to 60 kHz and 120 kHz, </w:t>
      </w:r>
      <w:r w:rsidR="00B176DB">
        <w:rPr>
          <w:lang w:val="en-GB"/>
        </w:rPr>
        <w:t>RAN4 to design requirements for inter-band mobility operation in NTN.</w:t>
      </w:r>
      <w:bookmarkEnd w:id="49"/>
      <w:r w:rsidR="00B176DB">
        <w:rPr>
          <w:lang w:val="en-GB"/>
        </w:rPr>
        <w:t xml:space="preserve"> </w:t>
      </w:r>
    </w:p>
    <w:p w14:paraId="59A53D70" w14:textId="52064B1D" w:rsidR="00827E52" w:rsidRDefault="00D04DD5" w:rsidP="00827E52">
      <w:r>
        <w:t>There was an inconclusive discussion</w:t>
      </w:r>
      <w:r w:rsidR="005B31CD">
        <w:t xml:space="preserve"> for system parameters for the NTN operation above 10 GHz, </w:t>
      </w:r>
      <w:r w:rsidR="00FE6AF7">
        <w:t>in RAN4 #106</w:t>
      </w:r>
      <w:r w:rsidR="009D4CAD">
        <w:t xml:space="preserve">, </w:t>
      </w:r>
      <w:r>
        <w:t>regarding</w:t>
      </w:r>
      <w:r w:rsidR="009D4CAD">
        <w:t xml:space="preserve"> the </w:t>
      </w:r>
      <w:r>
        <w:t xml:space="preserve">UE power class to be considered. Some companies have argued in favor of adopting the ESIM category, </w:t>
      </w:r>
      <w:r>
        <w:lastRenderedPageBreak/>
        <w:t>where</w:t>
      </w:r>
      <w:r w:rsidR="0098524E">
        <w:t>as others discussed whether it represented a category different of VSAT, or if multiple categories had to be defined</w:t>
      </w:r>
      <w:r w:rsidR="00827E52">
        <w:t xml:space="preserve"> [</w:t>
      </w:r>
      <w:proofErr w:type="spellStart"/>
      <w:r w:rsidR="00827E52">
        <w:t>eom</w:t>
      </w:r>
      <w:proofErr w:type="spellEnd"/>
      <w:r w:rsidR="00827E52">
        <w:t xml:space="preserve"> minutes]</w:t>
      </w:r>
      <w:r w:rsidR="0098524E">
        <w:t xml:space="preserve">. </w:t>
      </w:r>
      <w:r w:rsidR="00827E52">
        <w:t xml:space="preserve">Besides, it was also agreed to discuss whether and how to define beam tracking requirements for NTN UE </w:t>
      </w:r>
      <w:r w:rsidR="00E90379">
        <w:fldChar w:fldCharType="begin"/>
      </w:r>
      <w:r w:rsidR="00E90379">
        <w:instrText xml:space="preserve"> REF _Ref130304236 \r \h </w:instrText>
      </w:r>
      <w:r w:rsidR="00E90379">
        <w:fldChar w:fldCharType="separate"/>
      </w:r>
      <w:r w:rsidR="00E90379">
        <w:t>[10]</w:t>
      </w:r>
      <w:r w:rsidR="00E90379">
        <w:fldChar w:fldCharType="end"/>
      </w:r>
      <w:r w:rsidR="00E90379">
        <w:t>.</w:t>
      </w:r>
    </w:p>
    <w:p w14:paraId="57CFC0E9" w14:textId="3332CE9A" w:rsidR="0098524E" w:rsidRDefault="0098524E" w:rsidP="001B7E3D"/>
    <w:p w14:paraId="0DF53FA7" w14:textId="5C52533A" w:rsidR="00095519" w:rsidRDefault="0098524E" w:rsidP="001B7E3D">
      <w:r>
        <w:t xml:space="preserve">From RRM point of view, the UE power class and its capabilities are important to define mobility requirements </w:t>
      </w:r>
      <w:r w:rsidR="006C19D3">
        <w:t xml:space="preserve">(beam sweeping). </w:t>
      </w:r>
      <w:r w:rsidR="00E90379">
        <w:t xml:space="preserve">In </w:t>
      </w:r>
      <w:r w:rsidR="006C19D3">
        <w:t xml:space="preserve"> TS 38.133</w:t>
      </w:r>
      <w:r w:rsidR="00E90379">
        <w:t xml:space="preserve"> </w:t>
      </w:r>
      <w:r w:rsidR="00E90379">
        <w:fldChar w:fldCharType="begin"/>
      </w:r>
      <w:r w:rsidR="00E90379">
        <w:instrText xml:space="preserve"> REF _Ref118130196 \r \h </w:instrText>
      </w:r>
      <w:r w:rsidR="00E90379">
        <w:fldChar w:fldCharType="separate"/>
      </w:r>
      <w:r w:rsidR="00E90379">
        <w:t>[3]</w:t>
      </w:r>
      <w:r w:rsidR="00E90379">
        <w:fldChar w:fldCharType="end"/>
      </w:r>
      <w:r w:rsidR="006C19D3">
        <w:t xml:space="preserve">, the </w:t>
      </w:r>
      <w:r w:rsidR="00095519">
        <w:t>mobility</w:t>
      </w:r>
      <w:r w:rsidR="006C19D3">
        <w:t xml:space="preserve"> requirements </w:t>
      </w:r>
      <w:r w:rsidR="00095519">
        <w:t>are designed considering:</w:t>
      </w:r>
    </w:p>
    <w:p w14:paraId="279741E4" w14:textId="4995E809" w:rsidR="0098524E" w:rsidRDefault="00095519" w:rsidP="00095519">
      <w:pPr>
        <w:pStyle w:val="ListParagraph"/>
        <w:numPr>
          <w:ilvl w:val="0"/>
          <w:numId w:val="35"/>
        </w:numPr>
      </w:pPr>
      <w:r>
        <w:t>Omni-directional reception at the UE in FR1</w:t>
      </w:r>
    </w:p>
    <w:p w14:paraId="1E1446A3" w14:textId="5474DB58" w:rsidR="00051C57" w:rsidRDefault="00051C57" w:rsidP="00051C57">
      <w:pPr>
        <w:pStyle w:val="ListParagraph"/>
        <w:numPr>
          <w:ilvl w:val="0"/>
          <w:numId w:val="35"/>
        </w:numPr>
      </w:pPr>
      <w:r>
        <w:t xml:space="preserve">Beam-sweeping scaling factor, which varies with the UE power class in FR2. </w:t>
      </w:r>
    </w:p>
    <w:p w14:paraId="489B6AC3" w14:textId="57CA6DE6" w:rsidR="001B7E3D" w:rsidRDefault="00C56F93" w:rsidP="005C23A4">
      <w:r>
        <w:t>Example from Table 4.2.2.3-1, from TS 38.133</w:t>
      </w:r>
      <w:r w:rsidR="003917A2">
        <w:t>, for intra-frequency mobility in RRC_IDLE</w:t>
      </w:r>
      <w:r w:rsidR="009F0510">
        <w:t xml:space="preserve"> (highlights are our own)</w:t>
      </w:r>
      <w:r w:rsidR="00E90379">
        <w:t>:</w:t>
      </w:r>
      <w:r w:rsidR="003917A2">
        <w:t xml:space="preserve"> </w:t>
      </w:r>
    </w:p>
    <w:p w14:paraId="68D25F7E" w14:textId="77777777" w:rsidR="009F0510" w:rsidRDefault="009F0510" w:rsidP="009F0510">
      <w:pPr>
        <w:pStyle w:val="TH"/>
        <w:rPr>
          <w:lang w:val="en-US"/>
        </w:rPr>
      </w:pPr>
      <w:r>
        <w:rPr>
          <w:lang w:val="en-US"/>
        </w:rPr>
        <w:t xml:space="preserve">Table 4.2.2.3-1: </w:t>
      </w:r>
      <w:proofErr w:type="spellStart"/>
      <w:r>
        <w:rPr>
          <w:lang w:val="en-US"/>
        </w:rPr>
        <w:t>T</w:t>
      </w:r>
      <w:r>
        <w:rPr>
          <w:vertAlign w:val="subscript"/>
          <w:lang w:val="en-US"/>
        </w:rPr>
        <w:t>detect,NR_Intra</w:t>
      </w:r>
      <w:proofErr w:type="spellEnd"/>
      <w:r>
        <w:rPr>
          <w:vertAlign w:val="subscript"/>
          <w:lang w:val="en-US"/>
        </w:rPr>
        <w:t>,</w:t>
      </w:r>
      <w:r>
        <w:rPr>
          <w:lang w:val="en-US"/>
        </w:rPr>
        <w:t xml:space="preserve"> </w:t>
      </w:r>
      <w:proofErr w:type="spellStart"/>
      <w:r>
        <w:rPr>
          <w:lang w:val="en-US"/>
        </w:rPr>
        <w:t>T</w:t>
      </w:r>
      <w:r>
        <w:rPr>
          <w:vertAlign w:val="subscript"/>
          <w:lang w:val="en-US"/>
        </w:rPr>
        <w:t>measure,NR_Intra</w:t>
      </w:r>
      <w:proofErr w:type="spellEnd"/>
      <w:r>
        <w:rPr>
          <w:lang w:val="en-US"/>
        </w:rPr>
        <w:t xml:space="preserve"> and </w:t>
      </w:r>
      <w:proofErr w:type="spellStart"/>
      <w:r>
        <w:rPr>
          <w:lang w:val="en-US"/>
        </w:rPr>
        <w:t>T</w:t>
      </w:r>
      <w:r>
        <w:rPr>
          <w:vertAlign w:val="subscript"/>
          <w:lang w:val="en-US"/>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576"/>
        <w:gridCol w:w="1915"/>
        <w:gridCol w:w="1868"/>
        <w:gridCol w:w="1397"/>
        <w:gridCol w:w="1542"/>
        <w:gridCol w:w="1465"/>
      </w:tblGrid>
      <w:tr w:rsidR="009F0510" w14:paraId="58A559C0" w14:textId="77777777" w:rsidTr="009F0510">
        <w:trPr>
          <w:cantSplit/>
          <w:trHeight w:val="308"/>
          <w:jc w:val="center"/>
        </w:trPr>
        <w:tc>
          <w:tcPr>
            <w:tcW w:w="0" w:type="auto"/>
            <w:tcBorders>
              <w:top w:val="single" w:sz="4" w:space="0" w:color="auto"/>
              <w:left w:val="single" w:sz="4" w:space="0" w:color="auto"/>
              <w:bottom w:val="nil"/>
              <w:right w:val="single" w:sz="4" w:space="0" w:color="auto"/>
            </w:tcBorders>
            <w:hideMark/>
          </w:tcPr>
          <w:p w14:paraId="69A64B6C" w14:textId="77777777" w:rsidR="009F0510" w:rsidRDefault="009F0510">
            <w:pPr>
              <w:pStyle w:val="TAH"/>
            </w:pPr>
            <w: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2BA86898" w14:textId="77777777" w:rsidR="009F0510" w:rsidRDefault="009F0510">
            <w:pPr>
              <w:pStyle w:val="TAH"/>
            </w:pPr>
            <w:r>
              <w:t>Scaling Factor (N1)</w:t>
            </w:r>
          </w:p>
        </w:tc>
        <w:tc>
          <w:tcPr>
            <w:tcW w:w="0" w:type="auto"/>
            <w:tcBorders>
              <w:top w:val="single" w:sz="4" w:space="0" w:color="auto"/>
              <w:left w:val="single" w:sz="4" w:space="0" w:color="auto"/>
              <w:bottom w:val="nil"/>
              <w:right w:val="single" w:sz="4" w:space="0" w:color="auto"/>
            </w:tcBorders>
            <w:hideMark/>
          </w:tcPr>
          <w:p w14:paraId="76C15A72" w14:textId="77777777" w:rsidR="009F0510" w:rsidRDefault="009F0510">
            <w:pPr>
              <w:pStyle w:val="TAH"/>
            </w:pPr>
            <w:proofErr w:type="spellStart"/>
            <w:r>
              <w:t>T</w:t>
            </w:r>
            <w:r>
              <w:rPr>
                <w:vertAlign w:val="subscript"/>
              </w:rPr>
              <w:t>detect,NR_Intra</w:t>
            </w:r>
            <w:proofErr w:type="spellEnd"/>
            <w:r>
              <w:t xml:space="preserve"> [s] (number of DRX cycles)</w:t>
            </w:r>
          </w:p>
        </w:tc>
        <w:tc>
          <w:tcPr>
            <w:tcW w:w="0" w:type="auto"/>
            <w:tcBorders>
              <w:top w:val="single" w:sz="4" w:space="0" w:color="auto"/>
              <w:left w:val="single" w:sz="4" w:space="0" w:color="auto"/>
              <w:bottom w:val="nil"/>
              <w:right w:val="single" w:sz="4" w:space="0" w:color="auto"/>
            </w:tcBorders>
            <w:hideMark/>
          </w:tcPr>
          <w:p w14:paraId="72B7AF56" w14:textId="77777777" w:rsidR="009F0510" w:rsidRDefault="009F0510">
            <w:pPr>
              <w:pStyle w:val="TAH"/>
            </w:pPr>
            <w:proofErr w:type="spellStart"/>
            <w:r>
              <w:t>T</w:t>
            </w:r>
            <w:r>
              <w:rPr>
                <w:vertAlign w:val="subscript"/>
              </w:rPr>
              <w:t>measure,NR_Intra</w:t>
            </w:r>
            <w:proofErr w:type="spellEnd"/>
            <w:r>
              <w:t xml:space="preserve"> [s] (number of DRX cycles)</w:t>
            </w:r>
          </w:p>
        </w:tc>
        <w:tc>
          <w:tcPr>
            <w:tcW w:w="0" w:type="auto"/>
            <w:tcBorders>
              <w:top w:val="single" w:sz="4" w:space="0" w:color="auto"/>
              <w:left w:val="single" w:sz="4" w:space="0" w:color="auto"/>
              <w:bottom w:val="nil"/>
              <w:right w:val="single" w:sz="4" w:space="0" w:color="auto"/>
            </w:tcBorders>
            <w:hideMark/>
          </w:tcPr>
          <w:p w14:paraId="0BCE740D" w14:textId="77777777" w:rsidR="009F0510" w:rsidRDefault="009F0510">
            <w:pPr>
              <w:pStyle w:val="TAH"/>
              <w:rPr>
                <w:vertAlign w:val="subscript"/>
              </w:rPr>
            </w:pPr>
            <w:proofErr w:type="spellStart"/>
            <w:r>
              <w:t>T</w:t>
            </w:r>
            <w:r>
              <w:rPr>
                <w:vertAlign w:val="subscript"/>
              </w:rPr>
              <w:t>evaluate,NR_</w:t>
            </w:r>
            <w:r>
              <w:rPr>
                <w:rFonts w:cs="v4.2.0"/>
                <w:vertAlign w:val="subscript"/>
              </w:rPr>
              <w:t>Intra</w:t>
            </w:r>
            <w:proofErr w:type="spellEnd"/>
          </w:p>
          <w:p w14:paraId="0A46C94E" w14:textId="77777777" w:rsidR="009F0510" w:rsidRDefault="009F0510">
            <w:pPr>
              <w:pStyle w:val="TAH"/>
            </w:pPr>
            <w:r>
              <w:t>[s] (number of DRX cycles)</w:t>
            </w:r>
          </w:p>
        </w:tc>
      </w:tr>
      <w:tr w:rsidR="009F0510" w14:paraId="3DE0C1E0" w14:textId="77777777" w:rsidTr="009F0510">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A70FF3A" w14:textId="77777777" w:rsidR="009F0510" w:rsidRDefault="009F0510"/>
        </w:tc>
        <w:tc>
          <w:tcPr>
            <w:tcW w:w="0" w:type="auto"/>
            <w:tcBorders>
              <w:top w:val="single" w:sz="4" w:space="0" w:color="auto"/>
              <w:left w:val="single" w:sz="4" w:space="0" w:color="auto"/>
              <w:bottom w:val="single" w:sz="4" w:space="0" w:color="auto"/>
              <w:right w:val="single" w:sz="4" w:space="0" w:color="auto"/>
            </w:tcBorders>
            <w:hideMark/>
          </w:tcPr>
          <w:p w14:paraId="3BFC442A" w14:textId="77777777" w:rsidR="009F0510" w:rsidRDefault="009F0510">
            <w:pPr>
              <w:pStyle w:val="TAH"/>
              <w:rPr>
                <w:rFonts w:eastAsiaTheme="minorHAnsi" w:cstheme="minorBidi"/>
                <w:szCs w:val="22"/>
                <w:lang w:eastAsia="en-US"/>
              </w:rPr>
            </w:pPr>
            <w:r>
              <w:t>FR1</w:t>
            </w:r>
          </w:p>
        </w:tc>
        <w:tc>
          <w:tcPr>
            <w:tcW w:w="854" w:type="dxa"/>
            <w:tcBorders>
              <w:top w:val="single" w:sz="4" w:space="0" w:color="auto"/>
              <w:left w:val="single" w:sz="4" w:space="0" w:color="auto"/>
              <w:bottom w:val="single" w:sz="4" w:space="0" w:color="auto"/>
              <w:right w:val="single" w:sz="4" w:space="0" w:color="auto"/>
            </w:tcBorders>
            <w:hideMark/>
          </w:tcPr>
          <w:p w14:paraId="57CFCEE8" w14:textId="77777777" w:rsidR="009F0510" w:rsidRDefault="009F0510">
            <w:pPr>
              <w:pStyle w:val="TAH"/>
              <w:rPr>
                <w:vertAlign w:val="superscript"/>
              </w:rPr>
            </w:pPr>
            <w:r>
              <w:t>FR2-1</w:t>
            </w:r>
            <w:r w:rsidRPr="009F0510">
              <w:rPr>
                <w:highlight w:val="cyan"/>
                <w:vertAlign w:val="superscript"/>
              </w:rPr>
              <w:t>Note1</w:t>
            </w:r>
          </w:p>
        </w:tc>
        <w:tc>
          <w:tcPr>
            <w:tcW w:w="833" w:type="dxa"/>
            <w:tcBorders>
              <w:top w:val="single" w:sz="4" w:space="0" w:color="auto"/>
              <w:left w:val="single" w:sz="4" w:space="0" w:color="auto"/>
              <w:bottom w:val="single" w:sz="4" w:space="0" w:color="auto"/>
              <w:right w:val="single" w:sz="4" w:space="0" w:color="auto"/>
            </w:tcBorders>
            <w:hideMark/>
          </w:tcPr>
          <w:p w14:paraId="5A417757" w14:textId="77777777" w:rsidR="009F0510" w:rsidRDefault="009F0510">
            <w:pPr>
              <w:pStyle w:val="TAH"/>
              <w:rPr>
                <w:vertAlign w:val="superscript"/>
              </w:rPr>
            </w:pPr>
            <w:r>
              <w:rPr>
                <w:lang w:eastAsia="zh-CN"/>
              </w:rPr>
              <w:t>FR2-2</w:t>
            </w:r>
            <w:r>
              <w:rPr>
                <w:vertAlign w:val="superscript"/>
              </w:rPr>
              <w:t xml:space="preserve"> Note2</w:t>
            </w:r>
          </w:p>
        </w:tc>
        <w:tc>
          <w:tcPr>
            <w:tcW w:w="0" w:type="auto"/>
            <w:tcBorders>
              <w:top w:val="nil"/>
              <w:left w:val="single" w:sz="4" w:space="0" w:color="auto"/>
              <w:bottom w:val="single" w:sz="4" w:space="0" w:color="auto"/>
              <w:right w:val="single" w:sz="4" w:space="0" w:color="auto"/>
            </w:tcBorders>
            <w:vAlign w:val="center"/>
            <w:hideMark/>
          </w:tcPr>
          <w:p w14:paraId="1C8C3560" w14:textId="77777777" w:rsidR="009F0510" w:rsidRDefault="009F0510">
            <w:pPr>
              <w:rPr>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49E86583" w14:textId="77777777" w:rsidR="009F0510" w:rsidRDefault="009F0510">
            <w:pPr>
              <w:spacing w:after="0" w:line="240" w:lineRule="auto"/>
              <w:rPr>
                <w:rFonts w:eastAsia="SimSun" w:cs="Times New Roman"/>
                <w:szCs w:val="20"/>
                <w:lang w:eastAsia="en-GB"/>
              </w:rPr>
            </w:pPr>
          </w:p>
        </w:tc>
        <w:tc>
          <w:tcPr>
            <w:tcW w:w="0" w:type="auto"/>
            <w:tcBorders>
              <w:top w:val="nil"/>
              <w:left w:val="single" w:sz="4" w:space="0" w:color="auto"/>
              <w:bottom w:val="single" w:sz="4" w:space="0" w:color="auto"/>
              <w:right w:val="single" w:sz="4" w:space="0" w:color="auto"/>
            </w:tcBorders>
            <w:vAlign w:val="center"/>
            <w:hideMark/>
          </w:tcPr>
          <w:p w14:paraId="738B30EC" w14:textId="77777777" w:rsidR="009F0510" w:rsidRDefault="009F0510">
            <w:pPr>
              <w:spacing w:after="0" w:line="240" w:lineRule="auto"/>
              <w:rPr>
                <w:rFonts w:eastAsia="SimSun" w:cs="Times New Roman"/>
                <w:szCs w:val="20"/>
                <w:lang w:eastAsia="en-GB"/>
              </w:rPr>
            </w:pPr>
          </w:p>
        </w:tc>
      </w:tr>
      <w:tr w:rsidR="009F0510" w14:paraId="09B6C2FB" w14:textId="77777777" w:rsidTr="009F0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7A76D4" w14:textId="77777777" w:rsidR="009F0510" w:rsidRDefault="009F0510">
            <w:pPr>
              <w:pStyle w:val="TAC"/>
              <w:rPr>
                <w:rFonts w:eastAsiaTheme="minorHAnsi" w:cstheme="minorBidi"/>
                <w:szCs w:val="22"/>
                <w:lang w:eastAsia="en-US"/>
              </w:rPr>
            </w:pPr>
            <w:r>
              <w:t>0.32</w:t>
            </w:r>
          </w:p>
        </w:tc>
        <w:tc>
          <w:tcPr>
            <w:tcW w:w="0" w:type="auto"/>
            <w:tcBorders>
              <w:top w:val="single" w:sz="4" w:space="0" w:color="auto"/>
              <w:left w:val="single" w:sz="4" w:space="0" w:color="auto"/>
              <w:bottom w:val="nil"/>
              <w:right w:val="single" w:sz="4" w:space="0" w:color="auto"/>
            </w:tcBorders>
            <w:vAlign w:val="center"/>
            <w:hideMark/>
          </w:tcPr>
          <w:p w14:paraId="5F2D95A8" w14:textId="77777777" w:rsidR="009F0510" w:rsidRDefault="009F0510">
            <w:pPr>
              <w:pStyle w:val="TAC"/>
            </w:pPr>
            <w:r w:rsidRPr="009F0510">
              <w:rPr>
                <w:highlight w:val="yellow"/>
              </w:rPr>
              <w:t>1</w:t>
            </w:r>
          </w:p>
        </w:tc>
        <w:tc>
          <w:tcPr>
            <w:tcW w:w="854" w:type="dxa"/>
            <w:tcBorders>
              <w:top w:val="single" w:sz="4" w:space="0" w:color="auto"/>
              <w:left w:val="single" w:sz="4" w:space="0" w:color="auto"/>
              <w:bottom w:val="single" w:sz="4" w:space="0" w:color="auto"/>
              <w:right w:val="single" w:sz="4" w:space="0" w:color="auto"/>
            </w:tcBorders>
            <w:hideMark/>
          </w:tcPr>
          <w:p w14:paraId="72D32492" w14:textId="77777777" w:rsidR="009F0510" w:rsidRPr="009F0510" w:rsidRDefault="009F0510">
            <w:pPr>
              <w:pStyle w:val="TAC"/>
              <w:rPr>
                <w:highlight w:val="yellow"/>
              </w:rPr>
            </w:pPr>
            <w:r w:rsidRPr="009F0510">
              <w:rPr>
                <w:highlight w:val="yellow"/>
              </w:rPr>
              <w:t>8</w:t>
            </w:r>
          </w:p>
        </w:tc>
        <w:tc>
          <w:tcPr>
            <w:tcW w:w="833" w:type="dxa"/>
            <w:tcBorders>
              <w:top w:val="single" w:sz="4" w:space="0" w:color="auto"/>
              <w:left w:val="single" w:sz="4" w:space="0" w:color="auto"/>
              <w:bottom w:val="single" w:sz="4" w:space="0" w:color="auto"/>
              <w:right w:val="single" w:sz="4" w:space="0" w:color="auto"/>
            </w:tcBorders>
            <w:hideMark/>
          </w:tcPr>
          <w:p w14:paraId="292EED60" w14:textId="77777777" w:rsidR="009F0510" w:rsidRDefault="009F0510">
            <w:pPr>
              <w:pStyle w:val="TAC"/>
              <w:rPr>
                <w:szCs w:val="18"/>
              </w:rPr>
            </w:pPr>
            <w:r>
              <w:rPr>
                <w:rFonts w:cs="Arial"/>
                <w:szCs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08554AEE" w14:textId="77777777" w:rsidR="009F0510" w:rsidRDefault="009F0510">
            <w:pPr>
              <w:pStyle w:val="TAC"/>
              <w:rPr>
                <w:szCs w:val="22"/>
              </w:rPr>
            </w:pPr>
            <w:r>
              <w:t xml:space="preserve">11.52 x N1 </w:t>
            </w:r>
            <w:r>
              <w:rPr>
                <w:rFonts w:cs="Arial"/>
                <w:lang w:eastAsia="zh-CN"/>
              </w:rPr>
              <w:t xml:space="preserve">x M2 </w:t>
            </w:r>
            <w:r>
              <w:t>(36 x N1</w:t>
            </w:r>
            <w:r>
              <w:rPr>
                <w:rFonts w:cs="Arial"/>
                <w:lang w:eastAsia="zh-CN"/>
              </w:rPr>
              <w:t xml:space="preserve"> x M2</w:t>
            </w:r>
            <w:r>
              <w:t>)</w:t>
            </w:r>
          </w:p>
        </w:tc>
        <w:tc>
          <w:tcPr>
            <w:tcW w:w="0" w:type="auto"/>
            <w:tcBorders>
              <w:top w:val="single" w:sz="4" w:space="0" w:color="auto"/>
              <w:left w:val="single" w:sz="4" w:space="0" w:color="auto"/>
              <w:bottom w:val="single" w:sz="4" w:space="0" w:color="auto"/>
              <w:right w:val="single" w:sz="4" w:space="0" w:color="auto"/>
            </w:tcBorders>
            <w:hideMark/>
          </w:tcPr>
          <w:p w14:paraId="4B2831C6" w14:textId="77777777" w:rsidR="009F0510" w:rsidRDefault="009F0510">
            <w:pPr>
              <w:pStyle w:val="TAC"/>
            </w:pPr>
            <w:r>
              <w:t xml:space="preserve">1.28 x N1 </w:t>
            </w:r>
            <w:r>
              <w:rPr>
                <w:rFonts w:cs="Arial"/>
                <w:lang w:eastAsia="zh-CN"/>
              </w:rPr>
              <w:t>x M2</w:t>
            </w:r>
            <w:r>
              <w:rPr>
                <w:rFonts w:cs="Arial"/>
                <w:snapToGrid w:val="0"/>
              </w:rPr>
              <w:t xml:space="preserve"> </w:t>
            </w:r>
            <w:r>
              <w:t>(4 x N1</w:t>
            </w:r>
            <w:r>
              <w:rPr>
                <w:rFonts w:cs="Arial"/>
                <w:lang w:eastAsia="zh-CN"/>
              </w:rPr>
              <w:t xml:space="preserve"> x M2</w:t>
            </w:r>
            <w:r>
              <w:t>)</w:t>
            </w:r>
          </w:p>
        </w:tc>
        <w:tc>
          <w:tcPr>
            <w:tcW w:w="0" w:type="auto"/>
            <w:tcBorders>
              <w:top w:val="single" w:sz="4" w:space="0" w:color="auto"/>
              <w:left w:val="single" w:sz="4" w:space="0" w:color="auto"/>
              <w:bottom w:val="single" w:sz="4" w:space="0" w:color="auto"/>
              <w:right w:val="single" w:sz="4" w:space="0" w:color="auto"/>
            </w:tcBorders>
            <w:hideMark/>
          </w:tcPr>
          <w:p w14:paraId="600A644D" w14:textId="77777777" w:rsidR="009F0510" w:rsidRDefault="009F0510">
            <w:pPr>
              <w:pStyle w:val="TAC"/>
            </w:pPr>
            <w:r>
              <w:t xml:space="preserve">5.12 x N1 </w:t>
            </w:r>
            <w:r>
              <w:rPr>
                <w:rFonts w:cs="Arial"/>
                <w:lang w:eastAsia="zh-CN"/>
              </w:rPr>
              <w:t>x M2</w:t>
            </w:r>
            <w:r>
              <w:rPr>
                <w:rFonts w:cs="Arial"/>
                <w:snapToGrid w:val="0"/>
              </w:rPr>
              <w:t xml:space="preserve"> </w:t>
            </w:r>
            <w:r>
              <w:t>(16 x N1</w:t>
            </w:r>
            <w:r>
              <w:rPr>
                <w:rFonts w:cs="Arial"/>
                <w:lang w:eastAsia="zh-CN"/>
              </w:rPr>
              <w:t xml:space="preserve"> x M2</w:t>
            </w:r>
            <w:r>
              <w:t>)</w:t>
            </w:r>
          </w:p>
        </w:tc>
      </w:tr>
      <w:tr w:rsidR="009F0510" w14:paraId="7A735DED" w14:textId="77777777" w:rsidTr="009F0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62C4F7" w14:textId="77777777" w:rsidR="009F0510" w:rsidRDefault="009F0510">
            <w:pPr>
              <w:pStyle w:val="TAC"/>
            </w:pPr>
            <w:r>
              <w:t>0.64</w:t>
            </w:r>
          </w:p>
        </w:tc>
        <w:tc>
          <w:tcPr>
            <w:tcW w:w="0" w:type="auto"/>
            <w:tcBorders>
              <w:top w:val="nil"/>
              <w:left w:val="single" w:sz="4" w:space="0" w:color="auto"/>
              <w:bottom w:val="nil"/>
              <w:right w:val="single" w:sz="4" w:space="0" w:color="auto"/>
            </w:tcBorders>
            <w:vAlign w:val="center"/>
            <w:hideMark/>
          </w:tcPr>
          <w:p w14:paraId="3F2B10E5" w14:textId="77777777" w:rsidR="009F0510" w:rsidRDefault="009F0510"/>
        </w:tc>
        <w:tc>
          <w:tcPr>
            <w:tcW w:w="854" w:type="dxa"/>
            <w:tcBorders>
              <w:top w:val="single" w:sz="4" w:space="0" w:color="auto"/>
              <w:left w:val="single" w:sz="4" w:space="0" w:color="auto"/>
              <w:bottom w:val="single" w:sz="4" w:space="0" w:color="auto"/>
              <w:right w:val="single" w:sz="4" w:space="0" w:color="auto"/>
            </w:tcBorders>
            <w:hideMark/>
          </w:tcPr>
          <w:p w14:paraId="723400DF" w14:textId="77777777" w:rsidR="009F0510" w:rsidRPr="009F0510" w:rsidRDefault="009F0510">
            <w:pPr>
              <w:pStyle w:val="TAC"/>
              <w:rPr>
                <w:rFonts w:eastAsiaTheme="minorHAnsi" w:cstheme="minorBidi"/>
                <w:szCs w:val="22"/>
                <w:highlight w:val="yellow"/>
                <w:lang w:eastAsia="en-US"/>
              </w:rPr>
            </w:pPr>
            <w:r w:rsidRPr="009F0510">
              <w:rPr>
                <w:highlight w:val="yellow"/>
              </w:rPr>
              <w:t>5</w:t>
            </w:r>
          </w:p>
        </w:tc>
        <w:tc>
          <w:tcPr>
            <w:tcW w:w="833" w:type="dxa"/>
            <w:tcBorders>
              <w:top w:val="single" w:sz="4" w:space="0" w:color="auto"/>
              <w:left w:val="single" w:sz="4" w:space="0" w:color="auto"/>
              <w:bottom w:val="single" w:sz="4" w:space="0" w:color="auto"/>
              <w:right w:val="single" w:sz="4" w:space="0" w:color="auto"/>
            </w:tcBorders>
            <w:hideMark/>
          </w:tcPr>
          <w:p w14:paraId="5012697D" w14:textId="77777777" w:rsidR="009F0510" w:rsidRDefault="009F0510">
            <w:pPr>
              <w:pStyle w:val="TAC"/>
              <w:rPr>
                <w:szCs w:val="18"/>
              </w:rPr>
            </w:pPr>
            <w:r>
              <w:rPr>
                <w:rFonts w:cs="Arial"/>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6D65D1A0" w14:textId="77777777" w:rsidR="009F0510" w:rsidRDefault="009F0510">
            <w:pPr>
              <w:pStyle w:val="TAC"/>
              <w:rPr>
                <w:szCs w:val="22"/>
              </w:rPr>
            </w:pPr>
            <w:r>
              <w:t>17.92 x N1 (28 x N1)</w:t>
            </w:r>
          </w:p>
        </w:tc>
        <w:tc>
          <w:tcPr>
            <w:tcW w:w="0" w:type="auto"/>
            <w:tcBorders>
              <w:top w:val="single" w:sz="4" w:space="0" w:color="auto"/>
              <w:left w:val="single" w:sz="4" w:space="0" w:color="auto"/>
              <w:bottom w:val="single" w:sz="4" w:space="0" w:color="auto"/>
              <w:right w:val="single" w:sz="4" w:space="0" w:color="auto"/>
            </w:tcBorders>
            <w:hideMark/>
          </w:tcPr>
          <w:p w14:paraId="7627D292" w14:textId="77777777" w:rsidR="009F0510" w:rsidRDefault="009F0510">
            <w:pPr>
              <w:pStyle w:val="TAC"/>
            </w:pPr>
            <w:r>
              <w:t>1.28 x N1 (2 x N1)</w:t>
            </w:r>
          </w:p>
        </w:tc>
        <w:tc>
          <w:tcPr>
            <w:tcW w:w="0" w:type="auto"/>
            <w:tcBorders>
              <w:top w:val="single" w:sz="4" w:space="0" w:color="auto"/>
              <w:left w:val="single" w:sz="4" w:space="0" w:color="auto"/>
              <w:bottom w:val="single" w:sz="4" w:space="0" w:color="auto"/>
              <w:right w:val="single" w:sz="4" w:space="0" w:color="auto"/>
            </w:tcBorders>
            <w:hideMark/>
          </w:tcPr>
          <w:p w14:paraId="70C61728" w14:textId="77777777" w:rsidR="009F0510" w:rsidRDefault="009F0510">
            <w:pPr>
              <w:pStyle w:val="TAC"/>
            </w:pPr>
            <w:r>
              <w:t>5.12 x N1 (8 x N1)</w:t>
            </w:r>
          </w:p>
        </w:tc>
      </w:tr>
      <w:tr w:rsidR="009F0510" w14:paraId="551F856A" w14:textId="77777777" w:rsidTr="009F0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E74BCD" w14:textId="77777777" w:rsidR="009F0510" w:rsidRDefault="009F0510">
            <w:pPr>
              <w:pStyle w:val="TAC"/>
            </w:pPr>
            <w:r>
              <w:t>1.28</w:t>
            </w:r>
          </w:p>
        </w:tc>
        <w:tc>
          <w:tcPr>
            <w:tcW w:w="0" w:type="auto"/>
            <w:tcBorders>
              <w:top w:val="nil"/>
              <w:left w:val="single" w:sz="4" w:space="0" w:color="auto"/>
              <w:bottom w:val="nil"/>
              <w:right w:val="single" w:sz="4" w:space="0" w:color="auto"/>
            </w:tcBorders>
            <w:vAlign w:val="center"/>
            <w:hideMark/>
          </w:tcPr>
          <w:p w14:paraId="6253D74E" w14:textId="77777777" w:rsidR="009F0510" w:rsidRDefault="009F0510"/>
        </w:tc>
        <w:tc>
          <w:tcPr>
            <w:tcW w:w="854" w:type="dxa"/>
            <w:tcBorders>
              <w:top w:val="single" w:sz="4" w:space="0" w:color="auto"/>
              <w:left w:val="single" w:sz="4" w:space="0" w:color="auto"/>
              <w:bottom w:val="single" w:sz="4" w:space="0" w:color="auto"/>
              <w:right w:val="single" w:sz="4" w:space="0" w:color="auto"/>
            </w:tcBorders>
            <w:hideMark/>
          </w:tcPr>
          <w:p w14:paraId="4577B163" w14:textId="77777777" w:rsidR="009F0510" w:rsidRPr="009F0510" w:rsidRDefault="009F0510">
            <w:pPr>
              <w:pStyle w:val="TAC"/>
              <w:rPr>
                <w:rFonts w:eastAsiaTheme="minorHAnsi" w:cstheme="minorBidi"/>
                <w:szCs w:val="22"/>
                <w:highlight w:val="yellow"/>
                <w:lang w:eastAsia="en-US"/>
              </w:rPr>
            </w:pPr>
            <w:r w:rsidRPr="009F0510">
              <w:rPr>
                <w:highlight w:val="yellow"/>
              </w:rPr>
              <w:t>4</w:t>
            </w:r>
          </w:p>
        </w:tc>
        <w:tc>
          <w:tcPr>
            <w:tcW w:w="833" w:type="dxa"/>
            <w:tcBorders>
              <w:top w:val="single" w:sz="4" w:space="0" w:color="auto"/>
              <w:left w:val="single" w:sz="4" w:space="0" w:color="auto"/>
              <w:bottom w:val="single" w:sz="4" w:space="0" w:color="auto"/>
              <w:right w:val="single" w:sz="4" w:space="0" w:color="auto"/>
            </w:tcBorders>
            <w:hideMark/>
          </w:tcPr>
          <w:p w14:paraId="1BDD0BF1" w14:textId="77777777" w:rsidR="009F0510" w:rsidRDefault="009F0510">
            <w:pPr>
              <w:pStyle w:val="TAC"/>
              <w:rPr>
                <w:szCs w:val="18"/>
              </w:rPr>
            </w:pPr>
            <w:r>
              <w:rPr>
                <w:rFonts w:cs="Arial"/>
                <w:szCs w:val="18"/>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0A1FE263" w14:textId="77777777" w:rsidR="009F0510" w:rsidRDefault="009F0510">
            <w:pPr>
              <w:pStyle w:val="TAC"/>
              <w:rPr>
                <w:szCs w:val="22"/>
              </w:rPr>
            </w:pPr>
            <w:r>
              <w:t>32 x N1 (25 x N1)</w:t>
            </w:r>
          </w:p>
        </w:tc>
        <w:tc>
          <w:tcPr>
            <w:tcW w:w="0" w:type="auto"/>
            <w:tcBorders>
              <w:top w:val="single" w:sz="4" w:space="0" w:color="auto"/>
              <w:left w:val="single" w:sz="4" w:space="0" w:color="auto"/>
              <w:bottom w:val="single" w:sz="4" w:space="0" w:color="auto"/>
              <w:right w:val="single" w:sz="4" w:space="0" w:color="auto"/>
            </w:tcBorders>
            <w:hideMark/>
          </w:tcPr>
          <w:p w14:paraId="043CAE89" w14:textId="77777777" w:rsidR="009F0510" w:rsidRDefault="009F0510">
            <w:pPr>
              <w:pStyle w:val="TAC"/>
            </w:pPr>
            <w:r>
              <w:t>1.28 x N1 (1 x N1)</w:t>
            </w:r>
          </w:p>
        </w:tc>
        <w:tc>
          <w:tcPr>
            <w:tcW w:w="0" w:type="auto"/>
            <w:tcBorders>
              <w:top w:val="single" w:sz="4" w:space="0" w:color="auto"/>
              <w:left w:val="single" w:sz="4" w:space="0" w:color="auto"/>
              <w:bottom w:val="single" w:sz="4" w:space="0" w:color="auto"/>
              <w:right w:val="single" w:sz="4" w:space="0" w:color="auto"/>
            </w:tcBorders>
            <w:hideMark/>
          </w:tcPr>
          <w:p w14:paraId="27006496" w14:textId="77777777" w:rsidR="009F0510" w:rsidRDefault="009F0510">
            <w:pPr>
              <w:pStyle w:val="TAC"/>
            </w:pPr>
            <w:r>
              <w:t>6.4 x N1 (5 x N1)</w:t>
            </w:r>
          </w:p>
        </w:tc>
      </w:tr>
      <w:tr w:rsidR="009F0510" w14:paraId="1600C631" w14:textId="77777777" w:rsidTr="009F0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4E12D1" w14:textId="77777777" w:rsidR="009F0510" w:rsidRDefault="009F0510">
            <w:pPr>
              <w:pStyle w:val="TAC"/>
            </w:pPr>
            <w:r>
              <w:t>2.56</w:t>
            </w:r>
          </w:p>
        </w:tc>
        <w:tc>
          <w:tcPr>
            <w:tcW w:w="0" w:type="auto"/>
            <w:tcBorders>
              <w:top w:val="nil"/>
              <w:left w:val="single" w:sz="4" w:space="0" w:color="auto"/>
              <w:bottom w:val="single" w:sz="4" w:space="0" w:color="auto"/>
              <w:right w:val="single" w:sz="4" w:space="0" w:color="auto"/>
            </w:tcBorders>
            <w:vAlign w:val="center"/>
            <w:hideMark/>
          </w:tcPr>
          <w:p w14:paraId="0F34B791" w14:textId="77777777" w:rsidR="009F0510" w:rsidRDefault="009F0510"/>
        </w:tc>
        <w:tc>
          <w:tcPr>
            <w:tcW w:w="854" w:type="dxa"/>
            <w:tcBorders>
              <w:top w:val="single" w:sz="4" w:space="0" w:color="auto"/>
              <w:left w:val="single" w:sz="4" w:space="0" w:color="auto"/>
              <w:bottom w:val="single" w:sz="4" w:space="0" w:color="auto"/>
              <w:right w:val="single" w:sz="4" w:space="0" w:color="auto"/>
            </w:tcBorders>
            <w:hideMark/>
          </w:tcPr>
          <w:p w14:paraId="7472EEC5" w14:textId="77777777" w:rsidR="009F0510" w:rsidRPr="009F0510" w:rsidRDefault="009F0510">
            <w:pPr>
              <w:pStyle w:val="TAC"/>
              <w:rPr>
                <w:rFonts w:eastAsiaTheme="minorHAnsi" w:cs="Arial"/>
                <w:szCs w:val="22"/>
                <w:highlight w:val="yellow"/>
                <w:lang w:eastAsia="zh-CN"/>
              </w:rPr>
            </w:pPr>
            <w:r w:rsidRPr="009F0510">
              <w:rPr>
                <w:rFonts w:cs="Arial"/>
                <w:highlight w:val="yellow"/>
                <w:lang w:eastAsia="zh-CN"/>
              </w:rPr>
              <w:t>3</w:t>
            </w:r>
          </w:p>
        </w:tc>
        <w:tc>
          <w:tcPr>
            <w:tcW w:w="833" w:type="dxa"/>
            <w:tcBorders>
              <w:top w:val="single" w:sz="4" w:space="0" w:color="auto"/>
              <w:left w:val="single" w:sz="4" w:space="0" w:color="auto"/>
              <w:bottom w:val="single" w:sz="4" w:space="0" w:color="auto"/>
              <w:right w:val="single" w:sz="4" w:space="0" w:color="auto"/>
            </w:tcBorders>
            <w:hideMark/>
          </w:tcPr>
          <w:p w14:paraId="783EE523" w14:textId="77777777" w:rsidR="009F0510" w:rsidRDefault="009F0510">
            <w:pPr>
              <w:pStyle w:val="TAC"/>
              <w:rPr>
                <w:rFonts w:cs="Arial"/>
                <w:szCs w:val="18"/>
                <w:lang w:eastAsia="zh-CN"/>
              </w:rPr>
            </w:pPr>
            <w:r>
              <w:rPr>
                <w:rFonts w:cs="Arial"/>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1FE96D5F" w14:textId="77777777" w:rsidR="009F0510" w:rsidRDefault="009F0510">
            <w:pPr>
              <w:pStyle w:val="TAC"/>
              <w:rPr>
                <w:rFonts w:cstheme="minorBidi"/>
                <w:szCs w:val="22"/>
                <w:lang w:eastAsia="en-US"/>
              </w:rPr>
            </w:pPr>
            <w:r>
              <w:rPr>
                <w:rFonts w:cs="Arial"/>
                <w:lang w:eastAsia="zh-CN"/>
              </w:rPr>
              <w:t>58.88</w:t>
            </w:r>
            <w:r>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5915A084" w14:textId="77777777" w:rsidR="009F0510" w:rsidRDefault="009F0510">
            <w:pPr>
              <w:pStyle w:val="TAC"/>
            </w:pPr>
            <w:r>
              <w:t>2.56 x N1 (1 x N1)</w:t>
            </w:r>
          </w:p>
        </w:tc>
        <w:tc>
          <w:tcPr>
            <w:tcW w:w="0" w:type="auto"/>
            <w:tcBorders>
              <w:top w:val="single" w:sz="4" w:space="0" w:color="auto"/>
              <w:left w:val="single" w:sz="4" w:space="0" w:color="auto"/>
              <w:bottom w:val="single" w:sz="4" w:space="0" w:color="auto"/>
              <w:right w:val="single" w:sz="4" w:space="0" w:color="auto"/>
            </w:tcBorders>
            <w:hideMark/>
          </w:tcPr>
          <w:p w14:paraId="2DBBBAFA" w14:textId="77777777" w:rsidR="009F0510" w:rsidRDefault="009F0510">
            <w:pPr>
              <w:pStyle w:val="TAC"/>
            </w:pPr>
            <w:r>
              <w:t>7.68 x N1 (3 x N1)</w:t>
            </w:r>
          </w:p>
        </w:tc>
      </w:tr>
      <w:tr w:rsidR="009F0510" w14:paraId="1D1FA974" w14:textId="77777777" w:rsidTr="009F0510">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6BFF036" w14:textId="77777777" w:rsidR="009F0510" w:rsidRDefault="009F0510">
            <w:pPr>
              <w:pStyle w:val="TAN"/>
            </w:pPr>
            <w:r>
              <w:rPr>
                <w:snapToGrid w:val="0"/>
                <w:lang w:eastAsia="zh-CN"/>
              </w:rPr>
              <w:t>Note 1</w:t>
            </w:r>
            <w:r>
              <w:t>:</w:t>
            </w:r>
            <w:r>
              <w:tab/>
            </w:r>
            <w:r w:rsidRPr="009F0510">
              <w:rPr>
                <w:highlight w:val="cyan"/>
              </w:rPr>
              <w:t xml:space="preserve">Applies for UE supporting FR2-1 power class </w:t>
            </w:r>
            <w:r w:rsidRPr="009F0510">
              <w:rPr>
                <w:highlight w:val="cyan"/>
                <w:lang w:eastAsia="zh-CN"/>
              </w:rPr>
              <w:t>2&amp;3&amp;4</w:t>
            </w:r>
            <w:r w:rsidRPr="009F0510">
              <w:rPr>
                <w:highlight w:val="cyan"/>
              </w:rPr>
              <w:t>. For UE supporting FR2-1 power class 1</w:t>
            </w:r>
            <w:r w:rsidRPr="009F0510">
              <w:rPr>
                <w:highlight w:val="cyan"/>
                <w:lang w:eastAsia="zh-CN"/>
              </w:rPr>
              <w:t xml:space="preserve"> or 5</w:t>
            </w:r>
            <w:r w:rsidRPr="009F0510">
              <w:rPr>
                <w:highlight w:val="cyan"/>
              </w:rPr>
              <w:t>, N1 = 8 for all DRX cycle length.</w:t>
            </w:r>
          </w:p>
          <w:p w14:paraId="7C6F1A1C" w14:textId="77777777" w:rsidR="009F0510" w:rsidRDefault="009F0510">
            <w:pPr>
              <w:pStyle w:val="TAN"/>
              <w:rPr>
                <w:snapToGrid w:val="0"/>
                <w:lang w:eastAsia="zh-CN"/>
              </w:rPr>
            </w:pPr>
            <w:r>
              <w:rPr>
                <w:lang w:eastAsia="zh-CN"/>
              </w:rPr>
              <w:t>Note 2:</w:t>
            </w:r>
            <w:r>
              <w:rPr>
                <w:lang w:eastAsia="zh-CN"/>
              </w:rPr>
              <w:tab/>
              <w:t>Applies for UE supporting FR2-2 power class 2&amp;3. For UE supporting FR2-2 power class 1, N1 = 12 for all DRX cycle length.</w:t>
            </w:r>
          </w:p>
          <w:p w14:paraId="4D49A3D9" w14:textId="77777777" w:rsidR="009F0510" w:rsidRDefault="009F0510">
            <w:pPr>
              <w:pStyle w:val="TAN"/>
              <w:rPr>
                <w:lang w:eastAsia="en-US"/>
              </w:rPr>
            </w:pPr>
            <w:r>
              <w:rPr>
                <w:snapToGrid w:val="0"/>
                <w:lang w:eastAsia="zh-CN"/>
              </w:rPr>
              <w:t>Note 3:</w:t>
            </w:r>
            <w:r>
              <w:tab/>
            </w:r>
            <w:r>
              <w:rPr>
                <w:snapToGrid w:val="0"/>
                <w:lang w:eastAsia="zh-CN"/>
              </w:rPr>
              <w:t>M2 = 1.5 if SMTC periodicity</w:t>
            </w:r>
            <w:r>
              <w:t xml:space="preserve"> </w:t>
            </w:r>
            <w:r>
              <w:rPr>
                <w:snapToGrid w:val="0"/>
                <w:lang w:eastAsia="zh-CN"/>
              </w:rPr>
              <w:t xml:space="preserve">of measured intra-frequency cell &gt; 20 </w:t>
            </w:r>
            <w:proofErr w:type="spellStart"/>
            <w:r>
              <w:rPr>
                <w:snapToGrid w:val="0"/>
                <w:lang w:eastAsia="zh-CN"/>
              </w:rPr>
              <w:t>ms</w:t>
            </w:r>
            <w:proofErr w:type="spellEnd"/>
            <w:r>
              <w:rPr>
                <w:snapToGrid w:val="0"/>
                <w:lang w:eastAsia="zh-CN"/>
              </w:rPr>
              <w:t>; otherwise M2=1.</w:t>
            </w:r>
            <w:r>
              <w:t xml:space="preserve"> </w:t>
            </w:r>
            <w:r>
              <w:rPr>
                <w:snapToGrid w:val="0"/>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Pr>
                <w:snapToGrid w:val="0"/>
                <w:lang w:eastAsia="zh-CN"/>
              </w:rPr>
              <w:t>T</w:t>
            </w:r>
            <w:r>
              <w:rPr>
                <w:snapToGrid w:val="0"/>
                <w:vertAlign w:val="subscript"/>
                <w:lang w:eastAsia="zh-CN"/>
              </w:rPr>
              <w:t>detect</w:t>
            </w:r>
            <w:proofErr w:type="spellEnd"/>
            <w:r>
              <w:rPr>
                <w:snapToGrid w:val="0"/>
                <w:vertAlign w:val="subscript"/>
                <w:lang w:eastAsia="zh-CN"/>
              </w:rPr>
              <w:t xml:space="preserve">, </w:t>
            </w:r>
            <w:proofErr w:type="spellStart"/>
            <w:r>
              <w:rPr>
                <w:snapToGrid w:val="0"/>
                <w:vertAlign w:val="subscript"/>
                <w:lang w:eastAsia="zh-CN"/>
              </w:rPr>
              <w:t>NR_intra</w:t>
            </w:r>
            <w:proofErr w:type="spellEnd"/>
            <w:r>
              <w:rPr>
                <w:snapToGrid w:val="0"/>
                <w:vertAlign w:val="subscript"/>
                <w:lang w:eastAsia="zh-CN"/>
              </w:rPr>
              <w:t xml:space="preserve"> </w:t>
            </w:r>
            <w:r>
              <w:rPr>
                <w:snapToGrid w:val="0"/>
                <w:lang w:eastAsia="zh-CN"/>
              </w:rPr>
              <w:t>is expected.</w:t>
            </w:r>
          </w:p>
        </w:tc>
      </w:tr>
    </w:tbl>
    <w:p w14:paraId="73769336" w14:textId="77777777" w:rsidR="003917A2" w:rsidRDefault="003917A2" w:rsidP="005C23A4"/>
    <w:p w14:paraId="764D60AE" w14:textId="3618D23B" w:rsidR="009F529B" w:rsidRDefault="009F529B" w:rsidP="009F529B">
      <w:r>
        <w:t xml:space="preserve">Similarly, different values are also applicable  for </w:t>
      </w:r>
      <w:proofErr w:type="spellStart"/>
      <w:r>
        <w:t>RRC_Connected</w:t>
      </w:r>
      <w:proofErr w:type="spellEnd"/>
      <w:r>
        <w:t xml:space="preserve"> mode requirements depending on UE power class. </w:t>
      </w:r>
    </w:p>
    <w:p w14:paraId="1B74209D" w14:textId="064EE9EC" w:rsidR="002A19F5" w:rsidRDefault="000312BE" w:rsidP="00E437D2">
      <w:pPr>
        <w:pStyle w:val="RAN4observation0"/>
      </w:pPr>
      <w:bookmarkStart w:id="50" w:name="_Toc132023833"/>
      <w:r>
        <w:t xml:space="preserve">In TN FR2, </w:t>
      </w:r>
      <w:r w:rsidR="00AF2FF9">
        <w:t xml:space="preserve">RRM requirements </w:t>
      </w:r>
      <w:r w:rsidR="00C67F5D">
        <w:t>for mobili</w:t>
      </w:r>
      <w:r w:rsidR="00D95F3C">
        <w:t xml:space="preserve">ty are scaled by </w:t>
      </w:r>
      <w:r>
        <w:t>different factors depending on UE power class.</w:t>
      </w:r>
      <w:bookmarkEnd w:id="50"/>
      <w:r>
        <w:t xml:space="preserve"> </w:t>
      </w:r>
    </w:p>
    <w:p w14:paraId="57D5131C" w14:textId="6A4C21C9" w:rsidR="00B0771B" w:rsidRDefault="005C40D5" w:rsidP="00B0771B">
      <w:pPr>
        <w:pStyle w:val="RAN4proposal"/>
      </w:pPr>
      <w:bookmarkStart w:id="51" w:name="_Toc132023834"/>
      <w:r>
        <w:t xml:space="preserve">Wait for the definition on UE power classes to be considered </w:t>
      </w:r>
      <w:r w:rsidR="00B176DB">
        <w:t xml:space="preserve">and </w:t>
      </w:r>
      <w:r>
        <w:t xml:space="preserve">before discussing the </w:t>
      </w:r>
      <w:r w:rsidR="00961AE8">
        <w:t xml:space="preserve">mobility requirements for </w:t>
      </w:r>
      <w:r w:rsidR="00B0771B">
        <w:t>NTN operation in the Ka Band (</w:t>
      </w:r>
      <w:r w:rsidR="00484ED4">
        <w:t>FR2-NTN</w:t>
      </w:r>
      <w:r w:rsidR="00B0771B">
        <w:t>).</w:t>
      </w:r>
      <w:bookmarkEnd w:id="51"/>
      <w:r w:rsidR="00B0771B">
        <w:t xml:space="preserve"> </w:t>
      </w:r>
    </w:p>
    <w:p w14:paraId="6BF0057C" w14:textId="5FEA752F" w:rsidR="009918E6" w:rsidRDefault="009918E6" w:rsidP="007934FF">
      <w:pPr>
        <w:pStyle w:val="RAN4proposal"/>
        <w:numPr>
          <w:ilvl w:val="0"/>
          <w:numId w:val="0"/>
        </w:numPr>
      </w:pPr>
    </w:p>
    <w:p w14:paraId="20311CCF" w14:textId="1667B98A" w:rsidR="007934FF" w:rsidRDefault="007934FF" w:rsidP="007934FF">
      <w:pPr>
        <w:pStyle w:val="RAN4H2"/>
      </w:pPr>
      <w:r>
        <w:t>Impact on other RAN Groups</w:t>
      </w:r>
    </w:p>
    <w:p w14:paraId="5BF12A17" w14:textId="246F0294" w:rsidR="00833B3C" w:rsidRDefault="007126B8" w:rsidP="007934FF">
      <w:r>
        <w:t xml:space="preserve">Regardless </w:t>
      </w:r>
      <w:r w:rsidR="003D7BFC">
        <w:t>of</w:t>
      </w:r>
      <w:r>
        <w:t xml:space="preserve"> </w:t>
      </w:r>
      <w:r w:rsidR="003D7BFC">
        <w:t xml:space="preserve">the chosen SCS to be used in </w:t>
      </w:r>
      <w:r w:rsidR="00484ED4">
        <w:t>FR2-NTN</w:t>
      </w:r>
      <w:r w:rsidR="003D7BFC">
        <w:t xml:space="preserve">, some updates will be required </w:t>
      </w:r>
      <w:r w:rsidR="00833B3C">
        <w:t xml:space="preserve">in the specifications of other WGs to clarify the </w:t>
      </w:r>
      <w:proofErr w:type="spellStart"/>
      <w:r w:rsidR="00833B3C">
        <w:t>signalling</w:t>
      </w:r>
      <w:proofErr w:type="spellEnd"/>
      <w:r w:rsidR="00833B3C">
        <w:t xml:space="preserve"> aspects regarding the operation in this band. </w:t>
      </w:r>
    </w:p>
    <w:p w14:paraId="4AEA3E0D" w14:textId="62703107" w:rsidR="00113BD2" w:rsidRDefault="00113BD2" w:rsidP="00113BD2">
      <w:pPr>
        <w:pStyle w:val="RAN4H3"/>
      </w:pPr>
      <w:r>
        <w:t>PRACH Configuration</w:t>
      </w:r>
    </w:p>
    <w:p w14:paraId="21B21BB0" w14:textId="3254FFD0" w:rsidR="00AD53D4" w:rsidRDefault="00841EB8" w:rsidP="007934FF">
      <w:r w:rsidRPr="00E90379">
        <w:t>In TS 38.</w:t>
      </w:r>
      <w:r w:rsidR="007A2235" w:rsidRPr="00E90379">
        <w:t>2</w:t>
      </w:r>
      <w:r w:rsidRPr="00E90379">
        <w:t>11</w:t>
      </w:r>
      <w:r w:rsidR="00E90379" w:rsidRPr="00E90379">
        <w:t xml:space="preserve"> </w:t>
      </w:r>
      <w:r w:rsidR="00E90379" w:rsidRPr="00E90379">
        <w:fldChar w:fldCharType="begin"/>
      </w:r>
      <w:r w:rsidR="00E90379" w:rsidRPr="00E90379">
        <w:instrText xml:space="preserve"> REF _Ref130303734 \r \h </w:instrText>
      </w:r>
      <w:r w:rsidR="00E90379">
        <w:instrText xml:space="preserve"> \* MERGEFORMAT </w:instrText>
      </w:r>
      <w:r w:rsidR="00E90379" w:rsidRPr="00E90379">
        <w:fldChar w:fldCharType="separate"/>
      </w:r>
      <w:r w:rsidR="00E90379" w:rsidRPr="00E90379">
        <w:t>[4]</w:t>
      </w:r>
      <w:r w:rsidR="00E90379" w:rsidRPr="00E90379">
        <w:fldChar w:fldCharType="end"/>
      </w:r>
      <w:r w:rsidRPr="00E90379">
        <w:t>, the</w:t>
      </w:r>
      <w:r w:rsidR="001F1B59">
        <w:t xml:space="preserve"> PRACH configurations are defined for the following </w:t>
      </w:r>
      <w:r w:rsidR="00AD53D4">
        <w:t>cases:</w:t>
      </w:r>
    </w:p>
    <w:p w14:paraId="36A44506" w14:textId="77777777" w:rsidR="006852CA" w:rsidRDefault="00AD53D4" w:rsidP="00AD53D4">
      <w:pPr>
        <w:pStyle w:val="ListParagraph"/>
        <w:numPr>
          <w:ilvl w:val="0"/>
          <w:numId w:val="36"/>
        </w:numPr>
      </w:pPr>
      <w:r>
        <w:t>FR1 with paired spectrum/sup</w:t>
      </w:r>
      <w:r w:rsidR="006852CA">
        <w:t>plementary UL in</w:t>
      </w:r>
      <w:r w:rsidR="00841EB8">
        <w:t xml:space="preserve"> Table </w:t>
      </w:r>
      <w:r w:rsidR="00841EB8" w:rsidRPr="0077437E">
        <w:t>6.3.3.2-</w:t>
      </w:r>
      <w:r w:rsidR="00841EB8">
        <w:t xml:space="preserve">2  </w:t>
      </w:r>
    </w:p>
    <w:p w14:paraId="6D31B364" w14:textId="77777777" w:rsidR="006852CA" w:rsidRDefault="006852CA" w:rsidP="00AD53D4">
      <w:pPr>
        <w:pStyle w:val="ListParagraph"/>
        <w:numPr>
          <w:ilvl w:val="0"/>
          <w:numId w:val="36"/>
        </w:numPr>
      </w:pPr>
      <w:r>
        <w:t>FR1 with unpaired spectrum in Table 6.3.3.2-3</w:t>
      </w:r>
    </w:p>
    <w:p w14:paraId="385492ED" w14:textId="5D2F427B" w:rsidR="00841EB8" w:rsidRDefault="006852CA" w:rsidP="00AD53D4">
      <w:pPr>
        <w:pStyle w:val="ListParagraph"/>
        <w:numPr>
          <w:ilvl w:val="0"/>
          <w:numId w:val="36"/>
        </w:numPr>
      </w:pPr>
      <w:r>
        <w:t>FR2 with unpaired spectrum in Table</w:t>
      </w:r>
      <w:r w:rsidR="00841EB8">
        <w:t xml:space="preserve">  </w:t>
      </w:r>
      <w:r w:rsidR="00841EB8" w:rsidRPr="0077437E">
        <w:t>6.3.3.2-</w:t>
      </w:r>
      <w:r w:rsidR="00841EB8">
        <w:t>4</w:t>
      </w:r>
    </w:p>
    <w:p w14:paraId="689522BC" w14:textId="7E7155DF" w:rsidR="006852CA" w:rsidRDefault="006852CA" w:rsidP="006852CA">
      <w:r>
        <w:lastRenderedPageBreak/>
        <w:t xml:space="preserve">None of the above apply directly for the </w:t>
      </w:r>
      <w:r w:rsidR="00484ED4">
        <w:t>FR2-NTN</w:t>
      </w:r>
      <w:r>
        <w:t xml:space="preserve"> operation with paired spectrum. If the SCS chosen for this band are 60/120 kHz, it is important that RAN1 update their definitions to discuss the applicability of Table 6.3.3.2-4 also for </w:t>
      </w:r>
      <w:r w:rsidR="00484ED4">
        <w:t>FR2-NTN</w:t>
      </w:r>
      <w:r>
        <w:t xml:space="preserve"> or if a new Table (and capture accordingly in specification), specially designed for paired spectrum operation </w:t>
      </w:r>
      <w:proofErr w:type="gramStart"/>
      <w:r>
        <w:t>has to</w:t>
      </w:r>
      <w:proofErr w:type="gramEnd"/>
      <w:r>
        <w:t xml:space="preserve"> be defined. </w:t>
      </w:r>
    </w:p>
    <w:p w14:paraId="5F7A1069" w14:textId="77777777" w:rsidR="00833B3C" w:rsidRDefault="00833B3C" w:rsidP="007934FF"/>
    <w:p w14:paraId="1544FE80" w14:textId="3560BCAA" w:rsidR="00144AF2" w:rsidRDefault="006852CA" w:rsidP="006852CA">
      <w:pPr>
        <w:pStyle w:val="RAN4proposal"/>
      </w:pPr>
      <w:bookmarkStart w:id="52" w:name="_Toc132023835"/>
      <w:r>
        <w:t xml:space="preserve">When RAN4 reaches a definition on the choice of SCS for the operation in NTN Ka-Band, RAN4 shall request RAN1 to </w:t>
      </w:r>
      <w:r w:rsidR="00BD4E0E">
        <w:t>provide</w:t>
      </w:r>
      <w:r>
        <w:t xml:space="preserve"> PRACH Configuration</w:t>
      </w:r>
      <w:r w:rsidR="005B21BE">
        <w:t>s applicable for this band.</w:t>
      </w:r>
      <w:bookmarkEnd w:id="52"/>
      <w:r w:rsidR="005B21BE">
        <w:t xml:space="preserve"> </w:t>
      </w:r>
    </w:p>
    <w:p w14:paraId="21000F41" w14:textId="47224DF4" w:rsidR="00113BD2" w:rsidRDefault="006C1349" w:rsidP="00113BD2">
      <w:pPr>
        <w:pStyle w:val="RAN4H3"/>
      </w:pPr>
      <w:r>
        <w:t>Cell Search</w:t>
      </w:r>
    </w:p>
    <w:p w14:paraId="6C3A0FBA" w14:textId="3DC71DC3" w:rsidR="00113BD2" w:rsidRDefault="00D1154B" w:rsidP="00B1689E">
      <w:r>
        <w:t xml:space="preserve">The cell search procedure </w:t>
      </w:r>
      <w:proofErr w:type="gramStart"/>
      <w:r>
        <w:t>has to</w:t>
      </w:r>
      <w:proofErr w:type="gramEnd"/>
      <w:r>
        <w:t xml:space="preserve"> provide limited search space for the UE, in order to facilitate the UE to obtain coverage with limited energy expenditure. This necessity is even more stringent in NTN, where a large Doppler shift increases the search space the UE needs to scout to find a suitable cell. </w:t>
      </w:r>
      <w:r w:rsidR="00716ECD">
        <w:t>The value of</w:t>
      </w:r>
      <w:r w:rsidR="00F57F9A">
        <w:t xml:space="preserve"> </w:t>
      </w:r>
      <w:r w:rsidR="00F85B2D" w:rsidRPr="00F85B2D">
        <w:t>the first symbol indexes for candidate SS/PBCH blocks are determined according to the SCS of SS/PBCH blocks</w:t>
      </w:r>
      <w:r w:rsidR="00E90379">
        <w:t xml:space="preserve"> (TS 38.213 </w:t>
      </w:r>
      <w:r w:rsidR="00E90379">
        <w:fldChar w:fldCharType="begin"/>
      </w:r>
      <w:r w:rsidR="00E90379">
        <w:instrText xml:space="preserve"> REF _Ref127448129 \r \h </w:instrText>
      </w:r>
      <w:r w:rsidR="00E90379">
        <w:fldChar w:fldCharType="separate"/>
      </w:r>
      <w:r w:rsidR="00E90379">
        <w:t>[11]</w:t>
      </w:r>
      <w:r w:rsidR="00E90379">
        <w:fldChar w:fldCharType="end"/>
      </w:r>
      <w:r w:rsidR="00E90379">
        <w:t>)</w:t>
      </w:r>
      <w:r w:rsidR="00F85B2D">
        <w:t>. And this value is also used to determine the maximum number of SSBs available in a cell</w:t>
      </w:r>
      <w:r w:rsidR="003102B2">
        <w:t xml:space="preserve"> (which are used to determination of </w:t>
      </w:r>
      <w:proofErr w:type="spellStart"/>
      <w:r w:rsidR="003102B2">
        <w:t>L</w:t>
      </w:r>
      <w:r w:rsidR="003102B2" w:rsidRPr="003102B2">
        <w:rPr>
          <w:vertAlign w:val="subscript"/>
        </w:rPr>
        <w:t>max</w:t>
      </w:r>
      <w:proofErr w:type="spellEnd"/>
      <w:r w:rsidR="003102B2">
        <w:rPr>
          <w:vertAlign w:val="subscript"/>
        </w:rPr>
        <w:t>,</w:t>
      </w:r>
      <w:r w:rsidR="003102B2">
        <w:t xml:space="preserve"> the DMRS signals and the bitmap of the </w:t>
      </w:r>
      <w:proofErr w:type="spellStart"/>
      <w:r w:rsidR="003102B2" w:rsidRPr="003102B2">
        <w:rPr>
          <w:i/>
          <w:iCs/>
        </w:rPr>
        <w:t>positionsInBurst</w:t>
      </w:r>
      <w:proofErr w:type="spellEnd"/>
      <w:r w:rsidR="003102B2">
        <w:t xml:space="preserve">). However, </w:t>
      </w:r>
      <w:r w:rsidR="00C2573E">
        <w:t xml:space="preserve">none of the current definitions apply directly to </w:t>
      </w:r>
      <w:r w:rsidR="00484ED4">
        <w:t>FR2-NTN</w:t>
      </w:r>
      <w:r w:rsidR="00DB6D65">
        <w:t>, as the cases described apply for</w:t>
      </w:r>
      <w:r w:rsidR="007A2235">
        <w:t xml:space="preserve"> </w:t>
      </w:r>
      <w:r w:rsidR="00C2573E">
        <w:t>:</w:t>
      </w:r>
    </w:p>
    <w:p w14:paraId="1FEB4B47" w14:textId="260E73B2" w:rsidR="00C2573E" w:rsidRDefault="00C2573E" w:rsidP="00C2573E">
      <w:pPr>
        <w:pStyle w:val="ListParagraph"/>
        <w:numPr>
          <w:ilvl w:val="0"/>
          <w:numId w:val="37"/>
        </w:numPr>
      </w:pPr>
      <w:r>
        <w:t>Case A: SCS</w:t>
      </w:r>
      <w:r w:rsidR="004B6540">
        <w:t xml:space="preserve"> = 15 kHz, </w:t>
      </w:r>
      <w:r w:rsidR="00DB6D65">
        <w:t>FR1</w:t>
      </w:r>
    </w:p>
    <w:p w14:paraId="1F03A5DB" w14:textId="4CDA46F5" w:rsidR="00DB6D65" w:rsidRDefault="0077578F" w:rsidP="00C2573E">
      <w:pPr>
        <w:pStyle w:val="ListParagraph"/>
        <w:numPr>
          <w:ilvl w:val="0"/>
          <w:numId w:val="37"/>
        </w:numPr>
      </w:pPr>
      <w:r>
        <w:t>Case</w:t>
      </w:r>
      <w:r w:rsidR="00F745C4">
        <w:t>s</w:t>
      </w:r>
      <w:r>
        <w:t xml:space="preserve"> B</w:t>
      </w:r>
      <w:r w:rsidR="00F745C4">
        <w:t xml:space="preserve"> and </w:t>
      </w:r>
      <w:r w:rsidR="00851FB3">
        <w:t>C</w:t>
      </w:r>
      <w:r>
        <w:t xml:space="preserve">: SCS = </w:t>
      </w:r>
      <w:r w:rsidR="0009211F">
        <w:t>30 kHz, FR1</w:t>
      </w:r>
    </w:p>
    <w:p w14:paraId="6DEFBBE7" w14:textId="292EB1E9" w:rsidR="00851FB3" w:rsidRDefault="00B70238" w:rsidP="00C2573E">
      <w:pPr>
        <w:pStyle w:val="ListParagraph"/>
        <w:numPr>
          <w:ilvl w:val="0"/>
          <w:numId w:val="37"/>
        </w:numPr>
      </w:pPr>
      <w:r>
        <w:t xml:space="preserve">Case </w:t>
      </w:r>
      <w:r w:rsidR="00851FB3">
        <w:t>D</w:t>
      </w:r>
      <w:r>
        <w:t>:</w:t>
      </w:r>
      <w:r w:rsidR="00851FB3">
        <w:t xml:space="preserve"> </w:t>
      </w:r>
      <w:r>
        <w:t xml:space="preserve"> </w:t>
      </w:r>
      <w:r w:rsidR="00851FB3">
        <w:t>SCS=120 kHz, FR2</w:t>
      </w:r>
      <w:r w:rsidR="00B1635C">
        <w:t xml:space="preserve"> in unpaired spectrum</w:t>
      </w:r>
      <w:r w:rsidR="00851FB3">
        <w:t xml:space="preserve">. </w:t>
      </w:r>
    </w:p>
    <w:p w14:paraId="4E4A211E" w14:textId="457A168F" w:rsidR="006C1349" w:rsidRDefault="006C1349" w:rsidP="00C2573E">
      <w:pPr>
        <w:pStyle w:val="ListParagraph"/>
        <w:numPr>
          <w:ilvl w:val="0"/>
          <w:numId w:val="37"/>
        </w:numPr>
      </w:pPr>
      <w:r>
        <w:t>Cases E-G: SCS</w:t>
      </w:r>
      <w:r>
        <w:rPr>
          <w:rFonts w:cs="Times New Roman"/>
        </w:rPr>
        <w:t>≥</w:t>
      </w:r>
      <w:r>
        <w:t>240kHz, FR2 in unpaired spectrum</w:t>
      </w:r>
    </w:p>
    <w:p w14:paraId="258E4D95" w14:textId="5A5EF076" w:rsidR="0009211F" w:rsidRDefault="00851FB3" w:rsidP="00851FB3">
      <w:r>
        <w:t xml:space="preserve">Either the description of case D has to be updated to encompass operation in </w:t>
      </w:r>
      <w:r w:rsidR="00484ED4">
        <w:t>FR2-NTN</w:t>
      </w:r>
      <w:r w:rsidR="00B1635C">
        <w:t xml:space="preserve"> with paired spectrum, or  a new case </w:t>
      </w:r>
      <w:r w:rsidR="006C1349">
        <w:t xml:space="preserve">(case H) </w:t>
      </w:r>
      <w:proofErr w:type="gramStart"/>
      <w:r w:rsidR="006C1349">
        <w:t>has to</w:t>
      </w:r>
      <w:proofErr w:type="gramEnd"/>
      <w:r w:rsidR="006C1349">
        <w:t xml:space="preserve"> be created. </w:t>
      </w:r>
    </w:p>
    <w:p w14:paraId="0A3BCC6E" w14:textId="5B32A8BD" w:rsidR="006C1349" w:rsidRDefault="006C1349" w:rsidP="006C1349">
      <w:pPr>
        <w:pStyle w:val="RAN4proposal"/>
      </w:pPr>
      <w:bookmarkStart w:id="53" w:name="_Toc132023836"/>
      <w:r>
        <w:t xml:space="preserve">When RAN4 reaches a definition on the choice of SCS for the operation in NTN Ka-Band, RAN4 shall request RAN1 to provide </w:t>
      </w:r>
      <w:r w:rsidR="005E11BE">
        <w:t xml:space="preserve">symbol indexes for </w:t>
      </w:r>
      <w:r w:rsidR="007445F2">
        <w:t xml:space="preserve">candidate SS/PBCH blocks applicable for this band </w:t>
      </w:r>
      <w:r w:rsidR="007A2235">
        <w:t>and RAN2 to update the bitmap field descriptions accordingly.</w:t>
      </w:r>
      <w:bookmarkEnd w:id="53"/>
      <w:r w:rsidR="007A2235">
        <w:t xml:space="preserve"> </w:t>
      </w:r>
      <w:r>
        <w:t xml:space="preserve"> </w:t>
      </w:r>
    </w:p>
    <w:p w14:paraId="6DD3854E" w14:textId="77777777" w:rsidR="006C1349" w:rsidRPr="003102B2" w:rsidRDefault="006C1349" w:rsidP="00851FB3"/>
    <w:p w14:paraId="3945E04F" w14:textId="77777777" w:rsidR="00CD7492" w:rsidRPr="00EF698B" w:rsidRDefault="00CD7492" w:rsidP="00A37002">
      <w:pPr>
        <w:pStyle w:val="RAN4H1"/>
        <w:rPr>
          <w:lang w:val="en-US"/>
        </w:rPr>
      </w:pPr>
      <w:bookmarkStart w:id="54" w:name="_Toc116995848"/>
      <w:r w:rsidRPr="00EF698B">
        <w:rPr>
          <w:lang w:val="en-US"/>
        </w:rPr>
        <w:t>Conclusion</w:t>
      </w:r>
      <w:bookmarkEnd w:id="54"/>
    </w:p>
    <w:p w14:paraId="294A4EB5" w14:textId="77777777" w:rsidR="0050770D" w:rsidRDefault="0050770D" w:rsidP="005C23A4">
      <w:r>
        <w:t>In this paper we discussed and analyzed the applicability of 60 and 120 kHz for NTN in operations on the bands above 10 GHz.</w:t>
      </w:r>
    </w:p>
    <w:p w14:paraId="584A74C8" w14:textId="77777777" w:rsidR="00D5270B" w:rsidRPr="000D0F93" w:rsidRDefault="00D5270B" w:rsidP="00936159">
      <w:pPr>
        <w:rPr>
          <w:highlight w:val="yellow"/>
        </w:rPr>
      </w:pPr>
    </w:p>
    <w:bookmarkStart w:id="55" w:name="_Toc116995849"/>
    <w:p w14:paraId="6D8700FE" w14:textId="220152EB" w:rsidR="00484ED4" w:rsidRDefault="0050770D">
      <w:pPr>
        <w:pStyle w:val="TOC1"/>
        <w:rPr>
          <w:rFonts w:asciiTheme="minorHAnsi" w:eastAsiaTheme="minorEastAsia" w:hAnsiTheme="minorHAnsi"/>
          <w:b w:val="0"/>
          <w:iCs w:val="0"/>
          <w:sz w:val="22"/>
          <w:lang w:val="en-GB" w:eastAsia="en-GB"/>
        </w:rPr>
      </w:pPr>
      <w:r>
        <w:rPr>
          <w:i/>
          <w:iCs w:val="0"/>
          <w:u w:val="single"/>
        </w:rPr>
        <w:fldChar w:fldCharType="begin"/>
      </w:r>
      <w:r>
        <w:rPr>
          <w:i/>
          <w:iCs w:val="0"/>
          <w:u w:val="single"/>
        </w:rPr>
        <w:instrText xml:space="preserve"> TOC \n \h \z \t "RAN4 proposal;1;RAN4 observation;1" </w:instrText>
      </w:r>
      <w:r>
        <w:rPr>
          <w:i/>
          <w:iCs w:val="0"/>
          <w:u w:val="single"/>
        </w:rPr>
        <w:fldChar w:fldCharType="separate"/>
      </w:r>
      <w:hyperlink w:anchor="_Toc132023824" w:history="1">
        <w:r w:rsidR="00484ED4" w:rsidRPr="00B92A04">
          <w:rPr>
            <w:rStyle w:val="Hyperlink"/>
          </w:rPr>
          <w:t>Observation 1: If 30 kHz SCS is deployed on NTN Ka bands, the phase noise might become an issue at the higher end of the spectrum.</w:t>
        </w:r>
      </w:hyperlink>
    </w:p>
    <w:p w14:paraId="6F3E0D1A" w14:textId="75E1581A" w:rsidR="00484ED4" w:rsidRDefault="0015206E">
      <w:pPr>
        <w:pStyle w:val="TOC1"/>
        <w:rPr>
          <w:rFonts w:asciiTheme="minorHAnsi" w:eastAsiaTheme="minorEastAsia" w:hAnsiTheme="minorHAnsi"/>
          <w:b w:val="0"/>
          <w:iCs w:val="0"/>
          <w:sz w:val="22"/>
          <w:lang w:val="en-GB" w:eastAsia="en-GB"/>
        </w:rPr>
      </w:pPr>
      <w:hyperlink w:anchor="_Toc132023825" w:history="1">
        <w:r w:rsidR="00484ED4" w:rsidRPr="00B92A04">
          <w:rPr>
            <w:rStyle w:val="Hyperlink"/>
          </w:rPr>
          <w:t>Observation 3: In Rel-17, the inclusion of relaxed timing requirements due to GNSS and satellite position inaccuracies led to the exclusion of the 60 kHz of the FR1 operation since it would consume most of the delay budget.</w:t>
        </w:r>
      </w:hyperlink>
    </w:p>
    <w:p w14:paraId="3A898FF6" w14:textId="02CEA1DA" w:rsidR="00484ED4" w:rsidRDefault="0015206E">
      <w:pPr>
        <w:pStyle w:val="TOC1"/>
        <w:rPr>
          <w:rFonts w:asciiTheme="minorHAnsi" w:eastAsiaTheme="minorEastAsia" w:hAnsiTheme="minorHAnsi"/>
          <w:b w:val="0"/>
          <w:iCs w:val="0"/>
          <w:sz w:val="22"/>
          <w:lang w:val="en-GB" w:eastAsia="en-GB"/>
        </w:rPr>
      </w:pPr>
      <w:hyperlink w:anchor="_Toc132023826" w:history="1">
        <w:r w:rsidR="00484ED4" w:rsidRPr="00B92A04">
          <w:rPr>
            <w:rStyle w:val="Hyperlink"/>
          </w:rPr>
          <w:t>Observation 4: From a practical point of view, the total transmit timing error should be smaller than 4 Ts for 120 kHz and 8 Ts for 60 kHz.</w:t>
        </w:r>
      </w:hyperlink>
    </w:p>
    <w:p w14:paraId="4A64B166" w14:textId="18F6ACE8" w:rsidR="00484ED4" w:rsidRDefault="0015206E">
      <w:pPr>
        <w:pStyle w:val="TOC1"/>
        <w:rPr>
          <w:rFonts w:asciiTheme="minorHAnsi" w:eastAsiaTheme="minorEastAsia" w:hAnsiTheme="minorHAnsi"/>
          <w:b w:val="0"/>
          <w:iCs w:val="0"/>
          <w:sz w:val="22"/>
          <w:lang w:val="en-GB" w:eastAsia="en-GB"/>
        </w:rPr>
      </w:pPr>
      <w:hyperlink w:anchor="_Toc132023827" w:history="1">
        <w:r w:rsidR="00484ED4" w:rsidRPr="00B92A04">
          <w:rPr>
            <w:rStyle w:val="Hyperlink"/>
          </w:rPr>
          <w:t>Observation 5: VSAT devices are more complex than regular handheld devices and might support tightened requirements.</w:t>
        </w:r>
      </w:hyperlink>
    </w:p>
    <w:p w14:paraId="13F67883" w14:textId="1638F76C" w:rsidR="00484ED4" w:rsidRDefault="0015206E">
      <w:pPr>
        <w:pStyle w:val="TOC1"/>
        <w:rPr>
          <w:rFonts w:asciiTheme="minorHAnsi" w:eastAsiaTheme="minorEastAsia" w:hAnsiTheme="minorHAnsi"/>
          <w:b w:val="0"/>
          <w:iCs w:val="0"/>
          <w:sz w:val="22"/>
          <w:lang w:val="en-GB" w:eastAsia="en-GB"/>
        </w:rPr>
      </w:pPr>
      <w:hyperlink w:anchor="_Toc132023828" w:history="1">
        <w:r w:rsidR="00484ED4" w:rsidRPr="00B92A04">
          <w:rPr>
            <w:rStyle w:val="Hyperlink"/>
            <w:lang w:val="en-GB"/>
          </w:rPr>
          <w:t>Proposal 1: For the operation in the NTN Ka-bands, if the chosen SCS is 60 or 120 kHz, the transmit timing error limit must be tightened up to 4 Ts for 120 kHz and 8 Ts for 60 kHz.</w:t>
        </w:r>
      </w:hyperlink>
    </w:p>
    <w:p w14:paraId="717A06FD" w14:textId="0863DF80" w:rsidR="00484ED4" w:rsidRDefault="0015206E">
      <w:pPr>
        <w:pStyle w:val="TOC1"/>
        <w:rPr>
          <w:rFonts w:asciiTheme="minorHAnsi" w:eastAsiaTheme="minorEastAsia" w:hAnsiTheme="minorHAnsi"/>
          <w:b w:val="0"/>
          <w:iCs w:val="0"/>
          <w:sz w:val="22"/>
          <w:lang w:val="en-GB" w:eastAsia="en-GB"/>
        </w:rPr>
      </w:pPr>
      <w:hyperlink w:anchor="_Toc132023829" w:history="1">
        <w:r w:rsidR="00484ED4" w:rsidRPr="00B92A04">
          <w:rPr>
            <w:rStyle w:val="Hyperlink"/>
            <w:lang w:val="en-GB"/>
          </w:rPr>
          <w:t>Proposal 2: If the transmit timing error cannot be tightened up, and the chosen SCS is 60 or 120 kHz, RAN4 shall ask RAN1 to provide alternative synchronization solutions for NTN.</w:t>
        </w:r>
      </w:hyperlink>
    </w:p>
    <w:p w14:paraId="716B0A19" w14:textId="63BBA22E" w:rsidR="00484ED4" w:rsidRDefault="0015206E">
      <w:pPr>
        <w:pStyle w:val="TOC1"/>
        <w:rPr>
          <w:rFonts w:asciiTheme="minorHAnsi" w:eastAsiaTheme="minorEastAsia" w:hAnsiTheme="minorHAnsi"/>
          <w:b w:val="0"/>
          <w:iCs w:val="0"/>
          <w:sz w:val="22"/>
          <w:lang w:val="en-GB" w:eastAsia="en-GB"/>
        </w:rPr>
      </w:pPr>
      <w:hyperlink w:anchor="_Toc132023830" w:history="1">
        <w:r w:rsidR="00484ED4" w:rsidRPr="00B92A04">
          <w:rPr>
            <w:rStyle w:val="Hyperlink"/>
          </w:rPr>
          <w:t>Observation 6: Koffset can support larger SCS. Kmac will require RAN2 specification update to support the range for K</w:t>
        </w:r>
        <w:r w:rsidR="00484ED4" w:rsidRPr="00B92A04">
          <w:rPr>
            <w:rStyle w:val="Hyperlink"/>
            <w:vertAlign w:val="subscript"/>
          </w:rPr>
          <w:t>mac</w:t>
        </w:r>
        <w:r w:rsidR="00484ED4" w:rsidRPr="00B92A04">
          <w:rPr>
            <w:rStyle w:val="Hyperlink"/>
          </w:rPr>
          <w:t>.</w:t>
        </w:r>
      </w:hyperlink>
    </w:p>
    <w:p w14:paraId="326F5A64" w14:textId="168FFB4E" w:rsidR="00484ED4" w:rsidRDefault="0015206E">
      <w:pPr>
        <w:pStyle w:val="TOC1"/>
        <w:rPr>
          <w:rFonts w:asciiTheme="minorHAnsi" w:eastAsiaTheme="minorEastAsia" w:hAnsiTheme="minorHAnsi"/>
          <w:b w:val="0"/>
          <w:iCs w:val="0"/>
          <w:sz w:val="22"/>
          <w:lang w:val="en-GB" w:eastAsia="en-GB"/>
        </w:rPr>
      </w:pPr>
      <w:hyperlink w:anchor="_Toc132023831" w:history="1">
        <w:r w:rsidR="00484ED4" w:rsidRPr="00B92A04">
          <w:rPr>
            <w:rStyle w:val="Hyperlink"/>
          </w:rPr>
          <w:t>Proposal 3: When RAN4 reaches a definition on the choice of SCS for the operation in NTN Ka-Band, RAN4 shall request RAN2 to update the definition of  kmac.</w:t>
        </w:r>
      </w:hyperlink>
    </w:p>
    <w:p w14:paraId="74EB8B29" w14:textId="5CB5A8F8" w:rsidR="00484ED4" w:rsidRDefault="0015206E">
      <w:pPr>
        <w:pStyle w:val="TOC1"/>
        <w:rPr>
          <w:rFonts w:asciiTheme="minorHAnsi" w:eastAsiaTheme="minorEastAsia" w:hAnsiTheme="minorHAnsi"/>
          <w:b w:val="0"/>
          <w:iCs w:val="0"/>
          <w:sz w:val="22"/>
          <w:lang w:val="en-GB" w:eastAsia="en-GB"/>
        </w:rPr>
      </w:pPr>
      <w:hyperlink w:anchor="_Toc132023832" w:history="1">
        <w:r w:rsidR="00484ED4" w:rsidRPr="00B92A04">
          <w:rPr>
            <w:rStyle w:val="Hyperlink"/>
            <w:lang w:val="en-GB"/>
          </w:rPr>
          <w:t>Proposal 4: If SCS to be used in NTN operation in Ka-Band (FR2-NTN)  is set to 60 kHz and 120 kHz, RAN4 to design requirements for inter-band mobility operation in NTN.</w:t>
        </w:r>
      </w:hyperlink>
    </w:p>
    <w:p w14:paraId="0B46A620" w14:textId="2D5BE91D" w:rsidR="00484ED4" w:rsidRDefault="0015206E">
      <w:pPr>
        <w:pStyle w:val="TOC1"/>
        <w:rPr>
          <w:rFonts w:asciiTheme="minorHAnsi" w:eastAsiaTheme="minorEastAsia" w:hAnsiTheme="minorHAnsi"/>
          <w:b w:val="0"/>
          <w:iCs w:val="0"/>
          <w:sz w:val="22"/>
          <w:lang w:val="en-GB" w:eastAsia="en-GB"/>
        </w:rPr>
      </w:pPr>
      <w:hyperlink w:anchor="_Toc132023833" w:history="1">
        <w:r w:rsidR="00484ED4" w:rsidRPr="00B92A04">
          <w:rPr>
            <w:rStyle w:val="Hyperlink"/>
          </w:rPr>
          <w:t>Observation 7: In TN FR2, RRM requirements for mobility are scaled by different factors depending on UE power class.</w:t>
        </w:r>
      </w:hyperlink>
    </w:p>
    <w:p w14:paraId="305FC16A" w14:textId="4815C7AD" w:rsidR="00484ED4" w:rsidRDefault="0015206E">
      <w:pPr>
        <w:pStyle w:val="TOC1"/>
        <w:rPr>
          <w:rFonts w:asciiTheme="minorHAnsi" w:eastAsiaTheme="minorEastAsia" w:hAnsiTheme="minorHAnsi"/>
          <w:b w:val="0"/>
          <w:iCs w:val="0"/>
          <w:sz w:val="22"/>
          <w:lang w:val="en-GB" w:eastAsia="en-GB"/>
        </w:rPr>
      </w:pPr>
      <w:hyperlink w:anchor="_Toc132023834" w:history="1">
        <w:r w:rsidR="00484ED4" w:rsidRPr="00B92A04">
          <w:rPr>
            <w:rStyle w:val="Hyperlink"/>
          </w:rPr>
          <w:t>Proposal 5: Wait for the definition on UE power classes to be considered and before discussing the mobility requirements for NTN operation in the Ka Band (FR2-NTN).</w:t>
        </w:r>
      </w:hyperlink>
    </w:p>
    <w:p w14:paraId="648BC44A" w14:textId="5D667879" w:rsidR="00484ED4" w:rsidRDefault="0015206E">
      <w:pPr>
        <w:pStyle w:val="TOC1"/>
        <w:rPr>
          <w:rFonts w:asciiTheme="minorHAnsi" w:eastAsiaTheme="minorEastAsia" w:hAnsiTheme="minorHAnsi"/>
          <w:b w:val="0"/>
          <w:iCs w:val="0"/>
          <w:sz w:val="22"/>
          <w:lang w:val="en-GB" w:eastAsia="en-GB"/>
        </w:rPr>
      </w:pPr>
      <w:hyperlink w:anchor="_Toc132023835" w:history="1">
        <w:r w:rsidR="00484ED4" w:rsidRPr="00B92A04">
          <w:rPr>
            <w:rStyle w:val="Hyperlink"/>
          </w:rPr>
          <w:t>Proposal 6: When RAN4 reaches a definition on the choice of SCS for the operation in NTN Ka-Band, RAN4 shall request RAN1 to provide PRACH Configurations applicable for this band.</w:t>
        </w:r>
      </w:hyperlink>
    </w:p>
    <w:p w14:paraId="60F64158" w14:textId="15726B7D" w:rsidR="00484ED4" w:rsidRDefault="0015206E">
      <w:pPr>
        <w:pStyle w:val="TOC1"/>
        <w:rPr>
          <w:rFonts w:asciiTheme="minorHAnsi" w:eastAsiaTheme="minorEastAsia" w:hAnsiTheme="minorHAnsi"/>
          <w:b w:val="0"/>
          <w:iCs w:val="0"/>
          <w:sz w:val="22"/>
          <w:lang w:val="en-GB" w:eastAsia="en-GB"/>
        </w:rPr>
      </w:pPr>
      <w:hyperlink w:anchor="_Toc132023836" w:history="1">
        <w:r w:rsidR="00484ED4" w:rsidRPr="00B92A04">
          <w:rPr>
            <w:rStyle w:val="Hyperlink"/>
          </w:rPr>
          <w:t>Proposal 7: When RAN4 reaches a definition on the choice of SCS for the operation in NTN Ka-Band, RAN4 shall request RAN1 to provide symbol indexes for candidate SS/PBCH blocks applicable for this band and RAN2 to update the bitmap field descriptions accordingly.</w:t>
        </w:r>
      </w:hyperlink>
    </w:p>
    <w:p w14:paraId="5222C740" w14:textId="6235AD7A" w:rsidR="003B659E" w:rsidRPr="0060543D" w:rsidRDefault="0050770D" w:rsidP="0060543D">
      <w:pPr>
        <w:pStyle w:val="RAN4H1"/>
        <w:numPr>
          <w:ilvl w:val="0"/>
          <w:numId w:val="0"/>
        </w:numPr>
        <w:ind w:left="360" w:hanging="360"/>
      </w:pPr>
      <w:r>
        <w:rPr>
          <w:rFonts w:ascii="Times New Roman" w:eastAsiaTheme="minorHAnsi" w:hAnsi="Times New Roman" w:cstheme="minorBidi"/>
          <w:i/>
          <w:iCs/>
          <w:noProof/>
          <w:sz w:val="20"/>
          <w:szCs w:val="22"/>
          <w:u w:val="single"/>
          <w:lang w:val="en-US"/>
        </w:rPr>
        <w:fldChar w:fldCharType="end"/>
      </w:r>
      <w:r w:rsidR="003B659E" w:rsidRPr="00EF698B">
        <w:t>References</w:t>
      </w:r>
      <w:bookmarkEnd w:id="55"/>
    </w:p>
    <w:p w14:paraId="1B42BA98" w14:textId="77777777" w:rsidR="00D71116" w:rsidRDefault="00D71116" w:rsidP="00D71116">
      <w:pPr>
        <w:numPr>
          <w:ilvl w:val="0"/>
          <w:numId w:val="21"/>
        </w:numPr>
        <w:overflowPunct w:val="0"/>
        <w:autoSpaceDE w:val="0"/>
        <w:autoSpaceDN w:val="0"/>
        <w:adjustRightInd w:val="0"/>
        <w:spacing w:after="0" w:line="240" w:lineRule="auto"/>
        <w:jc w:val="both"/>
        <w:textAlignment w:val="baseline"/>
      </w:pPr>
      <w:bookmarkStart w:id="56" w:name="_Ref114500673"/>
      <w:bookmarkStart w:id="57" w:name="_Ref54013899"/>
      <w:bookmarkEnd w:id="56"/>
      <w:r w:rsidRPr="00FD51CE">
        <w:t>RP-223534</w:t>
      </w:r>
      <w:r w:rsidRPr="00FF6B64">
        <w:t xml:space="preserve">, </w:t>
      </w:r>
      <w:bookmarkEnd w:id="57"/>
      <w:r w:rsidRPr="001D7FDE">
        <w:t>NR NTN (Non-Terrestrial Networks) enhancements</w:t>
      </w:r>
      <w:r>
        <w:t>, Thales</w:t>
      </w:r>
    </w:p>
    <w:p w14:paraId="69FD129D" w14:textId="77777777" w:rsidR="00D71116" w:rsidRDefault="00D71116" w:rsidP="00D71116">
      <w:pPr>
        <w:numPr>
          <w:ilvl w:val="0"/>
          <w:numId w:val="21"/>
        </w:numPr>
        <w:overflowPunct w:val="0"/>
        <w:autoSpaceDE w:val="0"/>
        <w:autoSpaceDN w:val="0"/>
        <w:adjustRightInd w:val="0"/>
        <w:spacing w:after="0" w:line="240" w:lineRule="auto"/>
        <w:jc w:val="both"/>
        <w:textAlignment w:val="baseline"/>
      </w:pPr>
      <w:r w:rsidRPr="00D71116">
        <w:t>R4-2302998</w:t>
      </w:r>
      <w:r w:rsidRPr="00FF6B64">
        <w:t xml:space="preserve">, </w:t>
      </w:r>
      <w:r w:rsidRPr="00D71116">
        <w:rPr>
          <w:i/>
          <w:iCs/>
        </w:rPr>
        <w:t>WF for system parameters of above 10 GHz NTN band</w:t>
      </w:r>
      <w:r>
        <w:t>, Thales (Moderator)</w:t>
      </w:r>
    </w:p>
    <w:p w14:paraId="1F2A738C" w14:textId="77777777" w:rsidR="009A65E7" w:rsidRPr="00A167FE" w:rsidRDefault="009A65E7" w:rsidP="009A65E7">
      <w:pPr>
        <w:pStyle w:val="ListParagraph"/>
        <w:numPr>
          <w:ilvl w:val="0"/>
          <w:numId w:val="21"/>
        </w:numPr>
        <w:overflowPunct w:val="0"/>
        <w:autoSpaceDE w:val="0"/>
        <w:autoSpaceDN w:val="0"/>
        <w:adjustRightInd w:val="0"/>
        <w:spacing w:after="0" w:line="240" w:lineRule="auto"/>
        <w:ind w:right="-22"/>
        <w:jc w:val="both"/>
        <w:textAlignment w:val="baseline"/>
      </w:pPr>
      <w:bookmarkStart w:id="58" w:name="_Ref118130196"/>
      <w:r>
        <w:rPr>
          <w:rFonts w:cs="Arial"/>
          <w:sz w:val="18"/>
          <w:szCs w:val="18"/>
        </w:rPr>
        <w:t xml:space="preserve">TS 38.133, </w:t>
      </w:r>
      <w:r>
        <w:rPr>
          <w:rFonts w:cs="Arial"/>
          <w:i/>
          <w:iCs/>
          <w:sz w:val="18"/>
          <w:szCs w:val="18"/>
        </w:rPr>
        <w:t>NR; Requirements for support of radio resource management</w:t>
      </w:r>
      <w:r>
        <w:rPr>
          <w:rFonts w:cs="Arial"/>
          <w:sz w:val="18"/>
          <w:szCs w:val="18"/>
        </w:rPr>
        <w:t>, V17.7.0, 3GPP</w:t>
      </w:r>
      <w:bookmarkEnd w:id="58"/>
    </w:p>
    <w:p w14:paraId="6D558AA7" w14:textId="77777777" w:rsidR="00A167FE" w:rsidRDefault="00A167FE" w:rsidP="00A167FE">
      <w:pPr>
        <w:numPr>
          <w:ilvl w:val="0"/>
          <w:numId w:val="21"/>
        </w:numPr>
        <w:overflowPunct w:val="0"/>
        <w:autoSpaceDE w:val="0"/>
        <w:autoSpaceDN w:val="0"/>
        <w:adjustRightInd w:val="0"/>
        <w:spacing w:after="0" w:line="240" w:lineRule="auto"/>
        <w:jc w:val="both"/>
        <w:textAlignment w:val="baseline"/>
      </w:pPr>
      <w:bookmarkStart w:id="59" w:name="_Ref130303734"/>
      <w:r>
        <w:t xml:space="preserve">TS 38.211, </w:t>
      </w:r>
      <w:r w:rsidRPr="00AD4F5C">
        <w:rPr>
          <w:rFonts w:ascii="Arial" w:hAnsi="Arial" w:cs="Arial"/>
          <w:i/>
          <w:iCs/>
          <w:color w:val="000000"/>
          <w:sz w:val="18"/>
          <w:szCs w:val="18"/>
        </w:rPr>
        <w:t>NR; Physical channels and modulation</w:t>
      </w:r>
      <w:r>
        <w:rPr>
          <w:rFonts w:ascii="Arial" w:hAnsi="Arial" w:cs="Arial"/>
          <w:color w:val="000000"/>
          <w:sz w:val="18"/>
          <w:szCs w:val="18"/>
        </w:rPr>
        <w:t>, V17.4.0, 3GPP</w:t>
      </w:r>
      <w:bookmarkEnd w:id="59"/>
    </w:p>
    <w:p w14:paraId="510BA1CD" w14:textId="0DE2A739" w:rsidR="00757ABB" w:rsidRDefault="00757ABB" w:rsidP="00757ABB">
      <w:pPr>
        <w:numPr>
          <w:ilvl w:val="0"/>
          <w:numId w:val="21"/>
        </w:numPr>
        <w:overflowPunct w:val="0"/>
        <w:autoSpaceDE w:val="0"/>
        <w:autoSpaceDN w:val="0"/>
        <w:adjustRightInd w:val="0"/>
        <w:spacing w:after="0" w:line="240" w:lineRule="auto"/>
        <w:jc w:val="both"/>
        <w:textAlignment w:val="baseline"/>
      </w:pPr>
      <w:bookmarkStart w:id="60" w:name="_Ref130303848"/>
      <w:r>
        <w:t xml:space="preserve">TR 38.821, </w:t>
      </w:r>
      <w:r w:rsidRPr="00757ABB">
        <w:rPr>
          <w:rFonts w:ascii="Arial" w:hAnsi="Arial" w:cs="Arial"/>
          <w:i/>
          <w:iCs/>
          <w:color w:val="000000"/>
          <w:sz w:val="18"/>
          <w:szCs w:val="18"/>
        </w:rPr>
        <w:t>Solutions for NR to support Non-Terrestrial Networks (NTN)</w:t>
      </w:r>
      <w:r>
        <w:rPr>
          <w:rFonts w:ascii="Arial" w:hAnsi="Arial" w:cs="Arial"/>
          <w:color w:val="000000"/>
          <w:sz w:val="18"/>
          <w:szCs w:val="18"/>
        </w:rPr>
        <w:t>, V16.1.0, 3GPP</w:t>
      </w:r>
      <w:bookmarkEnd w:id="60"/>
    </w:p>
    <w:p w14:paraId="2003BEFE" w14:textId="217D6B5B" w:rsidR="00C94B14" w:rsidRDefault="00C94B14" w:rsidP="00C94B14">
      <w:pPr>
        <w:pStyle w:val="ListParagraph"/>
        <w:numPr>
          <w:ilvl w:val="0"/>
          <w:numId w:val="21"/>
        </w:numPr>
        <w:spacing w:after="0" w:line="256" w:lineRule="auto"/>
        <w:ind w:right="-22"/>
      </w:pPr>
      <w:bookmarkStart w:id="61" w:name="_Ref130303923"/>
      <w:r>
        <w:t xml:space="preserve">TS 38.181, </w:t>
      </w:r>
      <w:r w:rsidRPr="00C94B14">
        <w:rPr>
          <w:rFonts w:ascii="Arial" w:hAnsi="Arial" w:cs="Arial"/>
          <w:i/>
          <w:iCs/>
          <w:color w:val="000000"/>
          <w:sz w:val="18"/>
          <w:szCs w:val="18"/>
        </w:rPr>
        <w:t>NR; Satellite Access Node conformance testing</w:t>
      </w:r>
      <w:r>
        <w:rPr>
          <w:rFonts w:ascii="Arial" w:hAnsi="Arial" w:cs="Arial"/>
          <w:i/>
          <w:iCs/>
          <w:color w:val="000000"/>
          <w:sz w:val="18"/>
          <w:szCs w:val="18"/>
        </w:rPr>
        <w:t>, V17.3.0</w:t>
      </w:r>
      <w:r>
        <w:rPr>
          <w:rFonts w:ascii="Arial" w:hAnsi="Arial" w:cs="Arial"/>
          <w:color w:val="000000"/>
          <w:sz w:val="18"/>
          <w:szCs w:val="18"/>
        </w:rPr>
        <w:t>, 3GPP</w:t>
      </w:r>
      <w:bookmarkEnd w:id="61"/>
    </w:p>
    <w:p w14:paraId="2EC69F9D" w14:textId="13011BAA" w:rsidR="00492F7C" w:rsidRDefault="00492F7C" w:rsidP="00492F7C">
      <w:pPr>
        <w:pStyle w:val="ListParagraph"/>
        <w:numPr>
          <w:ilvl w:val="0"/>
          <w:numId w:val="21"/>
        </w:numPr>
        <w:spacing w:after="0" w:line="256" w:lineRule="auto"/>
        <w:ind w:right="-22"/>
      </w:pPr>
      <w:bookmarkStart w:id="62" w:name="_Ref130304090"/>
      <w:r>
        <w:t xml:space="preserve">TS 38.141-1, </w:t>
      </w:r>
      <w:r w:rsidRPr="00492F7C">
        <w:rPr>
          <w:rFonts w:ascii="Arial" w:hAnsi="Arial" w:cs="Arial"/>
          <w:i/>
          <w:iCs/>
          <w:color w:val="000000"/>
          <w:sz w:val="18"/>
          <w:szCs w:val="18"/>
        </w:rPr>
        <w:t>NR; Base Station (BS) conformance testing Part 1: Conducted conformance testing</w:t>
      </w:r>
      <w:r>
        <w:rPr>
          <w:rFonts w:ascii="Arial" w:hAnsi="Arial" w:cs="Arial"/>
          <w:i/>
          <w:iCs/>
          <w:color w:val="000000"/>
          <w:sz w:val="18"/>
          <w:szCs w:val="18"/>
        </w:rPr>
        <w:t>, V17.3.0</w:t>
      </w:r>
      <w:r>
        <w:rPr>
          <w:rFonts w:ascii="Arial" w:hAnsi="Arial" w:cs="Arial"/>
          <w:color w:val="000000"/>
          <w:sz w:val="18"/>
          <w:szCs w:val="18"/>
        </w:rPr>
        <w:t>, 3GPP</w:t>
      </w:r>
      <w:bookmarkEnd w:id="62"/>
    </w:p>
    <w:p w14:paraId="02C226C2" w14:textId="01DB758B" w:rsidR="00A167FE" w:rsidRPr="006F72FE" w:rsidRDefault="00492F7C" w:rsidP="00492F7C">
      <w:pPr>
        <w:pStyle w:val="ListParagraph"/>
        <w:numPr>
          <w:ilvl w:val="0"/>
          <w:numId w:val="21"/>
        </w:numPr>
        <w:spacing w:after="0" w:line="256" w:lineRule="auto"/>
        <w:ind w:right="-22"/>
      </w:pPr>
      <w:bookmarkStart w:id="63" w:name="_Ref130304091"/>
      <w:r>
        <w:t xml:space="preserve">TS 38.141-2, </w:t>
      </w:r>
      <w:r w:rsidRPr="00492F7C">
        <w:rPr>
          <w:rFonts w:ascii="Arial" w:hAnsi="Arial" w:cs="Arial"/>
          <w:i/>
          <w:iCs/>
          <w:color w:val="000000"/>
          <w:sz w:val="18"/>
          <w:szCs w:val="18"/>
        </w:rPr>
        <w:t xml:space="preserve">NR; Base Station (BS) conformance testing Part </w:t>
      </w:r>
      <w:r w:rsidR="008B6454">
        <w:rPr>
          <w:rFonts w:ascii="Arial" w:hAnsi="Arial" w:cs="Arial"/>
          <w:i/>
          <w:iCs/>
          <w:color w:val="000000"/>
          <w:sz w:val="18"/>
          <w:szCs w:val="18"/>
        </w:rPr>
        <w:t>2</w:t>
      </w:r>
      <w:r w:rsidRPr="00492F7C">
        <w:rPr>
          <w:rFonts w:ascii="Arial" w:hAnsi="Arial" w:cs="Arial"/>
          <w:i/>
          <w:iCs/>
          <w:color w:val="000000"/>
          <w:sz w:val="18"/>
          <w:szCs w:val="18"/>
        </w:rPr>
        <w:t xml:space="preserve">: </w:t>
      </w:r>
      <w:r w:rsidR="008B6454">
        <w:rPr>
          <w:rFonts w:ascii="Arial" w:hAnsi="Arial" w:cs="Arial"/>
          <w:i/>
          <w:iCs/>
          <w:color w:val="000000"/>
          <w:sz w:val="18"/>
          <w:szCs w:val="18"/>
        </w:rPr>
        <w:t>Radiated</w:t>
      </w:r>
      <w:r w:rsidRPr="00492F7C">
        <w:rPr>
          <w:rFonts w:ascii="Arial" w:hAnsi="Arial" w:cs="Arial"/>
          <w:i/>
          <w:iCs/>
          <w:color w:val="000000"/>
          <w:sz w:val="18"/>
          <w:szCs w:val="18"/>
        </w:rPr>
        <w:t xml:space="preserve"> conformance testing</w:t>
      </w:r>
      <w:r>
        <w:rPr>
          <w:rFonts w:ascii="Arial" w:hAnsi="Arial" w:cs="Arial"/>
          <w:i/>
          <w:iCs/>
          <w:color w:val="000000"/>
          <w:sz w:val="18"/>
          <w:szCs w:val="18"/>
        </w:rPr>
        <w:t>, V17.3.0</w:t>
      </w:r>
      <w:r>
        <w:rPr>
          <w:rFonts w:ascii="Arial" w:hAnsi="Arial" w:cs="Arial"/>
          <w:color w:val="000000"/>
          <w:sz w:val="18"/>
          <w:szCs w:val="18"/>
        </w:rPr>
        <w:t>, 3GPP</w:t>
      </w:r>
      <w:bookmarkEnd w:id="63"/>
    </w:p>
    <w:p w14:paraId="082099D5" w14:textId="4A2CDC03" w:rsidR="006F72FE" w:rsidRPr="008B6454" w:rsidRDefault="006F72FE" w:rsidP="00492F7C">
      <w:pPr>
        <w:pStyle w:val="ListParagraph"/>
        <w:numPr>
          <w:ilvl w:val="0"/>
          <w:numId w:val="21"/>
        </w:numPr>
        <w:spacing w:after="0" w:line="256" w:lineRule="auto"/>
        <w:ind w:right="-22"/>
      </w:pPr>
      <w:r w:rsidRPr="006F72FE">
        <w:t>R1-2110900</w:t>
      </w:r>
      <w:r>
        <w:t xml:space="preserve">, </w:t>
      </w:r>
      <w:r w:rsidR="00573EF1">
        <w:t>“</w:t>
      </w:r>
      <w:r w:rsidR="00573EF1" w:rsidRPr="00573EF1">
        <w:t>Remaining time and frequency synchronization aspects for NR over NTN</w:t>
      </w:r>
      <w:r w:rsidR="00573EF1">
        <w:t xml:space="preserve">”, </w:t>
      </w:r>
      <w:r w:rsidR="00A72C04" w:rsidRPr="00A72C04">
        <w:t>Nokia, Nokia Shanghai Bell</w:t>
      </w:r>
      <w:r w:rsidR="00A72C04">
        <w:t xml:space="preserve">, </w:t>
      </w:r>
      <w:r w:rsidR="002B6D41" w:rsidRPr="002B6D41">
        <w:t xml:space="preserve">e-Meeting, 11 – 19 </w:t>
      </w:r>
      <w:proofErr w:type="gramStart"/>
      <w:r w:rsidR="002B6D41" w:rsidRPr="002B6D41">
        <w:t>November,</w:t>
      </w:r>
      <w:proofErr w:type="gramEnd"/>
      <w:r w:rsidR="002B6D41" w:rsidRPr="002B6D41">
        <w:t xml:space="preserve"> 2021</w:t>
      </w:r>
    </w:p>
    <w:p w14:paraId="21BB59A1" w14:textId="6F03097E" w:rsidR="008B6454" w:rsidRPr="00E90379" w:rsidRDefault="008B6454" w:rsidP="008B6454">
      <w:pPr>
        <w:numPr>
          <w:ilvl w:val="0"/>
          <w:numId w:val="21"/>
        </w:numPr>
        <w:overflowPunct w:val="0"/>
        <w:autoSpaceDE w:val="0"/>
        <w:autoSpaceDN w:val="0"/>
        <w:adjustRightInd w:val="0"/>
        <w:spacing w:after="0" w:line="240" w:lineRule="auto"/>
        <w:jc w:val="both"/>
        <w:textAlignment w:val="baseline"/>
      </w:pPr>
      <w:bookmarkStart w:id="64" w:name="_Ref118130224"/>
      <w:r>
        <w:t xml:space="preserve">TS 38.331, </w:t>
      </w:r>
      <w:r>
        <w:rPr>
          <w:rFonts w:ascii="Arial" w:hAnsi="Arial" w:cs="Arial"/>
          <w:i/>
          <w:iCs/>
          <w:color w:val="000000"/>
          <w:sz w:val="18"/>
          <w:szCs w:val="18"/>
        </w:rPr>
        <w:t>NR; Radio Resource Control (RRC); Protocol specification</w:t>
      </w:r>
      <w:r>
        <w:rPr>
          <w:rFonts w:ascii="Arial" w:hAnsi="Arial" w:cs="Arial"/>
          <w:color w:val="000000"/>
          <w:sz w:val="18"/>
          <w:szCs w:val="18"/>
        </w:rPr>
        <w:t>, V17.3.0, 3GPP</w:t>
      </w:r>
      <w:bookmarkEnd w:id="64"/>
    </w:p>
    <w:p w14:paraId="21D3BD9E" w14:textId="0A5C7633" w:rsidR="00E90379" w:rsidRDefault="00E90379" w:rsidP="00E90379">
      <w:pPr>
        <w:numPr>
          <w:ilvl w:val="0"/>
          <w:numId w:val="21"/>
        </w:numPr>
        <w:overflowPunct w:val="0"/>
        <w:autoSpaceDE w:val="0"/>
        <w:autoSpaceDN w:val="0"/>
        <w:adjustRightInd w:val="0"/>
        <w:spacing w:after="0" w:line="240" w:lineRule="auto"/>
        <w:jc w:val="both"/>
        <w:textAlignment w:val="baseline"/>
      </w:pPr>
      <w:bookmarkStart w:id="65" w:name="_Ref130304236"/>
      <w:r w:rsidRPr="009F529B">
        <w:t>R4-2303533</w:t>
      </w:r>
      <w:r w:rsidRPr="00FF6B64">
        <w:t xml:space="preserve">, </w:t>
      </w:r>
      <w:r w:rsidRPr="00E67446">
        <w:rPr>
          <w:i/>
          <w:iCs/>
        </w:rPr>
        <w:t>WF on NTN UE RF requirements for Ka band</w:t>
      </w:r>
      <w:r>
        <w:t>, ZTE</w:t>
      </w:r>
      <w:bookmarkEnd w:id="65"/>
    </w:p>
    <w:p w14:paraId="117D6C38" w14:textId="65AA3A9D" w:rsidR="00223A6E" w:rsidRDefault="00223A6E" w:rsidP="00223A6E">
      <w:pPr>
        <w:pStyle w:val="ListParagraph"/>
        <w:numPr>
          <w:ilvl w:val="0"/>
          <w:numId w:val="21"/>
        </w:numPr>
        <w:spacing w:after="0" w:line="256" w:lineRule="auto"/>
        <w:ind w:right="-22"/>
      </w:pPr>
      <w:bookmarkStart w:id="66" w:name="_Ref127448129"/>
      <w:r>
        <w:t>TS 3</w:t>
      </w:r>
      <w:r w:rsidR="00AD4F5C">
        <w:t>8</w:t>
      </w:r>
      <w:r>
        <w:t xml:space="preserve">.213, </w:t>
      </w:r>
      <w:r w:rsidR="00AD4F5C">
        <w:rPr>
          <w:rFonts w:ascii="Arial" w:hAnsi="Arial" w:cs="Arial"/>
          <w:i/>
          <w:iCs/>
          <w:color w:val="000000"/>
          <w:sz w:val="18"/>
          <w:szCs w:val="18"/>
        </w:rPr>
        <w:t>NR;</w:t>
      </w:r>
      <w:r>
        <w:rPr>
          <w:rFonts w:ascii="Arial" w:hAnsi="Arial" w:cs="Arial"/>
          <w:i/>
          <w:iCs/>
          <w:color w:val="000000"/>
          <w:sz w:val="18"/>
          <w:szCs w:val="18"/>
        </w:rPr>
        <w:t xml:space="preserve"> Physical layer procedures, V17.3.0</w:t>
      </w:r>
      <w:r>
        <w:rPr>
          <w:rFonts w:ascii="Arial" w:hAnsi="Arial" w:cs="Arial"/>
          <w:color w:val="000000"/>
          <w:sz w:val="18"/>
          <w:szCs w:val="18"/>
        </w:rPr>
        <w:t>, 3GPP</w:t>
      </w:r>
      <w:bookmarkEnd w:id="66"/>
    </w:p>
    <w:p w14:paraId="130A1147" w14:textId="77777777" w:rsidR="006F366E" w:rsidRDefault="006F366E" w:rsidP="006F366E">
      <w:pPr>
        <w:numPr>
          <w:ilvl w:val="0"/>
          <w:numId w:val="21"/>
        </w:numPr>
        <w:overflowPunct w:val="0"/>
        <w:autoSpaceDE w:val="0"/>
        <w:autoSpaceDN w:val="0"/>
        <w:adjustRightInd w:val="0"/>
        <w:spacing w:after="0" w:line="240" w:lineRule="auto"/>
        <w:jc w:val="both"/>
        <w:textAlignment w:val="baseline"/>
      </w:pPr>
      <w:bookmarkStart w:id="67" w:name="_Ref127195985"/>
      <w:r>
        <w:t xml:space="preserve">TS 38.321, </w:t>
      </w:r>
      <w:r>
        <w:rPr>
          <w:rFonts w:ascii="Arial" w:hAnsi="Arial" w:cs="Arial"/>
          <w:i/>
          <w:iCs/>
          <w:color w:val="000000"/>
          <w:sz w:val="18"/>
          <w:szCs w:val="18"/>
        </w:rPr>
        <w:t>NR; Medium Access Control (MAC) protocol specification</w:t>
      </w:r>
      <w:r>
        <w:rPr>
          <w:rFonts w:ascii="Arial" w:hAnsi="Arial" w:cs="Arial"/>
          <w:color w:val="000000"/>
          <w:sz w:val="18"/>
          <w:szCs w:val="18"/>
        </w:rPr>
        <w:t>, V17.3.0, 3GPP</w:t>
      </w:r>
      <w:bookmarkEnd w:id="67"/>
    </w:p>
    <w:p w14:paraId="2BFC28BF" w14:textId="77777777" w:rsidR="008B6454" w:rsidRDefault="008B6454" w:rsidP="00BD4E0E">
      <w:pPr>
        <w:overflowPunct w:val="0"/>
        <w:autoSpaceDE w:val="0"/>
        <w:autoSpaceDN w:val="0"/>
        <w:adjustRightInd w:val="0"/>
        <w:spacing w:after="0" w:line="240" w:lineRule="auto"/>
        <w:ind w:left="720"/>
        <w:jc w:val="both"/>
        <w:textAlignment w:val="baseline"/>
      </w:pPr>
    </w:p>
    <w:p w14:paraId="2CBFF01F" w14:textId="77777777" w:rsidR="000040DC" w:rsidRDefault="000040DC" w:rsidP="000040DC">
      <w:pPr>
        <w:ind w:right="-22"/>
        <w:rPr>
          <w:highlight w:val="yellow"/>
        </w:rPr>
      </w:pPr>
    </w:p>
    <w:p w14:paraId="5A6B9BFE" w14:textId="77777777" w:rsidR="0060543D" w:rsidRDefault="0060543D" w:rsidP="000040DC">
      <w:pPr>
        <w:ind w:right="-22"/>
        <w:rPr>
          <w:highlight w:val="yellow"/>
        </w:rPr>
      </w:pPr>
    </w:p>
    <w:sectPr w:rsid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7A641" w14:textId="77777777" w:rsidR="00061A7D" w:rsidRDefault="00061A7D" w:rsidP="00001C9B">
      <w:pPr>
        <w:spacing w:after="0" w:line="240" w:lineRule="auto"/>
      </w:pPr>
      <w:r>
        <w:separator/>
      </w:r>
    </w:p>
  </w:endnote>
  <w:endnote w:type="continuationSeparator" w:id="0">
    <w:p w14:paraId="1B0CB16F" w14:textId="77777777" w:rsidR="00061A7D" w:rsidRDefault="00061A7D" w:rsidP="00001C9B">
      <w:pPr>
        <w:spacing w:after="0" w:line="240" w:lineRule="auto"/>
      </w:pPr>
      <w:r>
        <w:continuationSeparator/>
      </w:r>
    </w:p>
  </w:endnote>
  <w:endnote w:type="continuationNotice" w:id="1">
    <w:p w14:paraId="7A5D40E8" w14:textId="77777777" w:rsidR="00061A7D" w:rsidRDefault="00061A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1974F" w14:textId="77777777" w:rsidR="00061A7D" w:rsidRDefault="00061A7D" w:rsidP="00001C9B">
      <w:pPr>
        <w:spacing w:after="0" w:line="240" w:lineRule="auto"/>
      </w:pPr>
      <w:r>
        <w:separator/>
      </w:r>
    </w:p>
  </w:footnote>
  <w:footnote w:type="continuationSeparator" w:id="0">
    <w:p w14:paraId="1A00A6CF" w14:textId="77777777" w:rsidR="00061A7D" w:rsidRDefault="00061A7D" w:rsidP="00001C9B">
      <w:pPr>
        <w:spacing w:after="0" w:line="240" w:lineRule="auto"/>
      </w:pPr>
      <w:r>
        <w:continuationSeparator/>
      </w:r>
    </w:p>
  </w:footnote>
  <w:footnote w:type="continuationNotice" w:id="1">
    <w:p w14:paraId="39236D18" w14:textId="77777777" w:rsidR="00061A7D" w:rsidRDefault="00061A7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C721A3"/>
    <w:multiLevelType w:val="hybridMultilevel"/>
    <w:tmpl w:val="6296AE96"/>
    <w:lvl w:ilvl="0" w:tplc="08090001">
      <w:start w:val="1"/>
      <w:numFmt w:val="bullet"/>
      <w:lvlText w:val=""/>
      <w:lvlJc w:val="left"/>
      <w:pPr>
        <w:ind w:left="1485" w:hanging="360"/>
      </w:pPr>
      <w:rPr>
        <w:rFonts w:ascii="Symbol" w:hAnsi="Symbol"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DA5EF4"/>
    <w:multiLevelType w:val="hybridMultilevel"/>
    <w:tmpl w:val="07021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9575"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514742"/>
    <w:multiLevelType w:val="hybridMultilevel"/>
    <w:tmpl w:val="D81E7B10"/>
    <w:lvl w:ilvl="0" w:tplc="DD78C09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50018E"/>
    <w:multiLevelType w:val="hybridMultilevel"/>
    <w:tmpl w:val="E41CC2C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A087F48"/>
    <w:multiLevelType w:val="hybridMultilevel"/>
    <w:tmpl w:val="2C807E94"/>
    <w:lvl w:ilvl="0" w:tplc="DD78C09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3C7ED3"/>
    <w:multiLevelType w:val="hybridMultilevel"/>
    <w:tmpl w:val="8D1AB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0973E3"/>
    <w:multiLevelType w:val="hybridMultilevel"/>
    <w:tmpl w:val="6E56660E"/>
    <w:lvl w:ilvl="0" w:tplc="49DE5F38">
      <w:start w:val="60"/>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78428574">
    <w:abstractNumId w:val="1"/>
  </w:num>
  <w:num w:numId="2" w16cid:durableId="2109764891">
    <w:abstractNumId w:val="7"/>
  </w:num>
  <w:num w:numId="3" w16cid:durableId="1456874484">
    <w:abstractNumId w:val="12"/>
  </w:num>
  <w:num w:numId="4" w16cid:durableId="2120181144">
    <w:abstractNumId w:val="6"/>
  </w:num>
  <w:num w:numId="5" w16cid:durableId="1349215280">
    <w:abstractNumId w:val="19"/>
  </w:num>
  <w:num w:numId="6" w16cid:durableId="1163206620">
    <w:abstractNumId w:val="10"/>
  </w:num>
  <w:num w:numId="7" w16cid:durableId="1798643344">
    <w:abstractNumId w:val="11"/>
  </w:num>
  <w:num w:numId="8" w16cid:durableId="709914271">
    <w:abstractNumId w:val="11"/>
    <w:lvlOverride w:ilvl="0">
      <w:startOverride w:val="1"/>
    </w:lvlOverride>
  </w:num>
  <w:num w:numId="9" w16cid:durableId="623266807">
    <w:abstractNumId w:val="11"/>
    <w:lvlOverride w:ilvl="0">
      <w:startOverride w:val="1"/>
    </w:lvlOverride>
  </w:num>
  <w:num w:numId="10" w16cid:durableId="124466785">
    <w:abstractNumId w:val="11"/>
    <w:lvlOverride w:ilvl="0">
      <w:startOverride w:val="1"/>
    </w:lvlOverride>
  </w:num>
  <w:num w:numId="11" w16cid:durableId="1928297523">
    <w:abstractNumId w:val="10"/>
    <w:lvlOverride w:ilvl="0">
      <w:startOverride w:val="1"/>
    </w:lvlOverride>
  </w:num>
  <w:num w:numId="12" w16cid:durableId="2036299091">
    <w:abstractNumId w:val="11"/>
    <w:lvlOverride w:ilvl="0">
      <w:startOverride w:val="1"/>
    </w:lvlOverride>
  </w:num>
  <w:num w:numId="13" w16cid:durableId="1289778728">
    <w:abstractNumId w:val="10"/>
    <w:lvlOverride w:ilvl="0">
      <w:startOverride w:val="1"/>
    </w:lvlOverride>
  </w:num>
  <w:num w:numId="14" w16cid:durableId="970282125">
    <w:abstractNumId w:val="11"/>
    <w:lvlOverride w:ilvl="0">
      <w:startOverride w:val="1"/>
    </w:lvlOverride>
  </w:num>
  <w:num w:numId="15" w16cid:durableId="2028823736">
    <w:abstractNumId w:val="22"/>
  </w:num>
  <w:num w:numId="16" w16cid:durableId="725183677">
    <w:abstractNumId w:val="5"/>
  </w:num>
  <w:num w:numId="17" w16cid:durableId="1364940522">
    <w:abstractNumId w:val="18"/>
  </w:num>
  <w:num w:numId="18" w16cid:durableId="607322381">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2730254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93105108">
    <w:abstractNumId w:val="9"/>
  </w:num>
  <w:num w:numId="21" w16cid:durableId="648704063">
    <w:abstractNumId w:val="16"/>
  </w:num>
  <w:num w:numId="22" w16cid:durableId="2068994639">
    <w:abstractNumId w:val="10"/>
    <w:lvlOverride w:ilvl="0">
      <w:startOverride w:val="1"/>
    </w:lvlOverride>
  </w:num>
  <w:num w:numId="23" w16cid:durableId="1608805731">
    <w:abstractNumId w:val="11"/>
    <w:lvlOverride w:ilvl="0">
      <w:startOverride w:val="1"/>
    </w:lvlOverride>
  </w:num>
  <w:num w:numId="24" w16cid:durableId="841431841">
    <w:abstractNumId w:val="3"/>
  </w:num>
  <w:num w:numId="25" w16cid:durableId="522747052">
    <w:abstractNumId w:val="0"/>
  </w:num>
  <w:num w:numId="26" w16cid:durableId="878278389">
    <w:abstractNumId w:val="0"/>
    <w:lvlOverride w:ilvl="0">
      <w:startOverride w:val="1"/>
    </w:lvlOverride>
  </w:num>
  <w:num w:numId="27" w16cid:durableId="1697345352">
    <w:abstractNumId w:val="4"/>
  </w:num>
  <w:num w:numId="28" w16cid:durableId="2003579023">
    <w:abstractNumId w:val="23"/>
  </w:num>
  <w:num w:numId="29" w16cid:durableId="532108762">
    <w:abstractNumId w:val="15"/>
  </w:num>
  <w:num w:numId="30" w16cid:durableId="1471753597">
    <w:abstractNumId w:val="14"/>
  </w:num>
  <w:num w:numId="31" w16cid:durableId="1093012190">
    <w:abstractNumId w:val="8"/>
  </w:num>
  <w:num w:numId="32" w16cid:durableId="1280718707">
    <w:abstractNumId w:val="17"/>
  </w:num>
  <w:num w:numId="33" w16cid:durableId="1713118982">
    <w:abstractNumId w:val="21"/>
  </w:num>
  <w:num w:numId="34" w16cid:durableId="1372684130">
    <w:abstractNumId w:val="24"/>
  </w:num>
  <w:num w:numId="35" w16cid:durableId="428820481">
    <w:abstractNumId w:val="2"/>
  </w:num>
  <w:num w:numId="36" w16cid:durableId="1375933286">
    <w:abstractNumId w:val="20"/>
  </w:num>
  <w:num w:numId="37" w16cid:durableId="1691688703">
    <w:abstractNumId w:val="13"/>
  </w:num>
  <w:num w:numId="38" w16cid:durableId="18842439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307745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AF069B"/>
    <w:rsid w:val="00001C9B"/>
    <w:rsid w:val="000037F3"/>
    <w:rsid w:val="000040DC"/>
    <w:rsid w:val="0000788A"/>
    <w:rsid w:val="000151EF"/>
    <w:rsid w:val="000239F5"/>
    <w:rsid w:val="000312BE"/>
    <w:rsid w:val="00051C57"/>
    <w:rsid w:val="00057CE7"/>
    <w:rsid w:val="00057F9D"/>
    <w:rsid w:val="00061A7D"/>
    <w:rsid w:val="0008612A"/>
    <w:rsid w:val="00090E18"/>
    <w:rsid w:val="0009211F"/>
    <w:rsid w:val="00095519"/>
    <w:rsid w:val="000A10BC"/>
    <w:rsid w:val="000B0056"/>
    <w:rsid w:val="000C2E75"/>
    <w:rsid w:val="000C3C7B"/>
    <w:rsid w:val="000C4F76"/>
    <w:rsid w:val="000D0F93"/>
    <w:rsid w:val="000D36AC"/>
    <w:rsid w:val="000E44B8"/>
    <w:rsid w:val="00105F99"/>
    <w:rsid w:val="00106416"/>
    <w:rsid w:val="00110481"/>
    <w:rsid w:val="001127C9"/>
    <w:rsid w:val="00113BD2"/>
    <w:rsid w:val="00115B88"/>
    <w:rsid w:val="00122CDD"/>
    <w:rsid w:val="00132F6A"/>
    <w:rsid w:val="00133913"/>
    <w:rsid w:val="00140221"/>
    <w:rsid w:val="00141026"/>
    <w:rsid w:val="00144AF2"/>
    <w:rsid w:val="0014528A"/>
    <w:rsid w:val="00147C16"/>
    <w:rsid w:val="0015206E"/>
    <w:rsid w:val="001642FC"/>
    <w:rsid w:val="0016496B"/>
    <w:rsid w:val="001743E2"/>
    <w:rsid w:val="001745F8"/>
    <w:rsid w:val="001838CF"/>
    <w:rsid w:val="001868EE"/>
    <w:rsid w:val="001A2C6D"/>
    <w:rsid w:val="001A3BA4"/>
    <w:rsid w:val="001A6D1F"/>
    <w:rsid w:val="001B5BF3"/>
    <w:rsid w:val="001B7E3D"/>
    <w:rsid w:val="001E30F6"/>
    <w:rsid w:val="001F1B59"/>
    <w:rsid w:val="00217EE5"/>
    <w:rsid w:val="00220D54"/>
    <w:rsid w:val="00222C91"/>
    <w:rsid w:val="00223A6E"/>
    <w:rsid w:val="00227C06"/>
    <w:rsid w:val="00235F5C"/>
    <w:rsid w:val="00257FA3"/>
    <w:rsid w:val="00260AC8"/>
    <w:rsid w:val="00277B56"/>
    <w:rsid w:val="00296FCC"/>
    <w:rsid w:val="00297541"/>
    <w:rsid w:val="002A19F5"/>
    <w:rsid w:val="002B1A40"/>
    <w:rsid w:val="002B4922"/>
    <w:rsid w:val="002B6D41"/>
    <w:rsid w:val="002C22C3"/>
    <w:rsid w:val="002C2D19"/>
    <w:rsid w:val="002D10FA"/>
    <w:rsid w:val="002D4C55"/>
    <w:rsid w:val="002E032D"/>
    <w:rsid w:val="002E6DED"/>
    <w:rsid w:val="002F0E65"/>
    <w:rsid w:val="002F5920"/>
    <w:rsid w:val="00300956"/>
    <w:rsid w:val="00302D63"/>
    <w:rsid w:val="003102B2"/>
    <w:rsid w:val="00317187"/>
    <w:rsid w:val="0032499A"/>
    <w:rsid w:val="003341F7"/>
    <w:rsid w:val="00336742"/>
    <w:rsid w:val="00337DA5"/>
    <w:rsid w:val="00347FEC"/>
    <w:rsid w:val="00354C9F"/>
    <w:rsid w:val="00356F45"/>
    <w:rsid w:val="00366B74"/>
    <w:rsid w:val="003917A2"/>
    <w:rsid w:val="003A0BAE"/>
    <w:rsid w:val="003A6F70"/>
    <w:rsid w:val="003A710A"/>
    <w:rsid w:val="003B659E"/>
    <w:rsid w:val="003C275E"/>
    <w:rsid w:val="003C4FDE"/>
    <w:rsid w:val="003D7BFC"/>
    <w:rsid w:val="003E58DF"/>
    <w:rsid w:val="003F0C05"/>
    <w:rsid w:val="003F210B"/>
    <w:rsid w:val="00404C4C"/>
    <w:rsid w:val="0041423F"/>
    <w:rsid w:val="00414F81"/>
    <w:rsid w:val="00436A0F"/>
    <w:rsid w:val="00437150"/>
    <w:rsid w:val="0043750A"/>
    <w:rsid w:val="004732E9"/>
    <w:rsid w:val="00483ECB"/>
    <w:rsid w:val="00484ED4"/>
    <w:rsid w:val="004854BB"/>
    <w:rsid w:val="00486C03"/>
    <w:rsid w:val="00492F7C"/>
    <w:rsid w:val="00496606"/>
    <w:rsid w:val="004A4019"/>
    <w:rsid w:val="004A6DF0"/>
    <w:rsid w:val="004B19F6"/>
    <w:rsid w:val="004B6540"/>
    <w:rsid w:val="004D4909"/>
    <w:rsid w:val="004E3A4A"/>
    <w:rsid w:val="004E5E66"/>
    <w:rsid w:val="004E7ADB"/>
    <w:rsid w:val="004F17CD"/>
    <w:rsid w:val="00503B4D"/>
    <w:rsid w:val="0050473E"/>
    <w:rsid w:val="00504EE9"/>
    <w:rsid w:val="0050770D"/>
    <w:rsid w:val="00515469"/>
    <w:rsid w:val="00521576"/>
    <w:rsid w:val="005250E6"/>
    <w:rsid w:val="005252A5"/>
    <w:rsid w:val="00542D23"/>
    <w:rsid w:val="0054442C"/>
    <w:rsid w:val="00550285"/>
    <w:rsid w:val="005560E5"/>
    <w:rsid w:val="00560FE1"/>
    <w:rsid w:val="00562492"/>
    <w:rsid w:val="00564EE9"/>
    <w:rsid w:val="00572A20"/>
    <w:rsid w:val="00573EF1"/>
    <w:rsid w:val="005836F8"/>
    <w:rsid w:val="005918FA"/>
    <w:rsid w:val="00592A86"/>
    <w:rsid w:val="005A3E3F"/>
    <w:rsid w:val="005B21BE"/>
    <w:rsid w:val="005B31CD"/>
    <w:rsid w:val="005B4801"/>
    <w:rsid w:val="005C0C5E"/>
    <w:rsid w:val="005C23A4"/>
    <w:rsid w:val="005C40D5"/>
    <w:rsid w:val="005C4EFC"/>
    <w:rsid w:val="005C5087"/>
    <w:rsid w:val="005C52C8"/>
    <w:rsid w:val="005D1CDF"/>
    <w:rsid w:val="005D2BB7"/>
    <w:rsid w:val="005E11BE"/>
    <w:rsid w:val="005E6041"/>
    <w:rsid w:val="005E61A8"/>
    <w:rsid w:val="005F6419"/>
    <w:rsid w:val="006002AC"/>
    <w:rsid w:val="0060543D"/>
    <w:rsid w:val="006104DD"/>
    <w:rsid w:val="006130B5"/>
    <w:rsid w:val="00617400"/>
    <w:rsid w:val="00632D29"/>
    <w:rsid w:val="00664950"/>
    <w:rsid w:val="00683220"/>
    <w:rsid w:val="006852CA"/>
    <w:rsid w:val="0068752F"/>
    <w:rsid w:val="00687FA0"/>
    <w:rsid w:val="00692DA6"/>
    <w:rsid w:val="006A3C11"/>
    <w:rsid w:val="006A7D35"/>
    <w:rsid w:val="006B10E1"/>
    <w:rsid w:val="006B7010"/>
    <w:rsid w:val="006C1349"/>
    <w:rsid w:val="006C19D3"/>
    <w:rsid w:val="006C3095"/>
    <w:rsid w:val="006E1151"/>
    <w:rsid w:val="006E6311"/>
    <w:rsid w:val="006F366E"/>
    <w:rsid w:val="006F72FE"/>
    <w:rsid w:val="007126B8"/>
    <w:rsid w:val="007145FF"/>
    <w:rsid w:val="00715B2A"/>
    <w:rsid w:val="00716ECD"/>
    <w:rsid w:val="007303B4"/>
    <w:rsid w:val="00737A94"/>
    <w:rsid w:val="007445F2"/>
    <w:rsid w:val="007450F1"/>
    <w:rsid w:val="00746653"/>
    <w:rsid w:val="00750C64"/>
    <w:rsid w:val="00751515"/>
    <w:rsid w:val="00756914"/>
    <w:rsid w:val="00757ABB"/>
    <w:rsid w:val="007626B7"/>
    <w:rsid w:val="007749D0"/>
    <w:rsid w:val="0077578F"/>
    <w:rsid w:val="00776B10"/>
    <w:rsid w:val="0078212B"/>
    <w:rsid w:val="00784DF6"/>
    <w:rsid w:val="00785232"/>
    <w:rsid w:val="007934FF"/>
    <w:rsid w:val="007976A2"/>
    <w:rsid w:val="007A2235"/>
    <w:rsid w:val="007B186C"/>
    <w:rsid w:val="007C1696"/>
    <w:rsid w:val="007C3ED0"/>
    <w:rsid w:val="007C5971"/>
    <w:rsid w:val="007D71CC"/>
    <w:rsid w:val="007F54B9"/>
    <w:rsid w:val="00806A76"/>
    <w:rsid w:val="00811C9D"/>
    <w:rsid w:val="00816C80"/>
    <w:rsid w:val="00826AE0"/>
    <w:rsid w:val="00827E52"/>
    <w:rsid w:val="00833B3C"/>
    <w:rsid w:val="00841BCD"/>
    <w:rsid w:val="00841EB8"/>
    <w:rsid w:val="00851A8E"/>
    <w:rsid w:val="00851FB3"/>
    <w:rsid w:val="0085365B"/>
    <w:rsid w:val="00855374"/>
    <w:rsid w:val="008573B3"/>
    <w:rsid w:val="008826C1"/>
    <w:rsid w:val="00883DFD"/>
    <w:rsid w:val="00886DC5"/>
    <w:rsid w:val="00896796"/>
    <w:rsid w:val="008A1BF7"/>
    <w:rsid w:val="008A5B0E"/>
    <w:rsid w:val="008B0961"/>
    <w:rsid w:val="008B6454"/>
    <w:rsid w:val="008C0095"/>
    <w:rsid w:val="008E2700"/>
    <w:rsid w:val="0090091A"/>
    <w:rsid w:val="009042BD"/>
    <w:rsid w:val="00914DF6"/>
    <w:rsid w:val="00917151"/>
    <w:rsid w:val="00936159"/>
    <w:rsid w:val="00950F3A"/>
    <w:rsid w:val="00961AE8"/>
    <w:rsid w:val="009624EC"/>
    <w:rsid w:val="009630F5"/>
    <w:rsid w:val="00977E1D"/>
    <w:rsid w:val="009818FD"/>
    <w:rsid w:val="0098524E"/>
    <w:rsid w:val="009918E6"/>
    <w:rsid w:val="009A65E7"/>
    <w:rsid w:val="009B0573"/>
    <w:rsid w:val="009B7B4B"/>
    <w:rsid w:val="009B7C21"/>
    <w:rsid w:val="009D4CAD"/>
    <w:rsid w:val="009F0510"/>
    <w:rsid w:val="009F529B"/>
    <w:rsid w:val="009F6A46"/>
    <w:rsid w:val="00A04992"/>
    <w:rsid w:val="00A147AA"/>
    <w:rsid w:val="00A167FE"/>
    <w:rsid w:val="00A21D71"/>
    <w:rsid w:val="00A22B78"/>
    <w:rsid w:val="00A25AE5"/>
    <w:rsid w:val="00A27B12"/>
    <w:rsid w:val="00A37002"/>
    <w:rsid w:val="00A4355E"/>
    <w:rsid w:val="00A72C04"/>
    <w:rsid w:val="00A92BCD"/>
    <w:rsid w:val="00A92F85"/>
    <w:rsid w:val="00AA1B0E"/>
    <w:rsid w:val="00AA47B6"/>
    <w:rsid w:val="00AB5866"/>
    <w:rsid w:val="00AC163B"/>
    <w:rsid w:val="00AC5CA7"/>
    <w:rsid w:val="00AC6058"/>
    <w:rsid w:val="00AC6B3D"/>
    <w:rsid w:val="00AD0128"/>
    <w:rsid w:val="00AD4F5C"/>
    <w:rsid w:val="00AD53D4"/>
    <w:rsid w:val="00AE2BA5"/>
    <w:rsid w:val="00AE56B1"/>
    <w:rsid w:val="00AE6D09"/>
    <w:rsid w:val="00AF069B"/>
    <w:rsid w:val="00AF21DD"/>
    <w:rsid w:val="00AF2FF9"/>
    <w:rsid w:val="00AF5727"/>
    <w:rsid w:val="00AF7A7C"/>
    <w:rsid w:val="00B0771B"/>
    <w:rsid w:val="00B1635C"/>
    <w:rsid w:val="00B1689E"/>
    <w:rsid w:val="00B176DB"/>
    <w:rsid w:val="00B23284"/>
    <w:rsid w:val="00B33366"/>
    <w:rsid w:val="00B35A86"/>
    <w:rsid w:val="00B408B6"/>
    <w:rsid w:val="00B40CF3"/>
    <w:rsid w:val="00B542DA"/>
    <w:rsid w:val="00B70238"/>
    <w:rsid w:val="00B73862"/>
    <w:rsid w:val="00B73F43"/>
    <w:rsid w:val="00BA2B63"/>
    <w:rsid w:val="00BA6B66"/>
    <w:rsid w:val="00BA6E48"/>
    <w:rsid w:val="00BC0C0D"/>
    <w:rsid w:val="00BD4E0E"/>
    <w:rsid w:val="00BD6385"/>
    <w:rsid w:val="00BE0AF6"/>
    <w:rsid w:val="00BE0DF5"/>
    <w:rsid w:val="00BE1F03"/>
    <w:rsid w:val="00BE58A7"/>
    <w:rsid w:val="00BF2218"/>
    <w:rsid w:val="00C0426B"/>
    <w:rsid w:val="00C045DF"/>
    <w:rsid w:val="00C1194C"/>
    <w:rsid w:val="00C16B49"/>
    <w:rsid w:val="00C2573E"/>
    <w:rsid w:val="00C26D43"/>
    <w:rsid w:val="00C41A02"/>
    <w:rsid w:val="00C46548"/>
    <w:rsid w:val="00C54EC2"/>
    <w:rsid w:val="00C56F93"/>
    <w:rsid w:val="00C574D5"/>
    <w:rsid w:val="00C605EF"/>
    <w:rsid w:val="00C615BE"/>
    <w:rsid w:val="00C61C84"/>
    <w:rsid w:val="00C67F5D"/>
    <w:rsid w:val="00C725A8"/>
    <w:rsid w:val="00C73F32"/>
    <w:rsid w:val="00C87462"/>
    <w:rsid w:val="00C92B35"/>
    <w:rsid w:val="00C94B14"/>
    <w:rsid w:val="00CA180C"/>
    <w:rsid w:val="00CB22B2"/>
    <w:rsid w:val="00CC3EE2"/>
    <w:rsid w:val="00CD7492"/>
    <w:rsid w:val="00CE3A6B"/>
    <w:rsid w:val="00D00211"/>
    <w:rsid w:val="00D04790"/>
    <w:rsid w:val="00D04DD5"/>
    <w:rsid w:val="00D06309"/>
    <w:rsid w:val="00D07833"/>
    <w:rsid w:val="00D1154B"/>
    <w:rsid w:val="00D2037C"/>
    <w:rsid w:val="00D351EA"/>
    <w:rsid w:val="00D40288"/>
    <w:rsid w:val="00D43403"/>
    <w:rsid w:val="00D463EE"/>
    <w:rsid w:val="00D5270B"/>
    <w:rsid w:val="00D62E71"/>
    <w:rsid w:val="00D63F39"/>
    <w:rsid w:val="00D6430D"/>
    <w:rsid w:val="00D66188"/>
    <w:rsid w:val="00D6671C"/>
    <w:rsid w:val="00D71116"/>
    <w:rsid w:val="00D731F6"/>
    <w:rsid w:val="00D740CA"/>
    <w:rsid w:val="00D76D24"/>
    <w:rsid w:val="00D85728"/>
    <w:rsid w:val="00D95481"/>
    <w:rsid w:val="00D95F3C"/>
    <w:rsid w:val="00DA2011"/>
    <w:rsid w:val="00DB6D65"/>
    <w:rsid w:val="00DC7A13"/>
    <w:rsid w:val="00DD0D54"/>
    <w:rsid w:val="00DF2997"/>
    <w:rsid w:val="00E10BC4"/>
    <w:rsid w:val="00E1415D"/>
    <w:rsid w:val="00E27511"/>
    <w:rsid w:val="00E323E9"/>
    <w:rsid w:val="00E34018"/>
    <w:rsid w:val="00E437D2"/>
    <w:rsid w:val="00E50B45"/>
    <w:rsid w:val="00E55751"/>
    <w:rsid w:val="00E6392D"/>
    <w:rsid w:val="00E67446"/>
    <w:rsid w:val="00E74B31"/>
    <w:rsid w:val="00E90379"/>
    <w:rsid w:val="00E95547"/>
    <w:rsid w:val="00EA2311"/>
    <w:rsid w:val="00EB311A"/>
    <w:rsid w:val="00EC7BC3"/>
    <w:rsid w:val="00ED271C"/>
    <w:rsid w:val="00ED6E2A"/>
    <w:rsid w:val="00ED7600"/>
    <w:rsid w:val="00EE2BD7"/>
    <w:rsid w:val="00EE5928"/>
    <w:rsid w:val="00EF200E"/>
    <w:rsid w:val="00EF6073"/>
    <w:rsid w:val="00EF698B"/>
    <w:rsid w:val="00F1362C"/>
    <w:rsid w:val="00F26641"/>
    <w:rsid w:val="00F31082"/>
    <w:rsid w:val="00F351F2"/>
    <w:rsid w:val="00F414F1"/>
    <w:rsid w:val="00F4548D"/>
    <w:rsid w:val="00F508B8"/>
    <w:rsid w:val="00F57F9A"/>
    <w:rsid w:val="00F72CB1"/>
    <w:rsid w:val="00F745C4"/>
    <w:rsid w:val="00F8215E"/>
    <w:rsid w:val="00F824F5"/>
    <w:rsid w:val="00F85B2D"/>
    <w:rsid w:val="00F90FAB"/>
    <w:rsid w:val="00F9374D"/>
    <w:rsid w:val="00FA0AF0"/>
    <w:rsid w:val="00FC29B9"/>
    <w:rsid w:val="00FC53A4"/>
    <w:rsid w:val="00FC6FD3"/>
    <w:rsid w:val="00FE305C"/>
    <w:rsid w:val="00FE6AF7"/>
    <w:rsid w:val="00FF0301"/>
    <w:rsid w:val="00FF37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022A7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45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ind w:left="360"/>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50770D"/>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Consolas" w:hAnsi="Consola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H">
    <w:name w:val="TAH"/>
    <w:basedOn w:val="TAC"/>
    <w:link w:val="TAHCar"/>
    <w:rsid w:val="009918E6"/>
    <w:rPr>
      <w:b/>
    </w:rPr>
  </w:style>
  <w:style w:type="paragraph" w:customStyle="1" w:styleId="TAC">
    <w:name w:val="TAC"/>
    <w:basedOn w:val="Normal"/>
    <w:link w:val="TACChar"/>
    <w:rsid w:val="009918E6"/>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9918E6"/>
    <w:rPr>
      <w:rFonts w:ascii="Arial" w:eastAsia="Times New Roman" w:hAnsi="Arial" w:cs="Times New Roman"/>
      <w:sz w:val="18"/>
      <w:szCs w:val="20"/>
      <w:lang w:val="en-GB" w:eastAsia="en-GB"/>
    </w:rPr>
  </w:style>
  <w:style w:type="character" w:customStyle="1" w:styleId="TAHCar">
    <w:name w:val="TAH Car"/>
    <w:link w:val="TAH"/>
    <w:qFormat/>
    <w:rsid w:val="009918E6"/>
    <w:rPr>
      <w:rFonts w:ascii="Arial" w:eastAsia="Times New Roman" w:hAnsi="Arial" w:cs="Times New Roman"/>
      <w:b/>
      <w:sz w:val="18"/>
      <w:szCs w:val="20"/>
      <w:lang w:val="en-GB" w:eastAsia="en-GB"/>
    </w:rPr>
  </w:style>
  <w:style w:type="paragraph" w:customStyle="1" w:styleId="TH">
    <w:name w:val="TH"/>
    <w:basedOn w:val="Normal"/>
    <w:link w:val="THChar"/>
    <w:rsid w:val="009918E6"/>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9918E6"/>
    <w:rPr>
      <w:rFonts w:ascii="Arial" w:eastAsia="Times New Roman" w:hAnsi="Arial" w:cs="Times New Roman"/>
      <w:b/>
      <w:sz w:val="20"/>
      <w:szCs w:val="20"/>
      <w:lang w:val="en-GB" w:eastAsia="en-GB"/>
    </w:rPr>
  </w:style>
  <w:style w:type="paragraph" w:customStyle="1" w:styleId="TAN">
    <w:name w:val="TAN"/>
    <w:basedOn w:val="Normal"/>
    <w:link w:val="TANChar"/>
    <w:rsid w:val="009918E6"/>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9918E6"/>
    <w:rPr>
      <w:rFonts w:ascii="Arial" w:eastAsia="Times New Roman" w:hAnsi="Arial" w:cs="Times New Roman"/>
      <w:sz w:val="18"/>
      <w:szCs w:val="20"/>
      <w:lang w:val="en-GB" w:eastAsia="en-GB"/>
    </w:rPr>
  </w:style>
  <w:style w:type="character" w:styleId="PlaceholderText">
    <w:name w:val="Placeholder Text"/>
    <w:basedOn w:val="DefaultParagraphFont"/>
    <w:uiPriority w:val="99"/>
    <w:semiHidden/>
    <w:rsid w:val="008573B3"/>
    <w:rPr>
      <w:color w:val="808080"/>
    </w:rPr>
  </w:style>
  <w:style w:type="paragraph" w:styleId="Header">
    <w:name w:val="header"/>
    <w:basedOn w:val="Normal"/>
    <w:link w:val="HeaderChar"/>
    <w:uiPriority w:val="99"/>
    <w:unhideWhenUsed/>
    <w:rsid w:val="0091715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17CD"/>
    <w:rPr>
      <w:rFonts w:ascii="Times New Roman" w:hAnsi="Times New Roman"/>
      <w:sz w:val="20"/>
    </w:rPr>
  </w:style>
  <w:style w:type="paragraph" w:styleId="Footer">
    <w:name w:val="footer"/>
    <w:basedOn w:val="Normal"/>
    <w:link w:val="FooterChar"/>
    <w:uiPriority w:val="99"/>
    <w:unhideWhenUsed/>
    <w:rsid w:val="0091715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17CD"/>
    <w:rPr>
      <w:rFonts w:ascii="Times New Roman" w:hAnsi="Times New Roman"/>
      <w:sz w:val="20"/>
    </w:rPr>
  </w:style>
  <w:style w:type="paragraph" w:customStyle="1" w:styleId="paragraph">
    <w:name w:val="paragraph"/>
    <w:basedOn w:val="Normal"/>
    <w:rsid w:val="00057CE7"/>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057CE7"/>
  </w:style>
  <w:style w:type="character" w:customStyle="1" w:styleId="eop">
    <w:name w:val="eop"/>
    <w:basedOn w:val="DefaultParagraphFont"/>
    <w:rsid w:val="00057CE7"/>
  </w:style>
  <w:style w:type="character" w:customStyle="1" w:styleId="findhit">
    <w:name w:val="findhit"/>
    <w:basedOn w:val="DefaultParagraphFont"/>
    <w:rsid w:val="00057CE7"/>
  </w:style>
  <w:style w:type="character" w:customStyle="1" w:styleId="TALCar">
    <w:name w:val="TAL Car"/>
    <w:link w:val="TAL"/>
    <w:qFormat/>
    <w:locked/>
    <w:rsid w:val="00C41A02"/>
    <w:rPr>
      <w:rFonts w:ascii="Arial" w:eastAsia="Times New Roman" w:hAnsi="Arial" w:cs="Arial"/>
      <w:sz w:val="18"/>
      <w:lang w:val="en-GB" w:eastAsia="ja-JP"/>
    </w:rPr>
  </w:style>
  <w:style w:type="paragraph" w:customStyle="1" w:styleId="TAL">
    <w:name w:val="TAL"/>
    <w:basedOn w:val="Normal"/>
    <w:link w:val="TALCar"/>
    <w:qFormat/>
    <w:rsid w:val="00C41A02"/>
    <w:pPr>
      <w:keepNext/>
      <w:keepLines/>
      <w:overflowPunct w:val="0"/>
      <w:autoSpaceDE w:val="0"/>
      <w:autoSpaceDN w:val="0"/>
      <w:adjustRightInd w:val="0"/>
      <w:spacing w:after="0" w:line="240" w:lineRule="auto"/>
    </w:pPr>
    <w:rPr>
      <w:rFonts w:ascii="Arial" w:eastAsia="Times New Roman" w:hAnsi="Arial" w:cs="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762840">
      <w:bodyDiv w:val="1"/>
      <w:marLeft w:val="0"/>
      <w:marRight w:val="0"/>
      <w:marTop w:val="0"/>
      <w:marBottom w:val="0"/>
      <w:divBdr>
        <w:top w:val="none" w:sz="0" w:space="0" w:color="auto"/>
        <w:left w:val="none" w:sz="0" w:space="0" w:color="auto"/>
        <w:bottom w:val="none" w:sz="0" w:space="0" w:color="auto"/>
        <w:right w:val="none" w:sz="0" w:space="0" w:color="auto"/>
      </w:divBdr>
    </w:div>
    <w:div w:id="556933720">
      <w:bodyDiv w:val="1"/>
      <w:marLeft w:val="0"/>
      <w:marRight w:val="0"/>
      <w:marTop w:val="0"/>
      <w:marBottom w:val="0"/>
      <w:divBdr>
        <w:top w:val="none" w:sz="0" w:space="0" w:color="auto"/>
        <w:left w:val="none" w:sz="0" w:space="0" w:color="auto"/>
        <w:bottom w:val="none" w:sz="0" w:space="0" w:color="auto"/>
        <w:right w:val="none" w:sz="0" w:space="0" w:color="auto"/>
      </w:divBdr>
    </w:div>
    <w:div w:id="684091173">
      <w:bodyDiv w:val="1"/>
      <w:marLeft w:val="0"/>
      <w:marRight w:val="0"/>
      <w:marTop w:val="0"/>
      <w:marBottom w:val="0"/>
      <w:divBdr>
        <w:top w:val="none" w:sz="0" w:space="0" w:color="auto"/>
        <w:left w:val="none" w:sz="0" w:space="0" w:color="auto"/>
        <w:bottom w:val="none" w:sz="0" w:space="0" w:color="auto"/>
        <w:right w:val="none" w:sz="0" w:space="0" w:color="auto"/>
      </w:divBdr>
    </w:div>
    <w:div w:id="1257246451">
      <w:bodyDiv w:val="1"/>
      <w:marLeft w:val="0"/>
      <w:marRight w:val="0"/>
      <w:marTop w:val="0"/>
      <w:marBottom w:val="0"/>
      <w:divBdr>
        <w:top w:val="none" w:sz="0" w:space="0" w:color="auto"/>
        <w:left w:val="none" w:sz="0" w:space="0" w:color="auto"/>
        <w:bottom w:val="none" w:sz="0" w:space="0" w:color="auto"/>
        <w:right w:val="none" w:sz="0" w:space="0" w:color="auto"/>
      </w:divBdr>
    </w:div>
    <w:div w:id="1330213625">
      <w:bodyDiv w:val="1"/>
      <w:marLeft w:val="0"/>
      <w:marRight w:val="0"/>
      <w:marTop w:val="0"/>
      <w:marBottom w:val="0"/>
      <w:divBdr>
        <w:top w:val="none" w:sz="0" w:space="0" w:color="auto"/>
        <w:left w:val="none" w:sz="0" w:space="0" w:color="auto"/>
        <w:bottom w:val="none" w:sz="0" w:space="0" w:color="auto"/>
        <w:right w:val="none" w:sz="0" w:space="0" w:color="auto"/>
      </w:divBdr>
    </w:div>
    <w:div w:id="1345011930">
      <w:bodyDiv w:val="1"/>
      <w:marLeft w:val="0"/>
      <w:marRight w:val="0"/>
      <w:marTop w:val="0"/>
      <w:marBottom w:val="0"/>
      <w:divBdr>
        <w:top w:val="none" w:sz="0" w:space="0" w:color="auto"/>
        <w:left w:val="none" w:sz="0" w:space="0" w:color="auto"/>
        <w:bottom w:val="none" w:sz="0" w:space="0" w:color="auto"/>
        <w:right w:val="none" w:sz="0" w:space="0" w:color="auto"/>
      </w:divBdr>
    </w:div>
    <w:div w:id="1417019659">
      <w:bodyDiv w:val="1"/>
      <w:marLeft w:val="0"/>
      <w:marRight w:val="0"/>
      <w:marTop w:val="0"/>
      <w:marBottom w:val="0"/>
      <w:divBdr>
        <w:top w:val="none" w:sz="0" w:space="0" w:color="auto"/>
        <w:left w:val="none" w:sz="0" w:space="0" w:color="auto"/>
        <w:bottom w:val="none" w:sz="0" w:space="0" w:color="auto"/>
        <w:right w:val="none" w:sz="0" w:space="0" w:color="auto"/>
      </w:divBdr>
    </w:div>
    <w:div w:id="2096390985">
      <w:bodyDiv w:val="1"/>
      <w:marLeft w:val="0"/>
      <w:marRight w:val="0"/>
      <w:marTop w:val="0"/>
      <w:marBottom w:val="0"/>
      <w:divBdr>
        <w:top w:val="none" w:sz="0" w:space="0" w:color="auto"/>
        <w:left w:val="none" w:sz="0" w:space="0" w:color="auto"/>
        <w:bottom w:val="none" w:sz="0" w:space="0" w:color="auto"/>
        <w:right w:val="none" w:sz="0" w:space="0" w:color="auto"/>
      </w:divBdr>
    </w:div>
    <w:div w:id="2098137652">
      <w:bodyDiv w:val="1"/>
      <w:marLeft w:val="0"/>
      <w:marRight w:val="0"/>
      <w:marTop w:val="0"/>
      <w:marBottom w:val="0"/>
      <w:divBdr>
        <w:top w:val="none" w:sz="0" w:space="0" w:color="auto"/>
        <w:left w:val="none" w:sz="0" w:space="0" w:color="auto"/>
        <w:bottom w:val="none" w:sz="0" w:space="0" w:color="auto"/>
        <w:right w:val="none" w:sz="0" w:space="0" w:color="auto"/>
      </w:divBdr>
      <w:divsChild>
        <w:div w:id="172112813">
          <w:marLeft w:val="0"/>
          <w:marRight w:val="0"/>
          <w:marTop w:val="0"/>
          <w:marBottom w:val="0"/>
          <w:divBdr>
            <w:top w:val="none" w:sz="0" w:space="0" w:color="auto"/>
            <w:left w:val="none" w:sz="0" w:space="0" w:color="auto"/>
            <w:bottom w:val="none" w:sz="0" w:space="0" w:color="auto"/>
            <w:right w:val="none" w:sz="0" w:space="0" w:color="auto"/>
          </w:divBdr>
        </w:div>
        <w:div w:id="1201092174">
          <w:marLeft w:val="0"/>
          <w:marRight w:val="0"/>
          <w:marTop w:val="0"/>
          <w:marBottom w:val="0"/>
          <w:divBdr>
            <w:top w:val="none" w:sz="0" w:space="0" w:color="auto"/>
            <w:left w:val="none" w:sz="0" w:space="0" w:color="auto"/>
            <w:bottom w:val="none" w:sz="0" w:space="0" w:color="auto"/>
            <w:right w:val="none" w:sz="0" w:space="0" w:color="auto"/>
          </w:divBdr>
        </w:div>
        <w:div w:id="1204976705">
          <w:marLeft w:val="0"/>
          <w:marRight w:val="0"/>
          <w:marTop w:val="0"/>
          <w:marBottom w:val="0"/>
          <w:divBdr>
            <w:top w:val="none" w:sz="0" w:space="0" w:color="auto"/>
            <w:left w:val="none" w:sz="0" w:space="0" w:color="auto"/>
            <w:bottom w:val="none" w:sz="0" w:space="0" w:color="auto"/>
            <w:right w:val="none" w:sz="0" w:space="0" w:color="auto"/>
          </w:divBdr>
        </w:div>
        <w:div w:id="1659193918">
          <w:marLeft w:val="0"/>
          <w:marRight w:val="0"/>
          <w:marTop w:val="0"/>
          <w:marBottom w:val="0"/>
          <w:divBdr>
            <w:top w:val="none" w:sz="0" w:space="0" w:color="auto"/>
            <w:left w:val="none" w:sz="0" w:space="0" w:color="auto"/>
            <w:bottom w:val="none" w:sz="0" w:space="0" w:color="auto"/>
            <w:right w:val="none" w:sz="0" w:space="0" w:color="auto"/>
          </w:divBdr>
        </w:div>
        <w:div w:id="17367760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3260</Words>
  <Characters>18588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21805</CharactersWithSpaces>
  <SharedDoc>false</SharedDoc>
  <HLinks>
    <vt:vector size="24" baseType="variant">
      <vt:variant>
        <vt:i4>1572924</vt:i4>
      </vt:variant>
      <vt:variant>
        <vt:i4>53</vt:i4>
      </vt:variant>
      <vt:variant>
        <vt:i4>0</vt:i4>
      </vt:variant>
      <vt:variant>
        <vt:i4>5</vt:i4>
      </vt:variant>
      <vt:variant>
        <vt:lpwstr/>
      </vt:variant>
      <vt:variant>
        <vt:lpwstr>_Toc117780298</vt:lpwstr>
      </vt:variant>
      <vt:variant>
        <vt:i4>1572924</vt:i4>
      </vt:variant>
      <vt:variant>
        <vt:i4>50</vt:i4>
      </vt:variant>
      <vt:variant>
        <vt:i4>0</vt:i4>
      </vt:variant>
      <vt:variant>
        <vt:i4>5</vt:i4>
      </vt:variant>
      <vt:variant>
        <vt:lpwstr/>
      </vt:variant>
      <vt:variant>
        <vt:lpwstr>_Toc117780297</vt:lpwstr>
      </vt:variant>
      <vt:variant>
        <vt:i4>1572924</vt:i4>
      </vt:variant>
      <vt:variant>
        <vt:i4>47</vt:i4>
      </vt:variant>
      <vt:variant>
        <vt:i4>0</vt:i4>
      </vt:variant>
      <vt:variant>
        <vt:i4>5</vt:i4>
      </vt:variant>
      <vt:variant>
        <vt:lpwstr/>
      </vt:variant>
      <vt:variant>
        <vt:lpwstr>_Toc117780296</vt:lpwstr>
      </vt:variant>
      <vt:variant>
        <vt:i4>1572924</vt:i4>
      </vt:variant>
      <vt:variant>
        <vt:i4>44</vt:i4>
      </vt:variant>
      <vt:variant>
        <vt:i4>0</vt:i4>
      </vt:variant>
      <vt:variant>
        <vt:i4>5</vt:i4>
      </vt:variant>
      <vt:variant>
        <vt:lpwstr/>
      </vt:variant>
      <vt:variant>
        <vt:lpwstr>_Toc117780295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2023-04-10T17:55:00Z</dcterms:created>
  <dcterms:modified xsi:type="dcterms:W3CDTF">2023-04-10T17:55:00Z</dcterms:modified>
</cp:coreProperties>
</file>