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D860" w14:textId="5EDD21BA" w:rsidR="0075069C" w:rsidRPr="00CA3784" w:rsidRDefault="0075069C" w:rsidP="0075069C">
      <w:pPr>
        <w:pStyle w:val="a1"/>
        <w:rPr>
          <w:rFonts w:eastAsia="SimSun"/>
        </w:rPr>
      </w:pPr>
      <w:bookmarkStart w:id="0" w:name="_Ref399006623"/>
      <w:bookmarkStart w:id="1" w:name="_Toc92513360"/>
      <w:r w:rsidRPr="0004538C">
        <w:t>3GPP TSG-RAN WG4 Meeting #</w:t>
      </w:r>
      <w:r w:rsidR="00D921B9">
        <w:t>10</w:t>
      </w:r>
      <w:r w:rsidR="00C67DE6">
        <w:t>6</w:t>
      </w:r>
      <w:r w:rsidR="006B4151">
        <w:tab/>
      </w:r>
      <w:r>
        <w:rPr>
          <w:rFonts w:eastAsia="SimSun" w:hint="eastAsia"/>
        </w:rPr>
        <w:t xml:space="preserve">                                </w:t>
      </w:r>
      <w:r w:rsidR="00F25F40" w:rsidRPr="0030744C">
        <w:rPr>
          <w:rFonts w:eastAsia="SimSun" w:hint="eastAsia"/>
        </w:rPr>
        <w:t xml:space="preserve">  </w:t>
      </w:r>
      <w:r w:rsidR="00E47C9C">
        <w:rPr>
          <w:rFonts w:eastAsia="SimSun"/>
        </w:rPr>
        <w:t xml:space="preserve">   </w:t>
      </w:r>
      <w:r w:rsidR="006B4151">
        <w:rPr>
          <w:rFonts w:eastAsia="SimSun"/>
        </w:rPr>
        <w:t xml:space="preserve">     </w:t>
      </w:r>
      <w:r w:rsidR="00CE1135" w:rsidRPr="00CE1135">
        <w:t>R4-2303520</w:t>
      </w:r>
    </w:p>
    <w:p w14:paraId="4A08BD3B" w14:textId="77777777" w:rsidR="00C67DE6" w:rsidRPr="00B23518" w:rsidRDefault="00C67DE6" w:rsidP="00C67DE6">
      <w:pPr>
        <w:pStyle w:val="Header"/>
        <w:tabs>
          <w:tab w:val="right" w:pos="9781"/>
          <w:tab w:val="right" w:pos="13323"/>
        </w:tabs>
        <w:outlineLvl w:val="0"/>
        <w:rPr>
          <w:rFonts w:cs="Arial"/>
          <w:b/>
          <w:sz w:val="24"/>
          <w:szCs w:val="24"/>
        </w:rPr>
      </w:pPr>
      <w:bookmarkStart w:id="2" w:name="_Hlk118484905"/>
      <w:r w:rsidRPr="00C456D4">
        <w:rPr>
          <w:rFonts w:cs="Arial"/>
          <w:sz w:val="24"/>
          <w:szCs w:val="24"/>
        </w:rPr>
        <w:t>Athens, Greece, February 27 – March 3, 202</w:t>
      </w:r>
      <w:bookmarkEnd w:id="2"/>
      <w:r>
        <w:rPr>
          <w:rFonts w:cs="Arial"/>
          <w:sz w:val="24"/>
          <w:szCs w:val="24"/>
        </w:rPr>
        <w:t>3</w:t>
      </w:r>
    </w:p>
    <w:p w14:paraId="2B2D3158" w14:textId="77777777" w:rsidR="00F71A33" w:rsidRPr="00F71A33" w:rsidRDefault="00F71A33" w:rsidP="00F71A33">
      <w:pPr>
        <w:pStyle w:val="a1"/>
        <w:rPr>
          <w:rFonts w:eastAsia="SimSun"/>
        </w:rPr>
      </w:pPr>
    </w:p>
    <w:p w14:paraId="7FCAC62C" w14:textId="7D20165A" w:rsidR="00911C40" w:rsidRPr="00F26092" w:rsidRDefault="00911C40" w:rsidP="00911C40">
      <w:pPr>
        <w:tabs>
          <w:tab w:val="left" w:pos="1985"/>
        </w:tabs>
        <w:ind w:left="420"/>
        <w:jc w:val="both"/>
        <w:rPr>
          <w:rFonts w:ascii="Arial" w:hAnsi="Arial" w:cs="Arial"/>
          <w:b/>
        </w:rPr>
      </w:pPr>
      <w:r w:rsidRPr="007C2D23">
        <w:rPr>
          <w:rFonts w:ascii="Arial" w:hAnsi="Arial" w:cs="Arial"/>
          <w:b/>
        </w:rPr>
        <w:t xml:space="preserve">Source: </w:t>
      </w:r>
      <w:r w:rsidRPr="007C2D23">
        <w:rPr>
          <w:rFonts w:ascii="Arial" w:hAnsi="Arial" w:cs="Arial"/>
          <w:b/>
        </w:rPr>
        <w:tab/>
      </w:r>
      <w:r w:rsidR="006B4151" w:rsidRPr="004A4802">
        <w:rPr>
          <w:rFonts w:ascii="Arial" w:hAnsi="Arial"/>
          <w:sz w:val="24"/>
        </w:rPr>
        <w:t>Nokia, Nokia Shanghai Bell</w:t>
      </w:r>
    </w:p>
    <w:p w14:paraId="21217195" w14:textId="7625E073" w:rsidR="00911C40" w:rsidRPr="006B7742" w:rsidRDefault="00911C40" w:rsidP="00911C40">
      <w:pPr>
        <w:ind w:left="2405" w:hanging="1985"/>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C67DE6" w:rsidRPr="00C67DE6">
        <w:rPr>
          <w:rFonts w:ascii="Arial" w:hAnsi="Arial" w:cs="Arial"/>
        </w:rPr>
        <w:t>TR handling and TP on possible Lower MSD signaling for TR 38.881</w:t>
      </w:r>
    </w:p>
    <w:p w14:paraId="1B0F34AD" w14:textId="6E0F6DA1" w:rsidR="00911C40" w:rsidRPr="0022403E" w:rsidRDefault="00911C40" w:rsidP="00911C40">
      <w:pPr>
        <w:ind w:left="2405" w:hanging="1985"/>
        <w:rPr>
          <w:rFonts w:ascii="Arial" w:hAnsi="Arial" w:cs="Arial"/>
        </w:rPr>
      </w:pPr>
      <w:r>
        <w:rPr>
          <w:rFonts w:ascii="Arial" w:hAnsi="Arial" w:cs="Arial" w:hint="eastAsia"/>
          <w:b/>
        </w:rPr>
        <w:t>Agenda Item:</w:t>
      </w:r>
      <w:r>
        <w:rPr>
          <w:rFonts w:ascii="Arial" w:hAnsi="Arial" w:cs="Arial" w:hint="eastAsia"/>
        </w:rPr>
        <w:tab/>
      </w:r>
      <w:r w:rsidR="006B4151">
        <w:rPr>
          <w:rFonts w:ascii="Arial" w:hAnsi="Arial" w:cs="Arial"/>
        </w:rPr>
        <w:t>8</w:t>
      </w:r>
      <w:r w:rsidR="001B4421">
        <w:rPr>
          <w:rFonts w:ascii="Arial" w:hAnsi="Arial" w:cs="Arial"/>
        </w:rPr>
        <w:t>.6.4</w:t>
      </w:r>
    </w:p>
    <w:p w14:paraId="316498A1" w14:textId="77777777" w:rsidR="00911C40" w:rsidRPr="00A62DA7" w:rsidRDefault="00911C40" w:rsidP="00911C40">
      <w:pPr>
        <w:tabs>
          <w:tab w:val="left" w:pos="1985"/>
        </w:tabs>
        <w:ind w:left="420"/>
        <w:jc w:val="both"/>
        <w:rPr>
          <w:rFonts w:ascii="Arial" w:hAnsi="Arial" w:cs="Arial"/>
        </w:rPr>
      </w:pPr>
      <w:r w:rsidRPr="007C2D23">
        <w:rPr>
          <w:rFonts w:ascii="Arial" w:hAnsi="Arial" w:cs="Arial"/>
          <w:b/>
        </w:rPr>
        <w:t>Document for:</w:t>
      </w:r>
      <w:r w:rsidRPr="007C2D23">
        <w:rPr>
          <w:rFonts w:ascii="Arial" w:hAnsi="Arial" w:cs="Arial"/>
        </w:rPr>
        <w:tab/>
      </w:r>
      <w:r>
        <w:rPr>
          <w:rFonts w:ascii="Arial" w:hAnsi="Arial" w:cs="Arial" w:hint="eastAsia"/>
        </w:rPr>
        <w:t>Approval</w:t>
      </w:r>
    </w:p>
    <w:bookmarkEnd w:id="0"/>
    <w:bookmarkEnd w:id="1"/>
    <w:p w14:paraId="14ABB0B1" w14:textId="77777777" w:rsidR="00D27B71" w:rsidRDefault="00D27B71" w:rsidP="00F71A33">
      <w:pPr>
        <w:ind w:left="420"/>
      </w:pPr>
    </w:p>
    <w:p w14:paraId="10423D7E" w14:textId="77777777" w:rsidR="00A5274C" w:rsidRDefault="00A5274C" w:rsidP="00A5274C">
      <w:pPr>
        <w:pStyle w:val="Heading1"/>
        <w:ind w:left="533" w:hanging="533"/>
        <w:rPr>
          <w:rFonts w:eastAsia="SimSun"/>
        </w:rPr>
      </w:pPr>
      <w:r>
        <w:rPr>
          <w:rFonts w:eastAsia="SimSun" w:hint="eastAsia"/>
        </w:rPr>
        <w:t>Text Proposal</w:t>
      </w:r>
    </w:p>
    <w:p w14:paraId="583DCE35" w14:textId="77777777" w:rsidR="00506149" w:rsidRPr="00FD2F61" w:rsidRDefault="001B796A" w:rsidP="00A133C5">
      <w:pPr>
        <w:ind w:left="420"/>
        <w:rPr>
          <w:rFonts w:ascii="Arial" w:hAnsi="Arial" w:cs="Arial"/>
          <w:noProof/>
          <w:snapToGrid w:val="0"/>
          <w:color w:val="FF0000"/>
        </w:rPr>
      </w:pPr>
      <w:r w:rsidRPr="00FD2F61">
        <w:rPr>
          <w:rFonts w:ascii="Arial" w:hAnsi="Arial" w:cs="Arial"/>
          <w:b/>
          <w:noProof/>
          <w:snapToGrid w:val="0"/>
          <w:color w:val="FF0000"/>
        </w:rPr>
        <w:t>&lt;Start of Text Poposal</w:t>
      </w:r>
      <w:r w:rsidR="00A5274C" w:rsidRPr="00FD2F61">
        <w:rPr>
          <w:rFonts w:ascii="Arial" w:hAnsi="Arial" w:cs="Arial"/>
          <w:b/>
          <w:noProof/>
          <w:snapToGrid w:val="0"/>
          <w:color w:val="FF0000"/>
        </w:rPr>
        <w:t>&gt;</w:t>
      </w:r>
    </w:p>
    <w:p w14:paraId="6A8F4778" w14:textId="77777777" w:rsidR="00DF43CF" w:rsidRDefault="00DF43CF" w:rsidP="00DF43CF">
      <w:pPr>
        <w:pStyle w:val="Heading1"/>
        <w:rPr>
          <w:ins w:id="3" w:author="Author"/>
        </w:rPr>
      </w:pPr>
      <w:bookmarkStart w:id="4" w:name="_Toc111071355"/>
      <w:ins w:id="5" w:author="Author">
        <w:r>
          <w:t>7</w:t>
        </w:r>
        <w:r>
          <w:tab/>
          <w:t>Study of signalling for improved lower MSD</w:t>
        </w:r>
      </w:ins>
    </w:p>
    <w:p w14:paraId="15B5B5B7" w14:textId="5095D953" w:rsidR="00DF43CF" w:rsidRPr="006972AB" w:rsidRDefault="00DF43CF" w:rsidP="00DF43CF">
      <w:pPr>
        <w:pStyle w:val="Heading2"/>
        <w:numPr>
          <w:ilvl w:val="0"/>
          <w:numId w:val="0"/>
        </w:numPr>
        <w:rPr>
          <w:ins w:id="6" w:author="Author"/>
        </w:rPr>
      </w:pPr>
      <w:ins w:id="7" w:author="Author">
        <w:r>
          <w:t>7</w:t>
        </w:r>
        <w:r>
          <w:rPr>
            <w:rFonts w:hint="eastAsia"/>
          </w:rPr>
          <w:t>.</w:t>
        </w:r>
        <w:r>
          <w:t>x</w:t>
        </w:r>
        <w:r>
          <w:rPr>
            <w:rFonts w:hint="eastAsia"/>
          </w:rPr>
          <w:t xml:space="preserve"> </w:t>
        </w:r>
        <w:r>
          <w:t>Possible MSD reporting approach</w:t>
        </w:r>
        <w:r w:rsidR="00245FCA">
          <w:t>es</w:t>
        </w:r>
      </w:ins>
    </w:p>
    <w:p w14:paraId="7708EF44" w14:textId="7076C621" w:rsidR="00DF43CF" w:rsidRPr="006972AB" w:rsidRDefault="00DF43CF" w:rsidP="00DF43CF">
      <w:pPr>
        <w:pStyle w:val="Heading3"/>
        <w:numPr>
          <w:ilvl w:val="0"/>
          <w:numId w:val="0"/>
        </w:numPr>
        <w:rPr>
          <w:ins w:id="8" w:author="Author"/>
        </w:rPr>
      </w:pPr>
      <w:ins w:id="9" w:author="Author">
        <w:r>
          <w:rPr>
            <w:rFonts w:eastAsiaTheme="minorEastAsia"/>
          </w:rPr>
          <w:t>7</w:t>
        </w:r>
        <w:r w:rsidRPr="006972AB">
          <w:rPr>
            <w:rFonts w:eastAsiaTheme="minorEastAsia" w:hint="eastAsia"/>
          </w:rPr>
          <w:t>.</w:t>
        </w:r>
        <w:r>
          <w:rPr>
            <w:rFonts w:eastAsiaTheme="minorEastAsia"/>
          </w:rPr>
          <w:t>x</w:t>
        </w:r>
        <w:r>
          <w:rPr>
            <w:rFonts w:eastAsiaTheme="minorEastAsia" w:hint="eastAsia"/>
          </w:rPr>
          <w:t>.</w:t>
        </w:r>
        <w:r>
          <w:rPr>
            <w:rFonts w:eastAsiaTheme="minorEastAsia"/>
          </w:rPr>
          <w:t>x</w:t>
        </w:r>
        <w:r w:rsidRPr="006972AB">
          <w:rPr>
            <w:rFonts w:eastAsiaTheme="minorEastAsia" w:hint="eastAsia"/>
          </w:rPr>
          <w:t xml:space="preserve"> </w:t>
        </w:r>
        <w:r w:rsidR="00245FCA">
          <w:rPr>
            <w:rFonts w:eastAsiaTheme="minorEastAsia" w:hint="eastAsia"/>
          </w:rPr>
          <w:t>Candidate</w:t>
        </w:r>
        <w:r w:rsidR="00245FCA">
          <w:rPr>
            <w:rFonts w:eastAsiaTheme="minorEastAsia"/>
          </w:rPr>
          <w:t xml:space="preserve"> solution 1: </w:t>
        </w:r>
        <w:r>
          <w:t>MSD reporting depending on frequency region</w:t>
        </w:r>
      </w:ins>
    </w:p>
    <w:p w14:paraId="2CCFEFFA" w14:textId="77777777" w:rsidR="00DF43CF" w:rsidRPr="00D1211C" w:rsidRDefault="00DF43CF" w:rsidP="00DF43CF">
      <w:pPr>
        <w:ind w:left="420"/>
        <w:rPr>
          <w:ins w:id="10" w:author="Author"/>
          <w:sz w:val="20"/>
          <w:szCs w:val="20"/>
          <w:lang w:val="en-GB" w:eastAsia="ko-KR"/>
        </w:rPr>
      </w:pPr>
      <w:ins w:id="11" w:author="Author">
        <w:r w:rsidRPr="00D1211C">
          <w:rPr>
            <w:sz w:val="20"/>
            <w:szCs w:val="20"/>
            <w:lang w:val="en-GB" w:eastAsia="ko-KR"/>
          </w:rPr>
          <w:t xml:space="preserve">On the way to feasibility study on how much MSD improvement to be expected, it was found that it is feasible to reduce drastically MSD, in some cases, it takes a cost, e.g., increasing PCB isolation alone may not be able to achieve MSD to be zero. With this outcome in mind, there were discussion on how many thresholds to be defined for reporting MSD as well as how reported lower MSD value(s) to be utilized by gNB. All the aforementioned discussion is based on MSD in Block A according to a specified test scenario as illustrated in top right in Figure 7.x.x-1, where RAN4 has selected a combination of an aggressor UE channel bandwidth (also # of RBs) and a victim channel bandwidth so as to enable 2nd UL harmonic to hit the entire spectrum in Block A as well as most of the power to be contained in Block A. </w:t>
        </w:r>
      </w:ins>
    </w:p>
    <w:p w14:paraId="40360F6E" w14:textId="77777777" w:rsidR="00DF43CF" w:rsidRPr="00D1211C" w:rsidRDefault="00DF43CF" w:rsidP="00DF43CF">
      <w:pPr>
        <w:ind w:left="420"/>
        <w:jc w:val="center"/>
        <w:rPr>
          <w:ins w:id="12" w:author="Author"/>
          <w:rFonts w:ascii="Times" w:hAnsi="Times" w:cs="Times"/>
        </w:rPr>
      </w:pPr>
      <w:ins w:id="13" w:author="Author">
        <w:r w:rsidRPr="00D1211C">
          <w:rPr>
            <w:rFonts w:ascii="Times" w:hAnsi="Times" w:cs="Times"/>
            <w:noProof/>
          </w:rPr>
          <w:drawing>
            <wp:inline distT="0" distB="0" distL="0" distR="0" wp14:anchorId="5BB34E89" wp14:editId="08D8D13D">
              <wp:extent cx="4597876" cy="2336414"/>
              <wp:effectExtent l="19050" t="19050" r="12700" b="26035"/>
              <wp:docPr id="9" name="Picture 9"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8691" cy="2341910"/>
                      </a:xfrm>
                      <a:prstGeom prst="rect">
                        <a:avLst/>
                      </a:prstGeom>
                      <a:ln>
                        <a:solidFill>
                          <a:schemeClr val="accent1"/>
                        </a:solidFill>
                      </a:ln>
                    </pic:spPr>
                  </pic:pic>
                </a:graphicData>
              </a:graphic>
            </wp:inline>
          </w:drawing>
        </w:r>
      </w:ins>
    </w:p>
    <w:p w14:paraId="74FABEFB" w14:textId="77777777" w:rsidR="00DF43CF" w:rsidRPr="00D1211C" w:rsidRDefault="00DF43CF" w:rsidP="00DF43CF">
      <w:pPr>
        <w:ind w:left="420"/>
        <w:jc w:val="center"/>
        <w:rPr>
          <w:ins w:id="14" w:author="Author"/>
          <w:rFonts w:ascii="Arial" w:hAnsi="Arial" w:cs="Arial"/>
          <w:sz w:val="20"/>
          <w:szCs w:val="20"/>
        </w:rPr>
      </w:pPr>
      <w:ins w:id="15" w:author="Author">
        <w:r w:rsidRPr="00D1211C">
          <w:rPr>
            <w:rFonts w:ascii="Arial" w:hAnsi="Arial" w:cs="Arial"/>
            <w:sz w:val="20"/>
            <w:szCs w:val="20"/>
          </w:rPr>
          <w:t>Figure 7.x.x-1: MSD test condition for 2</w:t>
        </w:r>
        <w:r w:rsidRPr="00D1211C">
          <w:rPr>
            <w:rFonts w:ascii="Arial" w:hAnsi="Arial" w:cs="Arial"/>
            <w:sz w:val="20"/>
            <w:szCs w:val="20"/>
            <w:vertAlign w:val="superscript"/>
          </w:rPr>
          <w:t>nd</w:t>
        </w:r>
        <w:r w:rsidRPr="00D1211C">
          <w:rPr>
            <w:rFonts w:ascii="Arial" w:hAnsi="Arial" w:cs="Arial"/>
            <w:sz w:val="20"/>
            <w:szCs w:val="20"/>
          </w:rPr>
          <w:t xml:space="preserve"> UL harmonic</w:t>
        </w:r>
      </w:ins>
    </w:p>
    <w:p w14:paraId="527DA316" w14:textId="77777777" w:rsidR="00DF43CF" w:rsidRPr="00D1211C" w:rsidRDefault="00DF43CF" w:rsidP="00DF43CF">
      <w:pPr>
        <w:ind w:left="420"/>
        <w:rPr>
          <w:ins w:id="16" w:author="Author"/>
          <w:sz w:val="20"/>
          <w:szCs w:val="20"/>
          <w:lang w:val="en-GB" w:eastAsia="ko-KR"/>
        </w:rPr>
      </w:pPr>
      <w:ins w:id="17" w:author="Author">
        <w:r w:rsidRPr="00D1211C">
          <w:rPr>
            <w:sz w:val="20"/>
            <w:szCs w:val="20"/>
            <w:lang w:val="en-GB" w:eastAsia="ko-KR"/>
          </w:rPr>
          <w:t xml:space="preserve">It’s noted that with respect to 2nd UL harmonic case for at least PC3, it is very likely that MSD in Block C would be zero if lower MSD capability is reported provided that specified MSD for this region would be a few dB. Still, </w:t>
        </w:r>
        <w:r w:rsidRPr="00D1211C">
          <w:rPr>
            <w:sz w:val="20"/>
            <w:szCs w:val="20"/>
            <w:lang w:val="en-GB" w:eastAsia="ko-KR"/>
          </w:rPr>
          <w:lastRenderedPageBreak/>
          <w:t>however, MSD in Block B remains undefined or unpredicted. This is quite an unfortunate situation since even if a lower MSD, e.g., 15 dB is reported, if e.g., RSRP doesn’t reach a threshold, the network may avoid configuring the UE with CA, may try to configure the UE with CA using DL resource in Region C as shown in Case 1 in Figure 7.x.x-1, and/or may try to schedule UL resources in a way to minimize 2nd UL harmonic impact on scheduled DL resources, but if there are other users in the same network, it may not be possible for the network to take any measures to the UE. If the network, however, clearly knows that e.g., Block B has no MSD, the UE might get higher possibility to configured with CA using DL resource in Block B and/or C as shown in Case 2 in Figure 7.x.x-1 since the network can have more flexibility in terms of available resources. Hence, clarifying MSD = 0 dB region gives network more flexibility in terms of resource allocation and UE higher possibility in terms of CA configuration as depicted in case 2 in Figure 7.x.x-1.</w:t>
        </w:r>
      </w:ins>
    </w:p>
    <w:p w14:paraId="38E65F3B" w14:textId="77777777" w:rsidR="00DF43CF" w:rsidRPr="00D1211C" w:rsidRDefault="00DF43CF" w:rsidP="00DF43CF">
      <w:pPr>
        <w:ind w:left="420"/>
        <w:rPr>
          <w:ins w:id="18" w:author="Author"/>
          <w:sz w:val="20"/>
          <w:szCs w:val="20"/>
          <w:lang w:val="en-GB" w:eastAsia="ko-KR"/>
        </w:rPr>
      </w:pPr>
      <w:ins w:id="19" w:author="Author">
        <w:r w:rsidRPr="00D1211C">
          <w:rPr>
            <w:sz w:val="20"/>
            <w:szCs w:val="20"/>
            <w:lang w:val="en-GB" w:eastAsia="ko-KR"/>
          </w:rPr>
          <w:t xml:space="preserve">Observation 1: Reporting from where MSD = 0 dB with respect to the center of a victim channel bandwidth in the specification(s) provides a network more flexibility to decide CA configuration as well as frequency resource scheduling, and this would increase possibility for the UE to get CA configured with. </w:t>
        </w:r>
      </w:ins>
    </w:p>
    <w:p w14:paraId="78E024E9" w14:textId="77777777" w:rsidR="00DF43CF" w:rsidRPr="00D1211C" w:rsidRDefault="00DF43CF" w:rsidP="00DF43CF">
      <w:pPr>
        <w:ind w:left="420"/>
        <w:rPr>
          <w:ins w:id="20" w:author="Author"/>
          <w:sz w:val="20"/>
          <w:szCs w:val="20"/>
          <w:lang w:val="en-GB" w:eastAsia="ko-KR"/>
        </w:rPr>
      </w:pPr>
      <w:ins w:id="21" w:author="Author">
        <w:r w:rsidRPr="00D1211C">
          <w:rPr>
            <w:sz w:val="20"/>
            <w:szCs w:val="20"/>
            <w:lang w:val="en-GB" w:eastAsia="ko-KR"/>
          </w:rPr>
          <w:t xml:space="preserve">Another aspect would be there may be cases, e.g., an operator whose band doesn’t have MSD in a way that the entire channel bandwidth is impacted by an MSD root cause, but rather only an upper part of the channel has MSD as can be seen in Figure 7.x.x-2. </w:t>
        </w:r>
      </w:ins>
    </w:p>
    <w:p w14:paraId="49F4ED9D" w14:textId="77777777" w:rsidR="00DF43CF" w:rsidRDefault="00DF43CF" w:rsidP="00DF43CF">
      <w:pPr>
        <w:ind w:left="420"/>
        <w:jc w:val="center"/>
        <w:rPr>
          <w:ins w:id="22" w:author="Author"/>
        </w:rPr>
      </w:pPr>
      <w:ins w:id="23" w:author="Author">
        <w:r>
          <w:rPr>
            <w:noProof/>
          </w:rPr>
          <w:drawing>
            <wp:inline distT="0" distB="0" distL="0" distR="0" wp14:anchorId="00DFC11E" wp14:editId="230058F8">
              <wp:extent cx="3311386" cy="2075330"/>
              <wp:effectExtent l="0" t="0" r="3810" b="127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7848" cy="2091914"/>
                      </a:xfrm>
                      <a:prstGeom prst="rect">
                        <a:avLst/>
                      </a:prstGeom>
                    </pic:spPr>
                  </pic:pic>
                </a:graphicData>
              </a:graphic>
            </wp:inline>
          </w:drawing>
        </w:r>
      </w:ins>
    </w:p>
    <w:p w14:paraId="544C7A53" w14:textId="77777777" w:rsidR="00DF43CF" w:rsidRPr="00D1211C" w:rsidRDefault="00DF43CF" w:rsidP="00D1211C">
      <w:pPr>
        <w:ind w:left="420"/>
        <w:jc w:val="center"/>
        <w:rPr>
          <w:ins w:id="24" w:author="Author"/>
          <w:rFonts w:ascii="Arial" w:hAnsi="Arial" w:cs="Arial"/>
          <w:sz w:val="20"/>
          <w:szCs w:val="20"/>
          <w:lang w:val="en-GB" w:eastAsia="ko-KR"/>
        </w:rPr>
      </w:pPr>
      <w:ins w:id="25" w:author="Author">
        <w:r w:rsidRPr="00D1211C">
          <w:rPr>
            <w:rFonts w:ascii="Arial" w:hAnsi="Arial" w:cs="Arial"/>
            <w:sz w:val="20"/>
            <w:szCs w:val="20"/>
            <w:lang w:val="en-GB" w:eastAsia="ko-KR"/>
          </w:rPr>
          <w:t>Figure 7.x.x-2: A case where a part of victim channel bandwidth is affected by MSD</w:t>
        </w:r>
      </w:ins>
    </w:p>
    <w:p w14:paraId="14FD9746" w14:textId="77777777" w:rsidR="00DF43CF" w:rsidRPr="00D1211C" w:rsidRDefault="00DF43CF" w:rsidP="00DF43CF">
      <w:pPr>
        <w:ind w:left="420"/>
        <w:rPr>
          <w:ins w:id="26" w:author="Author"/>
          <w:sz w:val="20"/>
          <w:szCs w:val="20"/>
          <w:lang w:val="en-GB" w:eastAsia="ko-KR"/>
        </w:rPr>
      </w:pPr>
      <w:ins w:id="27" w:author="Author">
        <w:r w:rsidRPr="00D1211C">
          <w:rPr>
            <w:sz w:val="20"/>
            <w:szCs w:val="20"/>
            <w:lang w:val="en-GB" w:eastAsia="ko-KR"/>
          </w:rPr>
          <w:t>Observation 3: Reporting MSD = 0 dB region can provide NW with more flexibility in terms of resource scheduling even if an operator has MSD in a limited part of their spectrum.</w:t>
        </w:r>
      </w:ins>
    </w:p>
    <w:p w14:paraId="5FA11917" w14:textId="77777777" w:rsidR="00DF43CF" w:rsidRPr="00D1211C" w:rsidRDefault="00DF43CF" w:rsidP="00DF43CF">
      <w:pPr>
        <w:ind w:left="420"/>
        <w:rPr>
          <w:ins w:id="28" w:author="Author"/>
          <w:sz w:val="20"/>
          <w:szCs w:val="20"/>
          <w:lang w:val="en-GB" w:eastAsia="ko-KR"/>
        </w:rPr>
      </w:pPr>
      <w:ins w:id="29" w:author="Author">
        <w:r w:rsidRPr="00D1211C">
          <w:rPr>
            <w:sz w:val="20"/>
            <w:szCs w:val="20"/>
            <w:lang w:val="en-GB" w:eastAsia="ko-KR"/>
          </w:rPr>
          <w:t xml:space="preserve">If a UE doesn’t have so-called lower MSD capability being discussed, a network may assume that the upper part of the channel bandwidth is affected by the specified MSD, e.g., 30 dB as the worst case. Even if a UE has the lower MSD capability of e.g., 15 dB, still network may consider that the upper part of the victim channel bandwidth has 15 dB MSD as the worst case while actually, the UE may not have MSD in the upper part of the operator’s spectrum at all, i.e., MSD = 0 dB. If somehow this information is reported to the network, the operator’s network resource schedule can be free from MSD of </w:t>
        </w:r>
      </w:ins>
    </w:p>
    <w:p w14:paraId="424C7E31" w14:textId="77777777" w:rsidR="00DF43CF" w:rsidRPr="00D1211C" w:rsidRDefault="00DF43CF" w:rsidP="00DF43CF">
      <w:pPr>
        <w:ind w:left="420"/>
        <w:rPr>
          <w:ins w:id="30" w:author="Author"/>
          <w:sz w:val="20"/>
          <w:szCs w:val="20"/>
          <w:lang w:val="en-GB" w:eastAsia="ko-KR"/>
        </w:rPr>
      </w:pPr>
      <w:ins w:id="31" w:author="Author">
        <w:r w:rsidRPr="00D1211C">
          <w:rPr>
            <w:sz w:val="20"/>
            <w:szCs w:val="20"/>
            <w:lang w:val="en-GB" w:eastAsia="ko-KR"/>
          </w:rPr>
          <w:t>Observation 3: Reporting MSD = 0 dB region can provide NW with more flexibility in terms of resource scheduling even if an operator has MSD in a limited part of their spectrum.</w:t>
        </w:r>
      </w:ins>
    </w:p>
    <w:p w14:paraId="0B91FACA" w14:textId="77777777" w:rsidR="00DF43CF" w:rsidRPr="00D1211C" w:rsidRDefault="00DF43CF" w:rsidP="00DF43CF">
      <w:pPr>
        <w:ind w:left="420"/>
        <w:rPr>
          <w:ins w:id="32" w:author="Author"/>
          <w:sz w:val="20"/>
          <w:szCs w:val="20"/>
          <w:lang w:val="en-GB" w:eastAsia="ko-KR"/>
        </w:rPr>
      </w:pPr>
      <w:ins w:id="33" w:author="Author">
        <w:r w:rsidRPr="00D1211C">
          <w:rPr>
            <w:sz w:val="20"/>
            <w:szCs w:val="20"/>
            <w:lang w:val="en-GB" w:eastAsia="ko-KR"/>
          </w:rPr>
          <w:t>A question may arise that if a noise due to MSD root cause is actually not flat? Figure 7.x.x-3 shows 2nd UL harmonic spectrum, where horizontal axis of -1 to +1 is corresponding to a victim channel bandwidth size. It can be seen that the noise due to 2nd UL harmonic sharply decrease as the position becomes close to the channel edges from the center. Hence, it would be likely that a UE with lower MSD capability can have wider MSD zero region than the UE without lower MSD capability.</w:t>
        </w:r>
      </w:ins>
    </w:p>
    <w:p w14:paraId="7A4EDAD1" w14:textId="77777777" w:rsidR="00DF43CF" w:rsidRDefault="00DF43CF" w:rsidP="00DF43CF">
      <w:pPr>
        <w:ind w:left="420"/>
        <w:jc w:val="center"/>
        <w:rPr>
          <w:ins w:id="34" w:author="Author"/>
        </w:rPr>
      </w:pPr>
      <w:ins w:id="35" w:author="Author">
        <w:r>
          <w:rPr>
            <w:noProof/>
          </w:rPr>
          <w:lastRenderedPageBreak/>
          <w:drawing>
            <wp:inline distT="0" distB="0" distL="0" distR="0" wp14:anchorId="5F61D6FE" wp14:editId="4781BCC1">
              <wp:extent cx="1851696" cy="1618148"/>
              <wp:effectExtent l="19050" t="19050" r="15240" b="203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1323" cy="1626561"/>
                      </a:xfrm>
                      <a:prstGeom prst="rect">
                        <a:avLst/>
                      </a:prstGeom>
                      <a:noFill/>
                      <a:ln>
                        <a:solidFill>
                          <a:schemeClr val="tx1"/>
                        </a:solidFill>
                      </a:ln>
                    </pic:spPr>
                  </pic:pic>
                </a:graphicData>
              </a:graphic>
            </wp:inline>
          </w:drawing>
        </w:r>
      </w:ins>
    </w:p>
    <w:p w14:paraId="3E2D700C" w14:textId="77777777" w:rsidR="00DF43CF" w:rsidRPr="00D1211C" w:rsidRDefault="00DF43CF" w:rsidP="00DF43CF">
      <w:pPr>
        <w:ind w:left="420"/>
        <w:jc w:val="center"/>
        <w:rPr>
          <w:ins w:id="36" w:author="Author"/>
          <w:rFonts w:ascii="Arial" w:hAnsi="Arial" w:cs="Arial"/>
          <w:sz w:val="20"/>
          <w:szCs w:val="20"/>
        </w:rPr>
      </w:pPr>
      <w:ins w:id="37" w:author="Author">
        <w:r w:rsidRPr="00D1211C">
          <w:rPr>
            <w:rFonts w:ascii="Arial" w:hAnsi="Arial" w:cs="Arial"/>
            <w:sz w:val="20"/>
            <w:szCs w:val="20"/>
          </w:rPr>
          <w:t>Figure 3: H2 spectral extracted from [3]</w:t>
        </w:r>
      </w:ins>
    </w:p>
    <w:p w14:paraId="70305A64" w14:textId="77777777" w:rsidR="00DF43CF" w:rsidRPr="00D1211C" w:rsidRDefault="00DF43CF" w:rsidP="00DF43CF">
      <w:pPr>
        <w:ind w:left="420"/>
        <w:rPr>
          <w:ins w:id="38" w:author="Author"/>
          <w:sz w:val="20"/>
          <w:szCs w:val="20"/>
          <w:lang w:val="en-GB" w:eastAsia="ko-KR"/>
        </w:rPr>
      </w:pPr>
      <w:ins w:id="39" w:author="Author">
        <w:r w:rsidRPr="00D1211C">
          <w:rPr>
            <w:sz w:val="20"/>
            <w:szCs w:val="20"/>
            <w:lang w:val="en-GB" w:eastAsia="ko-KR"/>
          </w:rPr>
          <w:t xml:space="preserve">Hence, even if a UE cannot indicate MSD = 0 dB based on the existing MSD test condition, i.e., in the entire Block A in the top in Figure 7.x.x-4, some part of Block B may have MSD = 0 dB as shown in the middle in Figure 7.x.x-4. Or if a UE has better lower MSD capability, the UE may have MSD = 0 dB region even in inside Block A as shown in the bottom in Figure 7.x.x-4. </w:t>
        </w:r>
      </w:ins>
    </w:p>
    <w:p w14:paraId="0A08ACF6" w14:textId="77777777" w:rsidR="00DF43CF" w:rsidRDefault="00DF43CF" w:rsidP="00DF43CF">
      <w:pPr>
        <w:ind w:left="420"/>
        <w:jc w:val="center"/>
        <w:rPr>
          <w:ins w:id="40" w:author="Author"/>
        </w:rPr>
      </w:pPr>
      <w:ins w:id="41" w:author="Author">
        <w:r>
          <w:rPr>
            <w:noProof/>
          </w:rPr>
          <w:drawing>
            <wp:inline distT="0" distB="0" distL="0" distR="0" wp14:anchorId="57331E9D" wp14:editId="5F2A5974">
              <wp:extent cx="4007784" cy="1887582"/>
              <wp:effectExtent l="0" t="0" r="0" b="0"/>
              <wp:docPr id="15" name="Picture 1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21900" cy="1894230"/>
                      </a:xfrm>
                      <a:prstGeom prst="rect">
                        <a:avLst/>
                      </a:prstGeom>
                    </pic:spPr>
                  </pic:pic>
                </a:graphicData>
              </a:graphic>
            </wp:inline>
          </w:drawing>
        </w:r>
      </w:ins>
    </w:p>
    <w:p w14:paraId="09E00BF3" w14:textId="0940D618" w:rsidR="00DF43CF" w:rsidRPr="00D1211C" w:rsidRDefault="00DF43CF" w:rsidP="00DF43CF">
      <w:pPr>
        <w:ind w:left="420"/>
        <w:jc w:val="center"/>
        <w:rPr>
          <w:ins w:id="42" w:author="Author"/>
          <w:rFonts w:ascii="Arial" w:hAnsi="Arial" w:cs="Arial"/>
          <w:sz w:val="20"/>
          <w:szCs w:val="20"/>
        </w:rPr>
      </w:pPr>
      <w:ins w:id="43" w:author="Author">
        <w:r w:rsidRPr="00D1211C">
          <w:rPr>
            <w:rFonts w:ascii="Arial" w:hAnsi="Arial" w:cs="Arial"/>
            <w:sz w:val="20"/>
            <w:szCs w:val="20"/>
          </w:rPr>
          <w:t>Figure 7.x.x-4: relationship of MSD existence region between specification and a UE with lower MSD</w:t>
        </w:r>
      </w:ins>
    </w:p>
    <w:p w14:paraId="73370DB1" w14:textId="77777777" w:rsidR="00DF43CF" w:rsidRPr="00D1211C" w:rsidRDefault="00DF43CF" w:rsidP="00DF43CF">
      <w:pPr>
        <w:ind w:left="420"/>
        <w:rPr>
          <w:ins w:id="44" w:author="Author"/>
          <w:sz w:val="20"/>
          <w:szCs w:val="20"/>
          <w:lang w:val="en-GB" w:eastAsia="ko-KR"/>
        </w:rPr>
      </w:pPr>
      <w:ins w:id="45" w:author="Author">
        <w:r w:rsidRPr="00D1211C">
          <w:rPr>
            <w:sz w:val="20"/>
            <w:szCs w:val="20"/>
            <w:lang w:val="en-GB" w:eastAsia="ko-KR"/>
          </w:rPr>
          <w:t>Observation 4: Even if a UE with better isolation still may have challenges in achieving MSD = 0 dB based on the existing MSD definition, i.e., Block A in Figure 7.x.x-4, but the UE can have MSD = 0 dB region than UEs with poorer isolation.</w:t>
        </w:r>
      </w:ins>
    </w:p>
    <w:p w14:paraId="221523C8" w14:textId="77777777" w:rsidR="00DF43CF" w:rsidRPr="00D1211C" w:rsidRDefault="00DF43CF" w:rsidP="00DF43CF">
      <w:pPr>
        <w:ind w:left="420"/>
        <w:rPr>
          <w:ins w:id="46" w:author="Author"/>
          <w:sz w:val="20"/>
          <w:szCs w:val="20"/>
          <w:lang w:val="en-GB" w:eastAsia="ko-KR"/>
        </w:rPr>
      </w:pPr>
      <w:ins w:id="47" w:author="Author">
        <w:r w:rsidRPr="00D1211C">
          <w:rPr>
            <w:sz w:val="20"/>
            <w:szCs w:val="20"/>
            <w:lang w:val="en-GB" w:eastAsia="ko-KR"/>
          </w:rPr>
          <w:t xml:space="preserve">The information that MSD is 0 dB can be easily treated by a network since as far as a network allocates frequency resources to MSD = 0 dB region in the victim channel bandwidth or adjacent channel bandwidth (if CA is possible), the resources are not affected by aggressor’ uplink power(s) in the UE. </w:t>
        </w:r>
      </w:ins>
    </w:p>
    <w:p w14:paraId="200A7977" w14:textId="77777777" w:rsidR="00DF43CF" w:rsidRPr="00D1211C" w:rsidRDefault="00DF43CF" w:rsidP="00DF43CF">
      <w:pPr>
        <w:ind w:left="420"/>
        <w:rPr>
          <w:ins w:id="48" w:author="Author"/>
          <w:sz w:val="20"/>
          <w:szCs w:val="20"/>
          <w:lang w:val="en-GB" w:eastAsia="ko-KR"/>
        </w:rPr>
      </w:pPr>
      <w:ins w:id="49" w:author="Author">
        <w:r w:rsidRPr="00D1211C">
          <w:rPr>
            <w:sz w:val="20"/>
            <w:szCs w:val="20"/>
            <w:lang w:val="en-GB" w:eastAsia="ko-KR"/>
          </w:rPr>
          <w:t>Observation 5: The information on where MSD = 0 dB outside a victim channel bandwidth or even inside the victim channel bandwidth can be easily treated by a network since MSD in this region is not affected by aggressor’s power(s) in a UE.</w:t>
        </w:r>
      </w:ins>
    </w:p>
    <w:p w14:paraId="4CE27A7C" w14:textId="77777777" w:rsidR="00DF43CF" w:rsidRPr="00D1211C" w:rsidRDefault="00DF43CF" w:rsidP="00D1211C">
      <w:pPr>
        <w:ind w:left="420"/>
        <w:rPr>
          <w:ins w:id="50" w:author="Author"/>
          <w:sz w:val="20"/>
          <w:szCs w:val="20"/>
          <w:lang w:val="en-GB" w:eastAsia="ko-KR"/>
        </w:rPr>
      </w:pPr>
      <w:ins w:id="51" w:author="Author">
        <w:r w:rsidRPr="00D1211C">
          <w:rPr>
            <w:sz w:val="20"/>
            <w:szCs w:val="20"/>
            <w:lang w:val="en-GB" w:eastAsia="ko-KR"/>
          </w:rPr>
          <w:t>Conclusion: Reporting distance between the centre of a defined victim channel bandwidth and a starting point of MSD = 0 dB region can be a possible way to enable network to utilize the reported information easily and to produce a complementary effect with a case that reported MSD is a non-zero value base on existing test configurations.</w:t>
        </w:r>
      </w:ins>
    </w:p>
    <w:bookmarkEnd w:id="4"/>
    <w:p w14:paraId="03E9D8A3" w14:textId="0968177B" w:rsidR="00A5274C" w:rsidRDefault="00A5274C" w:rsidP="001145A4">
      <w:pPr>
        <w:ind w:left="420"/>
        <w:rPr>
          <w:rFonts w:ascii="Arial" w:hAnsi="Arial" w:cs="Arial"/>
          <w:b/>
          <w:noProof/>
          <w:snapToGrid w:val="0"/>
          <w:color w:val="FF0000"/>
        </w:rPr>
      </w:pPr>
      <w:r w:rsidRPr="001B796A">
        <w:rPr>
          <w:rFonts w:ascii="Arial" w:hAnsi="Arial" w:cs="Arial" w:hint="eastAsia"/>
          <w:b/>
          <w:noProof/>
          <w:snapToGrid w:val="0"/>
          <w:color w:val="FF0000"/>
        </w:rPr>
        <w:t>&lt;End of Text Poposal&gt;</w:t>
      </w:r>
    </w:p>
    <w:p w14:paraId="3D28A7FA" w14:textId="77777777" w:rsidR="001D2B23" w:rsidRDefault="001D2B23" w:rsidP="0052762B">
      <w:pPr>
        <w:ind w:left="420"/>
        <w:rPr>
          <w:rFonts w:ascii="Arial" w:hAnsi="Arial" w:cs="Arial"/>
          <w:b/>
          <w:noProof/>
          <w:snapToGrid w:val="0"/>
          <w:color w:val="FF0000"/>
        </w:rPr>
      </w:pPr>
    </w:p>
    <w:sectPr w:rsidR="001D2B23"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F510" w14:textId="77777777" w:rsidR="00505C89" w:rsidRDefault="00505C89" w:rsidP="0052762B">
      <w:pPr>
        <w:ind w:left="420"/>
      </w:pPr>
      <w:r>
        <w:separator/>
      </w:r>
    </w:p>
  </w:endnote>
  <w:endnote w:type="continuationSeparator" w:id="0">
    <w:p w14:paraId="32E73252" w14:textId="77777777" w:rsidR="00505C89" w:rsidRDefault="00505C89" w:rsidP="0052762B">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KaiTi_GB2312">
    <w:altName w:val="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EC16"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51CC" w14:textId="77777777" w:rsidR="00505C89" w:rsidRDefault="00505C89" w:rsidP="0052762B">
      <w:pPr>
        <w:ind w:left="420"/>
      </w:pPr>
      <w:r>
        <w:separator/>
      </w:r>
    </w:p>
  </w:footnote>
  <w:footnote w:type="continuationSeparator" w:id="0">
    <w:p w14:paraId="62439B0F" w14:textId="77777777" w:rsidR="00505C89" w:rsidRDefault="00505C89" w:rsidP="0052762B">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0"/>
  </w:num>
  <w:num w:numId="4">
    <w:abstractNumId w:val="29"/>
  </w:num>
  <w:num w:numId="5">
    <w:abstractNumId w:val="1"/>
  </w:num>
  <w:num w:numId="6">
    <w:abstractNumId w:val="28"/>
  </w:num>
  <w:num w:numId="7">
    <w:abstractNumId w:val="14"/>
  </w:num>
  <w:num w:numId="8">
    <w:abstractNumId w:val="24"/>
  </w:num>
  <w:num w:numId="9">
    <w:abstractNumId w:val="32"/>
  </w:num>
  <w:num w:numId="10">
    <w:abstractNumId w:val="11"/>
  </w:num>
  <w:num w:numId="11">
    <w:abstractNumId w:val="6"/>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9"/>
  </w:num>
  <w:num w:numId="16">
    <w:abstractNumId w:val="6"/>
  </w:num>
  <w:num w:numId="17">
    <w:abstractNumId w:val="18"/>
  </w:num>
  <w:num w:numId="18">
    <w:abstractNumId w:val="7"/>
  </w:num>
  <w:num w:numId="19">
    <w:abstractNumId w:val="10"/>
  </w:num>
  <w:num w:numId="20">
    <w:abstractNumId w:val="22"/>
  </w:num>
  <w:num w:numId="21">
    <w:abstractNumId w:val="21"/>
  </w:num>
  <w:num w:numId="22">
    <w:abstractNumId w:val="23"/>
  </w:num>
  <w:num w:numId="23">
    <w:abstractNumId w:val="30"/>
  </w:num>
  <w:num w:numId="24">
    <w:abstractNumId w:val="19"/>
  </w:num>
  <w:num w:numId="25">
    <w:abstractNumId w:val="8"/>
  </w:num>
  <w:num w:numId="26">
    <w:abstractNumId w:val="15"/>
  </w:num>
  <w:num w:numId="27">
    <w:abstractNumId w:val="16"/>
  </w:num>
  <w:num w:numId="28">
    <w:abstractNumId w:val="3"/>
  </w:num>
  <w:num w:numId="29">
    <w:abstractNumId w:val="13"/>
  </w:num>
  <w:num w:numId="30">
    <w:abstractNumId w:val="25"/>
  </w:num>
  <w:num w:numId="31">
    <w:abstractNumId w:val="31"/>
  </w:num>
  <w:num w:numId="32">
    <w:abstractNumId w:val="4"/>
  </w:num>
  <w:num w:numId="33">
    <w:abstractNumId w:val="27"/>
  </w:num>
  <w:num w:numId="34">
    <w:abstractNumId w:val="12"/>
  </w:num>
  <w:num w:numId="3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3A0E"/>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D59"/>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A4"/>
    <w:rsid w:val="001145CD"/>
    <w:rsid w:val="00114764"/>
    <w:rsid w:val="00115AEF"/>
    <w:rsid w:val="00116080"/>
    <w:rsid w:val="00116445"/>
    <w:rsid w:val="00116DF7"/>
    <w:rsid w:val="00117964"/>
    <w:rsid w:val="00120A20"/>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5FCA"/>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980"/>
    <w:rsid w:val="00394D01"/>
    <w:rsid w:val="003950DD"/>
    <w:rsid w:val="00395EC0"/>
    <w:rsid w:val="0039607A"/>
    <w:rsid w:val="003967B5"/>
    <w:rsid w:val="00396813"/>
    <w:rsid w:val="00396825"/>
    <w:rsid w:val="003A161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C63"/>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314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89"/>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77"/>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9B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298"/>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151"/>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CD2"/>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1F9D"/>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4AFC"/>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802"/>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CB6"/>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27CD2"/>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000"/>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949"/>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21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502"/>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515"/>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065"/>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A3C"/>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4CF9"/>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3C6E"/>
    <w:rsid w:val="00C64439"/>
    <w:rsid w:val="00C65B3E"/>
    <w:rsid w:val="00C66E0C"/>
    <w:rsid w:val="00C67D98"/>
    <w:rsid w:val="00C67DE6"/>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1F7B"/>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135"/>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4C07"/>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1C"/>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27B71"/>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43CF"/>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C7741"/>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3"/>
    <w:rsid w:val="00EF2B02"/>
    <w:rsid w:val="00EF2E9B"/>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D1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117"/>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4191"/>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E95C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135"/>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245FCA"/>
    <w:pPr>
      <w:keepNext/>
      <w:numPr>
        <w:numId w:val="33"/>
      </w:numPr>
      <w:spacing w:before="240" w:after="240"/>
      <w:ind w:left="431" w:hanging="431"/>
      <w:jc w:val="both"/>
      <w:outlineLvl w:val="0"/>
    </w:pPr>
    <w:rPr>
      <w:rFonts w:ascii="Arial" w:eastAsia="SimHei" w:hAnsi="Arial"/>
      <w:b/>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245FCA"/>
    <w:pPr>
      <w:keepNext/>
      <w:numPr>
        <w:ilvl w:val="1"/>
        <w:numId w:val="33"/>
      </w:numPr>
      <w:spacing w:before="240" w:after="240"/>
      <w:jc w:val="both"/>
      <w:outlineLvl w:val="1"/>
    </w:pPr>
    <w:rPr>
      <w:rFonts w:ascii="Arial" w:eastAsia="SimHei" w:hAnsi="Arial"/>
      <w:sz w:val="24"/>
      <w:szCs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qFormat/>
    <w:rsid w:val="00245FCA"/>
    <w:pPr>
      <w:keepNext/>
      <w:keepLines/>
      <w:numPr>
        <w:ilvl w:val="2"/>
        <w:numId w:val="33"/>
      </w:numPr>
      <w:spacing w:before="260" w:after="260" w:line="416" w:lineRule="auto"/>
      <w:jc w:val="both"/>
      <w:outlineLvl w:val="2"/>
    </w:pPr>
    <w:rPr>
      <w:rFonts w:ascii="Arial" w:eastAsia="Arial" w:hAnsi="Arial"/>
      <w:bCs/>
      <w:kern w:val="2"/>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uiPriority w:val="99"/>
    <w:qFormat/>
    <w:rsid w:val="009B4262"/>
    <w:pPr>
      <w:tabs>
        <w:tab w:val="num" w:pos="1499"/>
      </w:tabs>
      <w:outlineLvl w:val="6"/>
    </w:pPr>
  </w:style>
  <w:style w:type="paragraph" w:styleId="Heading8">
    <w:name w:val="heading 8"/>
    <w:basedOn w:val="Heading1"/>
    <w:next w:val="Normal"/>
    <w:uiPriority w:val="99"/>
    <w:qFormat/>
    <w:rsid w:val="009B4262"/>
    <w:pPr>
      <w:outlineLvl w:val="7"/>
    </w:pPr>
  </w:style>
  <w:style w:type="paragraph" w:styleId="Heading9">
    <w:name w:val="heading 9"/>
    <w:basedOn w:val="Heading8"/>
    <w:next w:val="Normal"/>
    <w:uiPriority w:val="99"/>
    <w:qFormat/>
    <w:rsid w:val="009B4262"/>
    <w:pPr>
      <w:outlineLvl w:val="8"/>
    </w:pPr>
  </w:style>
  <w:style w:type="character" w:default="1" w:styleId="DefaultParagraphFont">
    <w:name w:val="Default Paragraph Font"/>
    <w:uiPriority w:val="1"/>
    <w:semiHidden/>
    <w:unhideWhenUsed/>
    <w:rsid w:val="00CE11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13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Hei" w:hAnsi="Arial"/>
      <w:b/>
      <w:sz w:val="32"/>
      <w:szCs w:val="32"/>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Hei" w:hAnsi="Arial"/>
      <w:sz w:val="24"/>
      <w:szCs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Arial" w:hAnsi="Arial"/>
      <w:bCs/>
      <w:kern w:val="2"/>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5FCA"/>
    <w:pPr>
      <w:tabs>
        <w:tab w:val="center" w:pos="4153"/>
        <w:tab w:val="right" w:pos="8306"/>
      </w:tabs>
      <w:snapToGrid w:val="0"/>
      <w:jc w:val="both"/>
    </w:pPr>
    <w:rPr>
      <w:rFonts w:ascii="Arial" w:eastAsia="SimSun" w:hAnsi="Arial"/>
      <w:sz w:val="18"/>
      <w:szCs w:val="18"/>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rsid w:val="00245FCA"/>
    <w:pPr>
      <w:tabs>
        <w:tab w:val="center" w:pos="4510"/>
        <w:tab w:val="right" w:pos="9020"/>
      </w:tabs>
    </w:pPr>
    <w:rPr>
      <w:rFonts w:ascii="Arial" w:eastAsia="SimSun" w:hAnsi="Arial"/>
      <w:sz w:val="18"/>
      <w:szCs w:val="18"/>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ind w:left="210"/>
      <w:jc w:val="both"/>
    </w:pPr>
    <w:rPr>
      <w:snapToGrid w:val="0"/>
      <w:kern w:val="2"/>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rsid w:val="00245FCA"/>
    <w:pPr>
      <w:spacing w:line="240" w:lineRule="auto"/>
    </w:pPr>
    <w:rPr>
      <w:sz w:val="18"/>
      <w:szCs w:val="18"/>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SimSun" w:hAnsi="Arial"/>
      <w:sz w:val="18"/>
      <w:szCs w:val="18"/>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spacing w:after="80"/>
    </w:pPr>
    <w:rPr>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spacing w:before="0" w:after="240"/>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pPr>
    <w:rPr>
      <w:rFonts w:ascii="Arial" w:hAnsi="Arial"/>
      <w:sz w:val="18"/>
    </w:rPr>
  </w:style>
  <w:style w:type="paragraph" w:customStyle="1" w:styleId="FP">
    <w:name w:val="FP"/>
    <w:basedOn w:val="Normal"/>
    <w:rsid w:val="00755136"/>
  </w:style>
  <w:style w:type="paragraph" w:customStyle="1" w:styleId="EW">
    <w:name w:val="EW"/>
    <w:basedOn w:val="EX"/>
    <w:rsid w:val="00755136"/>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style>
  <w:style w:type="paragraph" w:customStyle="1" w:styleId="B4">
    <w:name w:val="B4"/>
    <w:basedOn w:val="List4"/>
    <w:rsid w:val="00755136"/>
  </w:style>
  <w:style w:type="paragraph" w:customStyle="1" w:styleId="B5">
    <w:name w:val="B5"/>
    <w:basedOn w:val="List5"/>
    <w:rsid w:val="00755136"/>
  </w:style>
  <w:style w:type="paragraph" w:customStyle="1" w:styleId="INDENT1">
    <w:name w:val="INDENT1"/>
    <w:basedOn w:val="Normal"/>
    <w:rsid w:val="00755136"/>
    <w:pPr>
      <w:ind w:left="851"/>
    </w:pPr>
  </w:style>
  <w:style w:type="paragraph" w:customStyle="1" w:styleId="INDENT2">
    <w:name w:val="INDENT2"/>
    <w:basedOn w:val="Normal"/>
    <w:rsid w:val="00755136"/>
    <w:pPr>
      <w:ind w:left="1135" w:hanging="284"/>
    </w:pPr>
  </w:style>
  <w:style w:type="paragraph" w:customStyle="1" w:styleId="INDENT3">
    <w:name w:val="INDENT3"/>
    <w:basedOn w:val="Normal"/>
    <w:rsid w:val="00755136"/>
    <w:pPr>
      <w:ind w:left="1701" w:hanging="567"/>
    </w:p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5136"/>
    <w:pPr>
      <w:keepNext/>
      <w:keepLines/>
    </w:pPr>
    <w:rPr>
      <w:b/>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55136"/>
    <w:pPr>
      <w:keepNext/>
      <w:keepLines/>
      <w:spacing w:before="240"/>
      <w:ind w:left="1418"/>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55136"/>
    <w:rPr>
      <w:rFonts w:eastAsia="Times New Roman"/>
      <w:b/>
      <w:lang w:val="en-GB" w:eastAsia="en-US"/>
    </w:rPr>
  </w:style>
  <w:style w:type="paragraph" w:customStyle="1" w:styleId="TAJ">
    <w:name w:val="TAJ"/>
    <w:basedOn w:val="TH"/>
    <w:rsid w:val="00755136"/>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245FCA"/>
    <w:pPr>
      <w:numPr>
        <w:ilvl w:val="7"/>
        <w:numId w:val="24"/>
      </w:numPr>
      <w:ind w:left="0"/>
      <w:jc w:val="center"/>
    </w:pPr>
    <w:rPr>
      <w:rFonts w:eastAsia="SimSun"/>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snapToGrid w:val="0"/>
    </w:pPr>
    <w:rPr>
      <w:rFonts w:ascii="Arial" w:hAnsi="Arial" w:cs="Arial"/>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spacing w:beforeLines="20" w:before="62" w:afterLines="10" w:after="31"/>
      <w:ind w:right="284"/>
      <w:jc w:val="both"/>
      <w:outlineLvl w:val="0"/>
    </w:pPr>
    <w:rPr>
      <w:rFonts w:ascii="Arial" w:hAnsi="Arial" w:cs="SimSun"/>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ind w:left="1134" w:hanging="1134"/>
    </w:pPr>
    <w:rPr>
      <w:rFonts w:eastAsia="SimSun"/>
      <w:b w:val="0"/>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spacing w:before="100" w:beforeAutospacing="1" w:after="100" w:afterAutospacing="1"/>
    </w:pPr>
    <w:rPr>
      <w:rFonts w:eastAsia="Arial Unicode MS"/>
      <w:sz w:val="24"/>
      <w:szCs w:val="24"/>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rsid w:val="00245FCA"/>
    <w:rPr>
      <w:rFonts w:eastAsia="Times New Roman"/>
      <w:sz w:val="18"/>
      <w:szCs w:val="18"/>
    </w:rPr>
  </w:style>
  <w:style w:type="paragraph" w:customStyle="1" w:styleId="Bullet">
    <w:name w:val="Bullet"/>
    <w:basedOn w:val="Normal"/>
    <w:rsid w:val="00755136"/>
    <w:pPr>
      <w:numPr>
        <w:numId w:val="8"/>
      </w:numPr>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Heading6"/>
    <w:rsid w:val="00755136"/>
    <w:pPr>
      <w:numPr>
        <w:ilvl w:val="0"/>
        <w:numId w:val="0"/>
      </w:numPr>
      <w:spacing w:before="240" w:after="180"/>
    </w:pPr>
    <w:rPr>
      <w:rFonts w:eastAsia="MS Mincho"/>
      <w:bCs w:val="0"/>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spacing w:after="120" w:line="288" w:lineRule="auto"/>
      <w:ind w:left="1097" w:hanging="360"/>
    </w:pPr>
    <w:rPr>
      <w:rFonts w:ascii="Arial" w:hAnsi="Arial" w:cs="Arial"/>
    </w:rPr>
  </w:style>
  <w:style w:type="paragraph" w:customStyle="1" w:styleId="b11">
    <w:name w:val="b1"/>
    <w:basedOn w:val="Normal"/>
    <w:rsid w:val="00755136"/>
    <w:pPr>
      <w:spacing w:before="100" w:beforeAutospacing="1" w:after="100" w:afterAutospacing="1"/>
    </w:pPr>
    <w:rPr>
      <w:sz w:val="24"/>
      <w:szCs w:val="24"/>
    </w:rPr>
  </w:style>
  <w:style w:type="paragraph" w:customStyle="1" w:styleId="10">
    <w:name w:val="吹き出し1"/>
    <w:basedOn w:val="Normal"/>
    <w:semiHidden/>
    <w:rsid w:val="00755136"/>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rPr>
      <w:rFonts w:eastAsia="MS Mincho"/>
      <w:b/>
      <w:lang w:eastAsia="en-GB"/>
    </w:rPr>
  </w:style>
  <w:style w:type="paragraph" w:customStyle="1" w:styleId="HO">
    <w:name w:val="HO"/>
    <w:basedOn w:val="Normal"/>
    <w:rsid w:val="00755136"/>
    <w:pPr>
      <w:jc w:val="right"/>
    </w:pPr>
    <w:rPr>
      <w:rFonts w:eastAsia="MS Mincho"/>
      <w:b/>
      <w:lang w:eastAsia="en-GB"/>
    </w:rPr>
  </w:style>
  <w:style w:type="paragraph" w:customStyle="1" w:styleId="WP">
    <w:name w:val="WP"/>
    <w:basedOn w:val="Normal"/>
    <w:rsid w:val="00755136"/>
    <w:pPr>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eastAsia="en-GB"/>
    </w:rPr>
  </w:style>
  <w:style w:type="paragraph" w:customStyle="1" w:styleId="Teststep">
    <w:name w:val="Test step"/>
    <w:basedOn w:val="Normal"/>
    <w:rsid w:val="00755136"/>
    <w:pPr>
      <w:tabs>
        <w:tab w:val="left" w:pos="720"/>
      </w:tabs>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0">
    <w:name w:val="table"/>
    <w:basedOn w:val="Normal"/>
    <w:next w:val="Normal"/>
    <w:rsid w:val="00755136"/>
    <w:pPr>
      <w:jc w:val="center"/>
    </w:pPr>
    <w:rPr>
      <w:rFonts w:eastAsia="MS Mincho"/>
      <w:lang w:eastAsia="en-GB"/>
    </w:rPr>
  </w:style>
  <w:style w:type="paragraph" w:customStyle="1" w:styleId="t2">
    <w:name w:val="t2"/>
    <w:basedOn w:val="Normal"/>
    <w:rsid w:val="00755136"/>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lang w:eastAsia="en-GB"/>
    </w:rPr>
  </w:style>
  <w:style w:type="paragraph" w:customStyle="1" w:styleId="Copyright">
    <w:name w:val="Copyright"/>
    <w:basedOn w:val="Normal"/>
    <w:rsid w:val="00755136"/>
    <w:pPr>
      <w:jc w:val="center"/>
    </w:pPr>
    <w:rPr>
      <w:rFonts w:ascii="Arial" w:eastAsia="MS Mincho" w:hAnsi="Arial"/>
      <w:b/>
      <w:sz w:val="16"/>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spacing w:before="180"/>
      <w:ind w:left="1134" w:hanging="1134"/>
      <w:outlineLvl w:val="1"/>
    </w:pPr>
    <w:rPr>
      <w:rFonts w:eastAsia="SimSun"/>
      <w:lang w:eastAsia="es-ES"/>
    </w:rPr>
  </w:style>
  <w:style w:type="paragraph" w:customStyle="1" w:styleId="TitleText">
    <w:name w:val="Title Text"/>
    <w:basedOn w:val="Normal"/>
    <w:next w:val="Normal"/>
    <w:rsid w:val="00755136"/>
    <w:pPr>
      <w:spacing w:after="220"/>
    </w:pPr>
    <w:rPr>
      <w:rFonts w:eastAsia="MS Mincho"/>
      <w:b/>
      <w:lang w:eastAsia="en-GB"/>
    </w:rPr>
  </w:style>
  <w:style w:type="paragraph" w:customStyle="1" w:styleId="berschrift2Head2A2">
    <w:name w:val="Überschrift 2.Head2A.2"/>
    <w:basedOn w:val="Heading1"/>
    <w:next w:val="Normal"/>
    <w:rsid w:val="00755136"/>
    <w:pPr>
      <w:spacing w:before="180"/>
      <w:ind w:left="1134" w:hanging="1134"/>
      <w:outlineLvl w:val="1"/>
    </w:pPr>
    <w:rPr>
      <w:rFonts w:eastAsia="MS Mincho"/>
      <w:lang w:eastAsia="de-DE"/>
    </w:rPr>
  </w:style>
  <w:style w:type="paragraph" w:customStyle="1" w:styleId="berschrift3h3H3Underrubrik2">
    <w:name w:val="Überschrift 3.h3.H3.Underrubrik2"/>
    <w:basedOn w:val="Heading2"/>
    <w:next w:val="Normal"/>
    <w:rsid w:val="00755136"/>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Normal"/>
    <w:rsid w:val="00755136"/>
    <w:pPr>
      <w:ind w:left="567" w:hanging="283"/>
    </w:pPr>
    <w:rPr>
      <w:rFonts w:eastAsia="MS Mincho"/>
      <w:lang w:eastAsia="en-GB"/>
    </w:rPr>
  </w:style>
  <w:style w:type="paragraph" w:customStyle="1" w:styleId="Bullets">
    <w:name w:val="Bullets"/>
    <w:basedOn w:val="BodyText"/>
    <w:rsid w:val="00755136"/>
    <w:pPr>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spacing w:after="220"/>
      <w:ind w:left="1298"/>
    </w:pPr>
    <w:rPr>
      <w:rFonts w:ascii="Arial" w:hAnsi="Arial"/>
      <w:lang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snapToGrid w:val="0"/>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1B4421"/>
    <w:pPr>
      <w:ind w:firstLineChars="200" w:firstLine="420"/>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B4421"/>
    <w:rPr>
      <w:rFonts w:eastAsia="SimSun"/>
      <w:lang w:val="en-GB" w:eastAsia="en-US"/>
    </w:rPr>
  </w:style>
  <w:style w:type="character" w:styleId="UnresolvedMention">
    <w:name w:val="Unresolved Mention"/>
    <w:basedOn w:val="DefaultParagraphFont"/>
    <w:uiPriority w:val="99"/>
    <w:semiHidden/>
    <w:unhideWhenUsed/>
    <w:rsid w:val="00EC7741"/>
    <w:rPr>
      <w:color w:val="605E5C"/>
      <w:shd w:val="clear" w:color="auto" w:fill="E1DFDD"/>
    </w:rPr>
  </w:style>
  <w:style w:type="paragraph" w:customStyle="1" w:styleId="Table">
    <w:name w:val="Table"/>
    <w:next w:val="Normal"/>
    <w:rsid w:val="00245FCA"/>
    <w:pPr>
      <w:keepLines/>
      <w:numPr>
        <w:ilvl w:val="8"/>
        <w:numId w:val="24"/>
      </w:numPr>
      <w:spacing w:beforeLines="100"/>
      <w:ind w:left="0"/>
      <w:jc w:val="center"/>
    </w:pPr>
    <w:rPr>
      <w:rFonts w:ascii="Arial" w:eastAsia="SimSun" w:hAnsi="Arial"/>
      <w:sz w:val="18"/>
      <w:szCs w:val="18"/>
    </w:rPr>
  </w:style>
  <w:style w:type="paragraph" w:customStyle="1" w:styleId="TableText1">
    <w:name w:val="Table Text"/>
    <w:rsid w:val="00245FCA"/>
    <w:pPr>
      <w:tabs>
        <w:tab w:val="decimal" w:pos="0"/>
      </w:tabs>
    </w:pPr>
    <w:rPr>
      <w:rFonts w:ascii="Arial" w:eastAsia="SimSun" w:hAnsi="Arial"/>
      <w:noProof/>
      <w:sz w:val="21"/>
      <w:szCs w:val="21"/>
    </w:rPr>
  </w:style>
  <w:style w:type="paragraph" w:customStyle="1" w:styleId="TableHeader">
    <w:name w:val="Table Header"/>
    <w:rsid w:val="00245FCA"/>
    <w:pPr>
      <w:jc w:val="center"/>
    </w:pPr>
    <w:rPr>
      <w:rFonts w:ascii="Arial" w:eastAsia="SimSun" w:hAnsi="Arial"/>
      <w:b/>
      <w:sz w:val="21"/>
      <w:szCs w:val="21"/>
    </w:rPr>
  </w:style>
  <w:style w:type="table" w:customStyle="1" w:styleId="TableStyle">
    <w:name w:val="Table Style"/>
    <w:basedOn w:val="TableNormal"/>
    <w:rsid w:val="00245FCA"/>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245FCA"/>
    <w:pPr>
      <w:keepNext/>
      <w:spacing w:before="80" w:after="80"/>
      <w:jc w:val="center"/>
    </w:pPr>
  </w:style>
  <w:style w:type="paragraph" w:customStyle="1" w:styleId="DocumentTitle">
    <w:name w:val="Document Title"/>
    <w:basedOn w:val="Normal"/>
    <w:rsid w:val="00245FCA"/>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245FCA"/>
    <w:pPr>
      <w:pBdr>
        <w:top w:val="single" w:sz="4" w:space="1" w:color="000000"/>
      </w:pBdr>
      <w:jc w:val="both"/>
    </w:pPr>
    <w:rPr>
      <w:rFonts w:ascii="Arial" w:eastAsia="SimHei" w:hAnsi="Arial"/>
      <w:sz w:val="18"/>
    </w:rPr>
  </w:style>
  <w:style w:type="paragraph" w:customStyle="1" w:styleId="NotesText">
    <w:name w:val="Notes Text"/>
    <w:basedOn w:val="Normal"/>
    <w:rsid w:val="00245FCA"/>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245FCA"/>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87583-EECB-40CB-BDD1-6DFACBA1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5427</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2023-03-02T15:22:00Z</dcterms:created>
  <dcterms:modified xsi:type="dcterms:W3CDTF">2023-03-02T15:22:00Z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(2)T7DK9IZDzR2Sr+HCEZUFapmySAyVmKS921EcktFFgdbqzJTj4Oq3j/7OyxEjzpuc48NsoI/i
7y0Ds+JyzJldbXETMaltfSYPNkwYmdDgVWfBS/fgfh8/ilMEsFj8D/yFuSDJ6S5R3j/AdHoD
1YyU+G7bZe5FbqWd3SNUkN3t0gKi/rSrw6Q4y+UJbJK1EoT52V0teP2IPSc81Jlhy4sIgHVv
J8mz//1S2P12eWulxk</vt:lpwstr>
  </property>
  <property fmtid="{D5CDD505-2E9C-101B-9397-08002B2CF9AE}" pid="3" name="_2015_ms_pID_7253431">
    <vt:lpwstr>eTIFXM6VAFe+VvDqGVEegw7psNKBJyVOuA1So1M68ImMLzQRTFSjeh
1lRB8MGTR+ROkYoGZ25kiiZOuR62ygOqrz3x/+TbssDepeem7WH9zCSxa+LsOZeN9JX8v/SV
066F4eUXm4MuU6Gs/iyjufjRn4MEtpRbnf5w225PF2IUfMbIMojER9pbqQ0YBJunUWdQXc56
JZINYcWt5y6/PVdt</vt:lpwstr>
  </property>
</Properties>
</file>