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78D6" w14:textId="658DBE8F" w:rsidR="00EA3F38" w:rsidRDefault="00CA2983" w:rsidP="00477796">
      <w:pPr>
        <w:jc w:val="left"/>
        <w:rPr>
          <w:rFonts w:ascii="Arial" w:hAnsi="Arial" w:cs="Arial"/>
          <w:b/>
          <w:sz w:val="24"/>
          <w:szCs w:val="24"/>
        </w:rPr>
      </w:pPr>
      <w:r>
        <w:rPr>
          <w:rFonts w:ascii="Arial" w:hAnsi="Arial" w:cs="Arial"/>
          <w:b/>
          <w:sz w:val="24"/>
        </w:rPr>
        <w:t>3GPP TSG-RAN WG4 Meeting #</w:t>
      </w:r>
      <w:r w:rsidR="00434EF9">
        <w:rPr>
          <w:rFonts w:ascii="Arial" w:hAnsi="Arial" w:cs="Arial"/>
          <w:b/>
          <w:sz w:val="24"/>
        </w:rPr>
        <w:t xml:space="preserve"> </w:t>
      </w:r>
      <w:r>
        <w:rPr>
          <w:rFonts w:ascii="Arial" w:hAnsi="Arial" w:cs="Arial"/>
          <w:b/>
          <w:sz w:val="24"/>
        </w:rPr>
        <w:t>10</w:t>
      </w:r>
      <w:r w:rsidR="006C3591">
        <w:rPr>
          <w:rFonts w:ascii="Arial" w:hAnsi="Arial" w:cs="Arial"/>
          <w:b/>
          <w:sz w:val="24"/>
        </w:rPr>
        <w:t>6</w:t>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bookmarkStart w:id="0" w:name="_Hlk101380756"/>
      <w:r w:rsidR="00477796">
        <w:rPr>
          <w:rFonts w:ascii="Arial" w:hAnsi="Arial" w:cs="Arial"/>
          <w:b/>
          <w:sz w:val="24"/>
          <w:szCs w:val="24"/>
        </w:rPr>
        <w:tab/>
      </w:r>
      <w:r w:rsidR="00477796">
        <w:rPr>
          <w:rFonts w:ascii="Arial" w:hAnsi="Arial" w:cs="Arial"/>
          <w:b/>
          <w:sz w:val="24"/>
          <w:szCs w:val="24"/>
        </w:rPr>
        <w:tab/>
      </w:r>
      <w:r w:rsidR="00477796">
        <w:rPr>
          <w:rFonts w:ascii="Arial" w:hAnsi="Arial" w:cs="Arial"/>
          <w:b/>
          <w:sz w:val="24"/>
          <w:szCs w:val="24"/>
        </w:rPr>
        <w:tab/>
      </w:r>
      <w:r w:rsidR="00477796">
        <w:rPr>
          <w:rFonts w:ascii="Arial" w:hAnsi="Arial" w:cs="Arial"/>
          <w:b/>
          <w:sz w:val="24"/>
          <w:szCs w:val="24"/>
        </w:rPr>
        <w:tab/>
      </w:r>
      <w:r w:rsidR="00477796">
        <w:rPr>
          <w:rFonts w:ascii="Arial" w:hAnsi="Arial" w:cs="Arial"/>
          <w:b/>
          <w:sz w:val="24"/>
          <w:szCs w:val="24"/>
        </w:rPr>
        <w:tab/>
      </w:r>
      <w:r w:rsidR="00477796">
        <w:rPr>
          <w:rFonts w:ascii="Arial" w:hAnsi="Arial" w:cs="Arial"/>
          <w:b/>
          <w:sz w:val="24"/>
          <w:szCs w:val="24"/>
        </w:rPr>
        <w:tab/>
      </w:r>
      <w:r w:rsidR="00477796">
        <w:rPr>
          <w:rFonts w:ascii="Arial" w:hAnsi="Arial" w:cs="Arial"/>
          <w:b/>
          <w:sz w:val="24"/>
          <w:szCs w:val="24"/>
        </w:rPr>
        <w:tab/>
      </w:r>
      <w:r w:rsidR="0031629F" w:rsidRPr="0031629F">
        <w:rPr>
          <w:rFonts w:ascii="Arial" w:hAnsi="Arial" w:cs="Arial"/>
          <w:b/>
          <w:sz w:val="24"/>
          <w:szCs w:val="24"/>
        </w:rPr>
        <w:t>R4-2</w:t>
      </w:r>
      <w:bookmarkEnd w:id="0"/>
      <w:r w:rsidR="00C36F9B">
        <w:rPr>
          <w:rFonts w:ascii="Arial" w:hAnsi="Arial" w:cs="Arial"/>
          <w:b/>
          <w:sz w:val="24"/>
          <w:szCs w:val="24"/>
        </w:rPr>
        <w:t>300145</w:t>
      </w:r>
    </w:p>
    <w:p w14:paraId="76DC8E98" w14:textId="38D85338" w:rsidR="00EA3F38" w:rsidRDefault="00434EF9">
      <w:pPr>
        <w:rPr>
          <w:rFonts w:ascii="Arial" w:hAnsi="Arial" w:cs="Arial"/>
          <w:b/>
          <w:sz w:val="24"/>
          <w:szCs w:val="24"/>
          <w:highlight w:val="yellow"/>
        </w:rPr>
      </w:pPr>
      <w:r>
        <w:rPr>
          <w:rFonts w:ascii="Arial" w:hAnsi="Arial" w:cs="Arial"/>
          <w:b/>
          <w:sz w:val="24"/>
          <w:szCs w:val="24"/>
        </w:rPr>
        <w:t>M</w:t>
      </w:r>
      <w:r w:rsidR="00EA3F38">
        <w:rPr>
          <w:rFonts w:ascii="Arial" w:hAnsi="Arial" w:cs="Arial" w:hint="eastAsia"/>
          <w:b/>
          <w:sz w:val="24"/>
          <w:szCs w:val="24"/>
        </w:rPr>
        <w:t>eeting,</w:t>
      </w:r>
      <w:r w:rsidR="00EA3F38">
        <w:rPr>
          <w:rFonts w:ascii="Arial" w:hAnsi="Arial" w:hint="eastAsia"/>
          <w:b/>
          <w:sz w:val="24"/>
          <w:szCs w:val="24"/>
        </w:rPr>
        <w:t xml:space="preserve"> </w:t>
      </w:r>
      <w:r w:rsidR="00930B3C">
        <w:rPr>
          <w:rFonts w:ascii="Arial" w:hAnsi="Arial" w:cs="Arial"/>
          <w:b/>
          <w:sz w:val="24"/>
          <w:szCs w:val="24"/>
        </w:rPr>
        <w:t>February 27</w:t>
      </w:r>
      <w:r w:rsidR="00930B3C" w:rsidRPr="00E13633">
        <w:rPr>
          <w:rFonts w:ascii="Arial" w:hAnsi="Arial" w:cs="Arial"/>
          <w:b/>
          <w:sz w:val="24"/>
          <w:szCs w:val="24"/>
        </w:rPr>
        <w:t xml:space="preserve"> – </w:t>
      </w:r>
      <w:r w:rsidR="00930B3C">
        <w:rPr>
          <w:rFonts w:ascii="Arial" w:hAnsi="Arial" w:cs="Arial"/>
          <w:b/>
          <w:sz w:val="24"/>
          <w:szCs w:val="24"/>
        </w:rPr>
        <w:t>March 3</w:t>
      </w:r>
      <w:r w:rsidR="00930B3C" w:rsidRPr="00E13633">
        <w:rPr>
          <w:rFonts w:ascii="Arial" w:hAnsi="Arial" w:cs="Arial"/>
          <w:b/>
          <w:sz w:val="24"/>
          <w:szCs w:val="24"/>
        </w:rPr>
        <w:t>, 2022</w:t>
      </w:r>
    </w:p>
    <w:p w14:paraId="065749F2" w14:textId="77777777" w:rsidR="00EA3F38" w:rsidRDefault="00EA3F38">
      <w:pPr>
        <w:rPr>
          <w:rFonts w:ascii="Arial" w:hAnsi="Arial" w:cs="Arial"/>
          <w:b/>
          <w:sz w:val="24"/>
          <w:szCs w:val="24"/>
        </w:rPr>
      </w:pPr>
    </w:p>
    <w:p w14:paraId="5DBC6B9B" w14:textId="4529B9EE" w:rsidR="00EA3F38" w:rsidRDefault="00EA3F3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1" w:name="_Hlk101380854"/>
      <w:r w:rsidR="00682AE2">
        <w:rPr>
          <w:rFonts w:ascii="Arial" w:eastAsia="MS Mincho" w:hAnsi="Arial" w:cs="Arial"/>
          <w:b/>
          <w:sz w:val="24"/>
          <w:szCs w:val="24"/>
          <w:lang w:eastAsia="en-US"/>
        </w:rPr>
        <w:t>9</w:t>
      </w:r>
      <w:r w:rsidR="00CA2983">
        <w:rPr>
          <w:rFonts w:ascii="Arial" w:eastAsia="MS Mincho" w:hAnsi="Arial" w:cs="Arial"/>
          <w:b/>
          <w:sz w:val="24"/>
          <w:szCs w:val="24"/>
          <w:lang w:eastAsia="en-US"/>
        </w:rPr>
        <w:t>.1</w:t>
      </w:r>
      <w:r w:rsidR="00682AE2">
        <w:rPr>
          <w:rFonts w:ascii="Arial" w:eastAsia="MS Mincho" w:hAnsi="Arial" w:cs="Arial"/>
          <w:b/>
          <w:sz w:val="24"/>
          <w:szCs w:val="24"/>
          <w:lang w:eastAsia="en-US"/>
        </w:rPr>
        <w:t>9</w:t>
      </w:r>
      <w:r w:rsidR="00CA2983">
        <w:rPr>
          <w:rFonts w:ascii="Arial" w:eastAsia="MS Mincho" w:hAnsi="Arial" w:cs="Arial"/>
          <w:b/>
          <w:sz w:val="24"/>
          <w:szCs w:val="24"/>
          <w:lang w:eastAsia="en-US"/>
        </w:rPr>
        <w:t>.</w:t>
      </w:r>
      <w:bookmarkEnd w:id="1"/>
      <w:r w:rsidR="005C471F">
        <w:rPr>
          <w:rFonts w:ascii="Arial" w:eastAsia="MS Mincho" w:hAnsi="Arial" w:cs="Arial"/>
          <w:b/>
          <w:sz w:val="24"/>
          <w:szCs w:val="24"/>
          <w:lang w:eastAsia="en-US"/>
        </w:rPr>
        <w:t>2.1</w:t>
      </w:r>
    </w:p>
    <w:p w14:paraId="2078F6F9" w14:textId="043736AC" w:rsidR="00EA3F38" w:rsidRDefault="00EA3F3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E424C6">
        <w:rPr>
          <w:rFonts w:ascii="Arial" w:eastAsia="MS Mincho" w:hAnsi="Arial" w:cs="Arial"/>
          <w:b/>
          <w:sz w:val="24"/>
          <w:szCs w:val="24"/>
          <w:lang w:eastAsia="en-US"/>
        </w:rPr>
        <w:t>Charter</w:t>
      </w:r>
      <w:r w:rsidR="00117830">
        <w:rPr>
          <w:rFonts w:ascii="Arial" w:eastAsia="MS Mincho" w:hAnsi="Arial" w:cs="Arial"/>
          <w:b/>
          <w:sz w:val="24"/>
          <w:szCs w:val="24"/>
          <w:lang w:eastAsia="en-US"/>
        </w:rPr>
        <w:t xml:space="preserve"> </w:t>
      </w:r>
      <w:r w:rsidR="00E424C6">
        <w:rPr>
          <w:rFonts w:ascii="Arial" w:eastAsia="MS Mincho" w:hAnsi="Arial" w:cs="Arial"/>
          <w:b/>
          <w:sz w:val="24"/>
          <w:szCs w:val="24"/>
          <w:lang w:eastAsia="en-US"/>
        </w:rPr>
        <w:t>Communications</w:t>
      </w:r>
      <w:r w:rsidR="00B20E2C">
        <w:rPr>
          <w:rFonts w:ascii="Arial" w:eastAsia="MS Mincho" w:hAnsi="Arial" w:cs="Arial"/>
          <w:b/>
          <w:sz w:val="24"/>
          <w:szCs w:val="24"/>
          <w:lang w:eastAsia="en-US"/>
        </w:rPr>
        <w:t xml:space="preserve"> </w:t>
      </w:r>
      <w:r w:rsidR="004B4D40">
        <w:rPr>
          <w:rFonts w:ascii="Arial" w:eastAsia="MS Mincho" w:hAnsi="Arial" w:cs="Arial"/>
          <w:b/>
          <w:sz w:val="24"/>
          <w:szCs w:val="24"/>
          <w:lang w:eastAsia="en-US"/>
        </w:rPr>
        <w:t>Inc</w:t>
      </w:r>
      <w:r w:rsidR="00CA2983">
        <w:rPr>
          <w:rFonts w:ascii="Arial" w:eastAsia="MS Mincho" w:hAnsi="Arial" w:cs="Arial"/>
          <w:b/>
          <w:sz w:val="24"/>
          <w:szCs w:val="24"/>
          <w:lang w:eastAsia="en-US"/>
        </w:rPr>
        <w:t>.</w:t>
      </w:r>
      <w:r w:rsidR="00E93E47">
        <w:rPr>
          <w:rFonts w:ascii="Arial" w:eastAsia="MS Mincho" w:hAnsi="Arial" w:cs="Arial"/>
          <w:b/>
          <w:sz w:val="24"/>
          <w:szCs w:val="24"/>
          <w:lang w:eastAsia="en-US"/>
        </w:rPr>
        <w:t>, Cable Labs</w:t>
      </w:r>
    </w:p>
    <w:p w14:paraId="5BA763E1" w14:textId="705C8369" w:rsidR="00EA3F38" w:rsidRDefault="00EA3F38">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2" w:name="OLE_LINK62"/>
      <w:r w:rsidR="00A96B3A">
        <w:rPr>
          <w:rFonts w:ascii="Arial" w:eastAsia="MS Mincho" w:hAnsi="Arial" w:cs="Arial"/>
          <w:b/>
          <w:sz w:val="24"/>
          <w:szCs w:val="24"/>
          <w:lang w:eastAsia="en-US"/>
        </w:rPr>
        <w:t>A</w:t>
      </w:r>
      <w:r w:rsidR="00A96B3A" w:rsidRPr="00A96B3A">
        <w:rPr>
          <w:rFonts w:ascii="Arial" w:hAnsi="Arial" w:cs="Arial"/>
          <w:b/>
          <w:sz w:val="24"/>
          <w:szCs w:val="24"/>
        </w:rPr>
        <w:t>djacent channel co-existence use</w:t>
      </w:r>
      <w:r w:rsidR="005D1DCA">
        <w:rPr>
          <w:rFonts w:ascii="Arial" w:hAnsi="Arial" w:cs="Arial"/>
          <w:b/>
          <w:sz w:val="24"/>
          <w:szCs w:val="24"/>
        </w:rPr>
        <w:t>-</w:t>
      </w:r>
      <w:r w:rsidR="00A96B3A" w:rsidRPr="00A96B3A">
        <w:rPr>
          <w:rFonts w:ascii="Arial" w:hAnsi="Arial" w:cs="Arial"/>
          <w:b/>
          <w:sz w:val="24"/>
          <w:szCs w:val="24"/>
        </w:rPr>
        <w:t>case of non-overlapping sub band full duplex (SBFD) between n48 and n77</w:t>
      </w:r>
    </w:p>
    <w:p w14:paraId="3FAF9C22" w14:textId="77777777" w:rsidR="00EA3F38" w:rsidRDefault="00EA3F38">
      <w:pPr>
        <w:tabs>
          <w:tab w:val="left" w:pos="1980"/>
        </w:tabs>
        <w:spacing w:after="180"/>
        <w:ind w:left="1980" w:hanging="1980"/>
        <w:rPr>
          <w:rFonts w:ascii="Arial" w:hAnsi="Arial" w:cs="Arial"/>
          <w:b/>
          <w:sz w:val="24"/>
          <w:szCs w:val="24"/>
        </w:rPr>
      </w:pPr>
      <w:bookmarkStart w:id="3" w:name="_Hlk101381122"/>
      <w:bookmarkEnd w:id="2"/>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4" w:name="DocumentFor"/>
      <w:bookmarkEnd w:id="4"/>
      <w:r w:rsidR="00D465DB">
        <w:rPr>
          <w:rFonts w:ascii="Arial" w:hAnsi="Arial" w:cs="Arial"/>
          <w:b/>
          <w:sz w:val="24"/>
          <w:szCs w:val="24"/>
        </w:rPr>
        <w:t>Approval</w:t>
      </w:r>
    </w:p>
    <w:bookmarkEnd w:id="3"/>
    <w:p w14:paraId="4F05A5AF" w14:textId="77777777" w:rsidR="00EA3F38" w:rsidRDefault="00EA3F38">
      <w:pPr>
        <w:pStyle w:val="Char"/>
        <w:tabs>
          <w:tab w:val="clear" w:pos="1985"/>
          <w:tab w:val="left" w:pos="567"/>
        </w:tabs>
        <w:adjustRightInd w:val="0"/>
        <w:ind w:left="510" w:hanging="510"/>
      </w:pPr>
      <w:r>
        <w:t>Introduction</w:t>
      </w:r>
    </w:p>
    <w:p w14:paraId="4A1928D7" w14:textId="5A65B219" w:rsidR="00507771" w:rsidRPr="0010108A" w:rsidRDefault="006B5E76" w:rsidP="0010108A">
      <w:pPr>
        <w:pStyle w:val="ListParagraph"/>
        <w:numPr>
          <w:ilvl w:val="0"/>
          <w:numId w:val="8"/>
        </w:numPr>
        <w:spacing w:after="180"/>
        <w:ind w:firstLineChars="0"/>
        <w:jc w:val="left"/>
        <w:rPr>
          <w:rFonts w:ascii="Arial" w:hAnsi="Arial" w:cs="Arial"/>
          <w:sz w:val="20"/>
        </w:rPr>
      </w:pPr>
      <w:r w:rsidRPr="0010108A">
        <w:rPr>
          <w:rFonts w:ascii="Arial" w:hAnsi="Arial" w:cs="Arial"/>
          <w:sz w:val="20"/>
        </w:rPr>
        <w:t xml:space="preserve">In RAN4#105 agreements were reached in [1] </w:t>
      </w:r>
      <w:r w:rsidR="00507771" w:rsidRPr="0010108A">
        <w:rPr>
          <w:rFonts w:ascii="Arial" w:hAnsi="Arial" w:cs="Arial"/>
          <w:sz w:val="20"/>
        </w:rPr>
        <w:t xml:space="preserve">and [2] </w:t>
      </w:r>
      <w:r w:rsidRPr="0010108A">
        <w:rPr>
          <w:rFonts w:ascii="Arial" w:hAnsi="Arial" w:cs="Arial"/>
          <w:sz w:val="20"/>
        </w:rPr>
        <w:t>to study and simulate the adjacent channel interference. It was decided to prioritize the cases where the aggressor cell is interfering with the downlink</w:t>
      </w:r>
      <w:r w:rsidR="00507771" w:rsidRPr="0010108A">
        <w:rPr>
          <w:rFonts w:ascii="Arial" w:hAnsi="Arial" w:cs="Arial"/>
          <w:sz w:val="20"/>
        </w:rPr>
        <w:t xml:space="preserve"> </w:t>
      </w:r>
      <w:r w:rsidRPr="0010108A">
        <w:rPr>
          <w:rFonts w:ascii="Arial" w:hAnsi="Arial" w:cs="Arial"/>
          <w:sz w:val="20"/>
        </w:rPr>
        <w:t xml:space="preserve">slots of the victim cell. Charter agrees with </w:t>
      </w:r>
      <w:r w:rsidR="00507771" w:rsidRPr="0010108A">
        <w:rPr>
          <w:rFonts w:ascii="Arial" w:hAnsi="Arial" w:cs="Arial"/>
          <w:sz w:val="20"/>
        </w:rPr>
        <w:t xml:space="preserve">the </w:t>
      </w:r>
      <w:r w:rsidRPr="0010108A">
        <w:rPr>
          <w:rFonts w:ascii="Arial" w:hAnsi="Arial" w:cs="Arial"/>
          <w:sz w:val="20"/>
        </w:rPr>
        <w:t xml:space="preserve">prioritization </w:t>
      </w:r>
      <w:r w:rsidR="00507771" w:rsidRPr="0010108A">
        <w:rPr>
          <w:rFonts w:ascii="Arial" w:hAnsi="Arial" w:cs="Arial"/>
          <w:sz w:val="20"/>
        </w:rPr>
        <w:t>of the cases in</w:t>
      </w:r>
      <w:r w:rsidR="00507771" w:rsidRPr="00507771">
        <w:t xml:space="preserve"> </w:t>
      </w:r>
      <w:r w:rsidR="00507771" w:rsidRPr="0010108A">
        <w:rPr>
          <w:rFonts w:ascii="Arial" w:hAnsi="Arial" w:cs="Arial"/>
          <w:sz w:val="20"/>
        </w:rPr>
        <w:t xml:space="preserve">Table 2.1-2 </w:t>
      </w:r>
      <w:r w:rsidRPr="0010108A">
        <w:rPr>
          <w:rFonts w:ascii="Arial" w:hAnsi="Arial" w:cs="Arial"/>
          <w:sz w:val="20"/>
        </w:rPr>
        <w:t xml:space="preserve">and wishes to </w:t>
      </w:r>
      <w:r w:rsidR="009A75B1" w:rsidRPr="0010108A">
        <w:rPr>
          <w:rFonts w:ascii="Arial" w:hAnsi="Arial" w:cs="Arial"/>
          <w:sz w:val="20"/>
        </w:rPr>
        <w:t xml:space="preserve">further describe a specific co-existence </w:t>
      </w:r>
      <w:r w:rsidR="00507771" w:rsidRPr="0010108A">
        <w:rPr>
          <w:rFonts w:ascii="Arial" w:hAnsi="Arial" w:cs="Arial"/>
          <w:sz w:val="20"/>
        </w:rPr>
        <w:t xml:space="preserve">problem </w:t>
      </w:r>
      <w:r w:rsidR="009A75B1" w:rsidRPr="0010108A">
        <w:rPr>
          <w:rFonts w:ascii="Arial" w:hAnsi="Arial" w:cs="Arial"/>
          <w:sz w:val="20"/>
        </w:rPr>
        <w:t xml:space="preserve">between SBFD and legacy TDD. </w:t>
      </w:r>
    </w:p>
    <w:p w14:paraId="4CE8C746" w14:textId="78AE2940" w:rsidR="00987E53" w:rsidRPr="0010108A" w:rsidRDefault="008E3459" w:rsidP="0010108A">
      <w:pPr>
        <w:pStyle w:val="ListParagraph"/>
        <w:numPr>
          <w:ilvl w:val="0"/>
          <w:numId w:val="8"/>
        </w:numPr>
        <w:spacing w:after="180"/>
        <w:ind w:firstLineChars="0"/>
        <w:jc w:val="left"/>
        <w:rPr>
          <w:rFonts w:ascii="Arial" w:hAnsi="Arial" w:cs="Arial"/>
          <w:sz w:val="20"/>
        </w:rPr>
      </w:pPr>
      <w:r w:rsidRPr="008E3459">
        <w:rPr>
          <w:rFonts w:ascii="Arial" w:hAnsi="Arial" w:cs="Arial"/>
          <w:sz w:val="20"/>
        </w:rPr>
        <w:t>RAN4 adjacent channel coexistence study [2] only considers ACLR which applied to in-band unwanted emission. SBFD may impact legacy TDD in adjacent bands, e.g., between bands n77 and n48. We suggest to add out-of-band emission into RAN4 consideration.</w:t>
      </w:r>
      <w:r w:rsidR="006405CB" w:rsidRPr="0010108A">
        <w:rPr>
          <w:rFonts w:ascii="Arial" w:hAnsi="Arial" w:cs="Arial"/>
          <w:sz w:val="20"/>
        </w:rPr>
        <w:t xml:space="preserve">   </w:t>
      </w:r>
    </w:p>
    <w:p w14:paraId="16184B6A" w14:textId="77777777" w:rsidR="00EA3F38" w:rsidRDefault="00EA3F38">
      <w:pPr>
        <w:pStyle w:val="Char"/>
        <w:tabs>
          <w:tab w:val="clear" w:pos="1985"/>
          <w:tab w:val="left" w:pos="567"/>
        </w:tabs>
        <w:adjustRightInd w:val="0"/>
        <w:ind w:left="510" w:hanging="510"/>
      </w:pPr>
      <w:r>
        <w:rPr>
          <w:rFonts w:hint="eastAsia"/>
        </w:rPr>
        <w:t xml:space="preserve">Discussion </w:t>
      </w:r>
    </w:p>
    <w:p w14:paraId="1877BB5D" w14:textId="389E569D" w:rsidR="0010108A" w:rsidRPr="0010108A" w:rsidRDefault="0010108A" w:rsidP="0010108A">
      <w:pPr>
        <w:spacing w:after="180"/>
        <w:jc w:val="left"/>
        <w:rPr>
          <w:rFonts w:ascii="Arial" w:hAnsi="Arial" w:cs="Arial"/>
          <w:sz w:val="20"/>
        </w:rPr>
      </w:pPr>
      <w:r w:rsidRPr="0010108A">
        <w:rPr>
          <w:rFonts w:ascii="Arial" w:hAnsi="Arial" w:cs="Arial"/>
          <w:sz w:val="20"/>
        </w:rPr>
        <w:t xml:space="preserve">One of the bands that is of particular interest for </w:t>
      </w:r>
      <w:r>
        <w:rPr>
          <w:rFonts w:ascii="Arial" w:hAnsi="Arial" w:cs="Arial"/>
          <w:sz w:val="20"/>
        </w:rPr>
        <w:t xml:space="preserve">an </w:t>
      </w:r>
      <w:r w:rsidRPr="0010108A">
        <w:rPr>
          <w:rFonts w:ascii="Arial" w:hAnsi="Arial" w:cs="Arial"/>
          <w:sz w:val="20"/>
        </w:rPr>
        <w:t xml:space="preserve">operator is </w:t>
      </w:r>
      <w:r w:rsidR="00632BCE">
        <w:rPr>
          <w:rFonts w:ascii="Arial" w:hAnsi="Arial" w:cs="Arial"/>
          <w:sz w:val="20"/>
        </w:rPr>
        <w:t xml:space="preserve">US band </w:t>
      </w:r>
      <w:r w:rsidRPr="0010108A">
        <w:rPr>
          <w:rFonts w:ascii="Arial" w:hAnsi="Arial" w:cs="Arial"/>
          <w:sz w:val="20"/>
        </w:rPr>
        <w:t xml:space="preserve">n77 band, shown in </w:t>
      </w:r>
      <w:r>
        <w:rPr>
          <w:rFonts w:ascii="Arial" w:hAnsi="Arial" w:cs="Arial"/>
          <w:sz w:val="20"/>
        </w:rPr>
        <w:t>F</w:t>
      </w:r>
      <w:r w:rsidRPr="0010108A">
        <w:rPr>
          <w:rFonts w:ascii="Arial" w:hAnsi="Arial" w:cs="Arial"/>
          <w:sz w:val="20"/>
        </w:rPr>
        <w:t>igure 1</w:t>
      </w:r>
      <w:r>
        <w:rPr>
          <w:rFonts w:ascii="Arial" w:hAnsi="Arial" w:cs="Arial"/>
          <w:sz w:val="20"/>
        </w:rPr>
        <w:t xml:space="preserve">. </w:t>
      </w:r>
      <w:r w:rsidR="00632BCE">
        <w:rPr>
          <w:rFonts w:ascii="Arial" w:hAnsi="Arial" w:cs="Arial"/>
          <w:sz w:val="20"/>
        </w:rPr>
        <w:t xml:space="preserve">US </w:t>
      </w:r>
      <w:r>
        <w:rPr>
          <w:rFonts w:ascii="Arial" w:hAnsi="Arial" w:cs="Arial"/>
          <w:sz w:val="20"/>
        </w:rPr>
        <w:t>n77</w:t>
      </w:r>
      <w:r w:rsidRPr="0010108A">
        <w:rPr>
          <w:rFonts w:ascii="Arial" w:hAnsi="Arial" w:cs="Arial"/>
          <w:sz w:val="20"/>
        </w:rPr>
        <w:t xml:space="preserve"> spans from 3.45 GHz to </w:t>
      </w:r>
      <w:r w:rsidR="00632BCE">
        <w:rPr>
          <w:rFonts w:ascii="Arial" w:hAnsi="Arial" w:cs="Arial"/>
          <w:sz w:val="20"/>
        </w:rPr>
        <w:t>3.98</w:t>
      </w:r>
      <w:r w:rsidRPr="0010108A">
        <w:rPr>
          <w:rFonts w:ascii="Arial" w:hAnsi="Arial" w:cs="Arial"/>
          <w:sz w:val="20"/>
        </w:rPr>
        <w:t xml:space="preserve"> GHz</w:t>
      </w:r>
      <w:r>
        <w:rPr>
          <w:rFonts w:ascii="Arial" w:hAnsi="Arial" w:cs="Arial"/>
          <w:sz w:val="20"/>
        </w:rPr>
        <w:t xml:space="preserve">, and is </w:t>
      </w:r>
      <w:r w:rsidRPr="0010108A">
        <w:rPr>
          <w:rFonts w:ascii="Arial" w:hAnsi="Arial" w:cs="Arial"/>
          <w:sz w:val="20"/>
        </w:rPr>
        <w:t xml:space="preserve">broken into three bands: AMBIT band (lower n77) which spans from 3.45 GHz to 3.55 GHz, </w:t>
      </w:r>
      <w:r w:rsidR="00632BCE">
        <w:rPr>
          <w:rFonts w:ascii="Arial" w:hAnsi="Arial" w:cs="Arial"/>
          <w:sz w:val="20"/>
        </w:rPr>
        <w:t xml:space="preserve">US </w:t>
      </w:r>
      <w:r w:rsidRPr="0010108A">
        <w:rPr>
          <w:rFonts w:ascii="Arial" w:hAnsi="Arial" w:cs="Arial"/>
          <w:sz w:val="20"/>
        </w:rPr>
        <w:t>CBRS band (n48) spanning from 3.55 GHz to 3.7 GHz and C-band (upper n77) spanning from 3.7 GHz to 4.3 GHz (further restricted in USA, from above, to 3.98 GHz).  Charter’s band of interest is the CBRS band (n48) which employs a multitier shared spectrum access model with the PAL and GAA access being controlled in favor of incumbent access.</w:t>
      </w:r>
    </w:p>
    <w:p w14:paraId="445B9FF9" w14:textId="6A888955" w:rsidR="0010108A" w:rsidRPr="0010108A" w:rsidRDefault="008E3459" w:rsidP="00CA7715">
      <w:pPr>
        <w:spacing w:after="180"/>
        <w:jc w:val="center"/>
        <w:rPr>
          <w:rFonts w:ascii="Arial" w:hAnsi="Arial" w:cs="Arial"/>
          <w:sz w:val="20"/>
        </w:rPr>
      </w:pPr>
      <w:r w:rsidRPr="008E3459">
        <w:rPr>
          <w:rFonts w:ascii="Arial" w:hAnsi="Arial" w:cs="Arial"/>
          <w:noProof/>
          <w:sz w:val="20"/>
        </w:rPr>
        <w:drawing>
          <wp:inline distT="0" distB="0" distL="0" distR="0" wp14:anchorId="40C3D32C" wp14:editId="6279E846">
            <wp:extent cx="6227064" cy="129844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7064" cy="1298448"/>
                    </a:xfrm>
                    <a:prstGeom prst="rect">
                      <a:avLst/>
                    </a:prstGeom>
                    <a:noFill/>
                    <a:ln>
                      <a:noFill/>
                    </a:ln>
                  </pic:spPr>
                </pic:pic>
              </a:graphicData>
            </a:graphic>
          </wp:inline>
        </w:drawing>
      </w:r>
    </w:p>
    <w:p w14:paraId="0A14EE59" w14:textId="1A2D1675" w:rsidR="0010108A" w:rsidRPr="0010108A" w:rsidRDefault="0010108A" w:rsidP="00CA7715">
      <w:pPr>
        <w:spacing w:after="180"/>
        <w:jc w:val="center"/>
        <w:rPr>
          <w:rFonts w:ascii="Arial" w:hAnsi="Arial" w:cs="Arial"/>
          <w:sz w:val="20"/>
        </w:rPr>
      </w:pPr>
      <w:r w:rsidRPr="0010108A">
        <w:rPr>
          <w:rFonts w:ascii="Arial" w:hAnsi="Arial" w:cs="Arial"/>
          <w:sz w:val="20"/>
        </w:rPr>
        <w:t>Figure 1</w:t>
      </w:r>
      <w:r w:rsidR="00BB270F">
        <w:rPr>
          <w:rFonts w:ascii="Arial" w:hAnsi="Arial" w:cs="Arial"/>
          <w:sz w:val="20"/>
        </w:rPr>
        <w:t xml:space="preserve">: </w:t>
      </w:r>
      <w:r w:rsidRPr="0010108A">
        <w:rPr>
          <w:rFonts w:ascii="Arial" w:hAnsi="Arial" w:cs="Arial"/>
          <w:sz w:val="20"/>
        </w:rPr>
        <w:t xml:space="preserve"> </w:t>
      </w:r>
      <w:r w:rsidR="00BB270F">
        <w:rPr>
          <w:rFonts w:ascii="Arial" w:hAnsi="Arial" w:cs="Arial"/>
          <w:sz w:val="20"/>
        </w:rPr>
        <w:t xml:space="preserve">US </w:t>
      </w:r>
      <w:r w:rsidRPr="0010108A">
        <w:rPr>
          <w:rFonts w:ascii="Arial" w:hAnsi="Arial" w:cs="Arial"/>
          <w:sz w:val="20"/>
        </w:rPr>
        <w:t xml:space="preserve">n77 </w:t>
      </w:r>
      <w:r w:rsidR="00BB270F">
        <w:rPr>
          <w:rFonts w:ascii="Arial" w:hAnsi="Arial" w:cs="Arial"/>
          <w:sz w:val="20"/>
        </w:rPr>
        <w:t>B</w:t>
      </w:r>
      <w:r w:rsidRPr="0010108A">
        <w:rPr>
          <w:rFonts w:ascii="Arial" w:hAnsi="Arial" w:cs="Arial"/>
          <w:sz w:val="20"/>
        </w:rPr>
        <w:t>and</w:t>
      </w:r>
    </w:p>
    <w:p w14:paraId="6497B37C" w14:textId="1B2F6E5C" w:rsidR="0010108A" w:rsidRDefault="0010108A" w:rsidP="0010108A">
      <w:pPr>
        <w:spacing w:after="180"/>
        <w:jc w:val="left"/>
        <w:rPr>
          <w:rFonts w:ascii="Arial" w:hAnsi="Arial" w:cs="Arial"/>
          <w:sz w:val="20"/>
        </w:rPr>
      </w:pPr>
      <w:r w:rsidRPr="0010108A">
        <w:rPr>
          <w:rFonts w:ascii="Arial" w:hAnsi="Arial" w:cs="Arial"/>
          <w:sz w:val="20"/>
        </w:rPr>
        <w:t xml:space="preserve">There are no guard bands between CBRS and the adjacent bands on both sides.  The transmit power limits of AMBIT and C-band may be 25 dB to 30 dB higher than the transmit power limits in the CBRS band.  The regulations may be lenient for the Out-of-Band (OOB) emission requirements for devices </w:t>
      </w:r>
      <w:r w:rsidR="00CA7715">
        <w:rPr>
          <w:rFonts w:ascii="Arial" w:hAnsi="Arial" w:cs="Arial"/>
          <w:sz w:val="20"/>
        </w:rPr>
        <w:t xml:space="preserve">operating </w:t>
      </w:r>
      <w:r w:rsidRPr="0010108A">
        <w:rPr>
          <w:rFonts w:ascii="Arial" w:hAnsi="Arial" w:cs="Arial"/>
          <w:sz w:val="20"/>
        </w:rPr>
        <w:t xml:space="preserve">in C-band causing Cross Link Interference (CLI) in CBRS band. Hence, the placement of the CBRS band with no guard </w:t>
      </w:r>
      <w:r w:rsidRPr="0010108A">
        <w:rPr>
          <w:rFonts w:ascii="Arial" w:hAnsi="Arial" w:cs="Arial"/>
          <w:sz w:val="20"/>
        </w:rPr>
        <w:lastRenderedPageBreak/>
        <w:t xml:space="preserve">band in-between itself and either of its two adjacent bands may create a challenge as filters might not be able to sufficiently attenuate one or both of the strong adjacent channel signals present in either network.  </w:t>
      </w:r>
      <w:r w:rsidR="00CA7715">
        <w:rPr>
          <w:rFonts w:ascii="Arial" w:hAnsi="Arial" w:cs="Arial"/>
          <w:sz w:val="20"/>
        </w:rPr>
        <w:br/>
      </w:r>
      <w:r w:rsidRPr="0010108A">
        <w:rPr>
          <w:rFonts w:ascii="Arial" w:hAnsi="Arial" w:cs="Arial"/>
          <w:sz w:val="20"/>
        </w:rPr>
        <w:t xml:space="preserve">This CLI affects the </w:t>
      </w:r>
      <w:r w:rsidRPr="0010108A">
        <w:rPr>
          <w:rFonts w:ascii="Arial" w:hAnsi="Arial" w:cs="Arial"/>
          <w:noProof/>
          <w:sz w:val="20"/>
        </w:rPr>
        <w:t>gNBs</w:t>
      </w:r>
      <w:r w:rsidRPr="0010108A">
        <w:rPr>
          <w:rFonts w:ascii="Arial" w:hAnsi="Arial" w:cs="Arial"/>
          <w:sz w:val="20"/>
        </w:rPr>
        <w:t xml:space="preserve"> as well as UEs in the networks operating in CBRS band.</w:t>
      </w:r>
    </w:p>
    <w:p w14:paraId="271F17EA" w14:textId="77777777" w:rsidR="0010108A" w:rsidRDefault="0010108A" w:rsidP="00F36ECE">
      <w:pPr>
        <w:spacing w:after="180"/>
        <w:jc w:val="left"/>
        <w:rPr>
          <w:rFonts w:ascii="Arial" w:hAnsi="Arial" w:cs="Arial"/>
          <w:sz w:val="20"/>
        </w:rPr>
      </w:pPr>
    </w:p>
    <w:p w14:paraId="4C611088" w14:textId="5F5CA279" w:rsidR="00CA7715" w:rsidRPr="007B4093" w:rsidRDefault="00CA7715" w:rsidP="00CA7715">
      <w:pPr>
        <w:rPr>
          <w:rFonts w:ascii="Arial" w:hAnsi="Arial" w:cs="Arial"/>
          <w:i/>
          <w:iCs/>
          <w:sz w:val="20"/>
          <w:szCs w:val="20"/>
        </w:rPr>
      </w:pPr>
      <w:r w:rsidRPr="00A64DBE">
        <w:rPr>
          <w:rFonts w:ascii="Arial" w:hAnsi="Arial" w:cs="Arial"/>
          <w:b/>
          <w:bCs/>
          <w:i/>
          <w:iCs/>
          <w:sz w:val="20"/>
          <w:szCs w:val="20"/>
        </w:rPr>
        <w:t xml:space="preserve">Observation 1: </w:t>
      </w:r>
      <w:r w:rsidRPr="007B4093">
        <w:rPr>
          <w:rFonts w:ascii="Arial" w:hAnsi="Arial" w:cs="Arial"/>
          <w:i/>
          <w:iCs/>
          <w:sz w:val="20"/>
          <w:szCs w:val="20"/>
        </w:rPr>
        <w:t xml:space="preserve">CBRS band may suffer from CLI caused by its neighbor bands as the regulations may allow </w:t>
      </w:r>
      <w:r w:rsidR="00356DA4" w:rsidRPr="007B4093">
        <w:rPr>
          <w:rFonts w:ascii="Arial" w:hAnsi="Arial" w:cs="Arial"/>
          <w:i/>
          <w:iCs/>
          <w:sz w:val="20"/>
          <w:szCs w:val="20"/>
        </w:rPr>
        <w:t xml:space="preserve">SBFD </w:t>
      </w:r>
      <w:r w:rsidRPr="007B4093">
        <w:rPr>
          <w:rFonts w:ascii="Arial" w:hAnsi="Arial" w:cs="Arial"/>
          <w:i/>
          <w:iCs/>
          <w:noProof/>
          <w:sz w:val="20"/>
          <w:szCs w:val="20"/>
        </w:rPr>
        <w:t>gNBs</w:t>
      </w:r>
      <w:r w:rsidRPr="007B4093">
        <w:rPr>
          <w:rFonts w:ascii="Arial" w:hAnsi="Arial" w:cs="Arial"/>
          <w:i/>
          <w:iCs/>
          <w:sz w:val="20"/>
          <w:szCs w:val="20"/>
        </w:rPr>
        <w:t xml:space="preserve"> and UEs to transmit at higher power in these neighbor bands and there is no guard band separating CBRS from these bands.  This CLI will affect </w:t>
      </w:r>
      <w:r w:rsidR="00356DA4" w:rsidRPr="007B4093">
        <w:rPr>
          <w:rFonts w:ascii="Arial" w:hAnsi="Arial" w:cs="Arial"/>
          <w:i/>
          <w:iCs/>
          <w:sz w:val="20"/>
          <w:szCs w:val="20"/>
        </w:rPr>
        <w:t xml:space="preserve">legacy TDD </w:t>
      </w:r>
      <w:r w:rsidRPr="007B4093">
        <w:rPr>
          <w:rFonts w:ascii="Arial" w:hAnsi="Arial" w:cs="Arial"/>
          <w:i/>
          <w:iCs/>
          <w:noProof/>
          <w:sz w:val="20"/>
          <w:szCs w:val="20"/>
        </w:rPr>
        <w:t>gNBs</w:t>
      </w:r>
      <w:r w:rsidRPr="007B4093">
        <w:rPr>
          <w:rFonts w:ascii="Arial" w:hAnsi="Arial" w:cs="Arial"/>
          <w:i/>
          <w:iCs/>
          <w:sz w:val="20"/>
          <w:szCs w:val="20"/>
        </w:rPr>
        <w:t xml:space="preserve"> a</w:t>
      </w:r>
      <w:r w:rsidR="00356DA4" w:rsidRPr="007B4093">
        <w:rPr>
          <w:rFonts w:ascii="Arial" w:hAnsi="Arial" w:cs="Arial"/>
          <w:i/>
          <w:iCs/>
          <w:sz w:val="20"/>
          <w:szCs w:val="20"/>
        </w:rPr>
        <w:t>nd</w:t>
      </w:r>
      <w:r w:rsidRPr="007B4093">
        <w:rPr>
          <w:rFonts w:ascii="Arial" w:hAnsi="Arial" w:cs="Arial"/>
          <w:i/>
          <w:iCs/>
          <w:sz w:val="20"/>
          <w:szCs w:val="20"/>
        </w:rPr>
        <w:t xml:space="preserve"> UEs </w:t>
      </w:r>
      <w:r w:rsidR="00356DA4" w:rsidRPr="007B4093">
        <w:rPr>
          <w:rFonts w:ascii="Arial" w:hAnsi="Arial" w:cs="Arial"/>
          <w:i/>
          <w:iCs/>
          <w:sz w:val="20"/>
          <w:szCs w:val="20"/>
        </w:rPr>
        <w:t xml:space="preserve">operating in </w:t>
      </w:r>
      <w:r w:rsidRPr="007B4093">
        <w:rPr>
          <w:rFonts w:ascii="Arial" w:hAnsi="Arial" w:cs="Arial"/>
          <w:i/>
          <w:iCs/>
          <w:sz w:val="20"/>
          <w:szCs w:val="20"/>
        </w:rPr>
        <w:t>CBRS band.</w:t>
      </w:r>
    </w:p>
    <w:p w14:paraId="42C411FD" w14:textId="77777777" w:rsidR="00CA7715" w:rsidRPr="00A64DBE" w:rsidRDefault="00CA7715" w:rsidP="00CA7715">
      <w:pPr>
        <w:rPr>
          <w:rFonts w:ascii="Arial" w:hAnsi="Arial" w:cs="Arial"/>
          <w:sz w:val="20"/>
          <w:szCs w:val="20"/>
        </w:rPr>
      </w:pPr>
    </w:p>
    <w:p w14:paraId="76F2F5EB" w14:textId="77777777" w:rsidR="00CA7715" w:rsidRPr="00A64DBE" w:rsidRDefault="00CA7715" w:rsidP="00CA7715">
      <w:pPr>
        <w:rPr>
          <w:rFonts w:ascii="Arial" w:hAnsi="Arial" w:cs="Arial"/>
          <w:sz w:val="20"/>
          <w:szCs w:val="20"/>
        </w:rPr>
      </w:pPr>
      <w:r w:rsidRPr="00A64DBE">
        <w:rPr>
          <w:rFonts w:ascii="Arial" w:hAnsi="Arial" w:cs="Arial"/>
          <w:sz w:val="20"/>
          <w:szCs w:val="20"/>
        </w:rPr>
        <w:t xml:space="preserve">With the above observation if an operator places sub-band full duplex (SBFD) networks in the adjacent band to the legacy TDD networks from another operator then it may cause severe CLI in the legacy TDD networks. For example, if SBFD deployments are allowed to be located at the edge of the C-band then legacy networks in CBRS band may be impacted severely with CLI.  CLI may increase, as there will be no </w:t>
      </w:r>
      <w:r>
        <w:rPr>
          <w:rFonts w:ascii="Arial" w:hAnsi="Arial" w:cs="Arial"/>
          <w:sz w:val="20"/>
          <w:szCs w:val="20"/>
        </w:rPr>
        <w:t xml:space="preserve">TDD configuration/pattern </w:t>
      </w:r>
      <w:r w:rsidRPr="00A64DBE">
        <w:rPr>
          <w:rFonts w:ascii="Arial" w:hAnsi="Arial" w:cs="Arial"/>
          <w:sz w:val="20"/>
          <w:szCs w:val="20"/>
        </w:rPr>
        <w:t>coordination between the two adjacent operators and hence the TDD patterns of the two operators may not alig</w:t>
      </w:r>
      <w:r>
        <w:rPr>
          <w:rFonts w:ascii="Arial" w:hAnsi="Arial" w:cs="Arial"/>
          <w:sz w:val="20"/>
          <w:szCs w:val="20"/>
        </w:rPr>
        <w:t xml:space="preserve">n, </w:t>
      </w:r>
      <w:r w:rsidRPr="00A64DBE">
        <w:rPr>
          <w:rFonts w:ascii="Arial" w:hAnsi="Arial" w:cs="Arial"/>
          <w:sz w:val="20"/>
          <w:szCs w:val="20"/>
        </w:rPr>
        <w:t>even if we assume time synchronization</w:t>
      </w:r>
      <w:r>
        <w:rPr>
          <w:rFonts w:ascii="Arial" w:hAnsi="Arial" w:cs="Arial"/>
          <w:sz w:val="20"/>
          <w:szCs w:val="20"/>
        </w:rPr>
        <w:t>—at the TDD slot level—</w:t>
      </w:r>
      <w:r w:rsidRPr="00A64DBE">
        <w:rPr>
          <w:rFonts w:ascii="Arial" w:hAnsi="Arial" w:cs="Arial"/>
          <w:sz w:val="20"/>
          <w:szCs w:val="20"/>
        </w:rPr>
        <w:t>between the two operators.</w:t>
      </w:r>
    </w:p>
    <w:p w14:paraId="61D11E7F" w14:textId="77777777" w:rsidR="00CA7715" w:rsidRPr="00A64DBE" w:rsidRDefault="00CA7715" w:rsidP="00CA7715">
      <w:pPr>
        <w:rPr>
          <w:rFonts w:ascii="Arial" w:hAnsi="Arial" w:cs="Arial"/>
          <w:sz w:val="20"/>
          <w:szCs w:val="20"/>
        </w:rPr>
      </w:pPr>
    </w:p>
    <w:p w14:paraId="2E8BDE28" w14:textId="77777777" w:rsidR="00CA7715" w:rsidRPr="007B4093" w:rsidRDefault="00CA7715" w:rsidP="00CA7715">
      <w:pPr>
        <w:rPr>
          <w:rFonts w:ascii="Arial" w:hAnsi="Arial" w:cs="Arial"/>
          <w:sz w:val="20"/>
          <w:szCs w:val="20"/>
        </w:rPr>
      </w:pPr>
      <w:r w:rsidRPr="00A64DBE">
        <w:rPr>
          <w:rFonts w:ascii="Arial" w:hAnsi="Arial" w:cs="Arial"/>
          <w:b/>
          <w:bCs/>
          <w:i/>
          <w:iCs/>
          <w:sz w:val="20"/>
          <w:szCs w:val="20"/>
        </w:rPr>
        <w:t xml:space="preserve">Observation 2: </w:t>
      </w:r>
      <w:r w:rsidRPr="007B4093">
        <w:rPr>
          <w:rFonts w:ascii="Arial" w:hAnsi="Arial" w:cs="Arial"/>
          <w:i/>
          <w:iCs/>
          <w:sz w:val="20"/>
          <w:szCs w:val="20"/>
        </w:rPr>
        <w:t>The permitted frequency placement of SBFD deployment(s) and the non-coordinated TDD configurations within these sub-bands of n77 will impact the CLI inflicted on legacy networks.</w:t>
      </w:r>
    </w:p>
    <w:p w14:paraId="46D66D36" w14:textId="77777777" w:rsidR="00CA7715" w:rsidRPr="00A64DBE" w:rsidRDefault="00CA7715" w:rsidP="00CA7715">
      <w:pPr>
        <w:rPr>
          <w:rFonts w:ascii="Arial" w:hAnsi="Arial" w:cs="Arial"/>
          <w:sz w:val="20"/>
          <w:szCs w:val="20"/>
        </w:rPr>
      </w:pPr>
    </w:p>
    <w:p w14:paraId="2B2891CD" w14:textId="6273E6CC" w:rsidR="00CA7715" w:rsidRDefault="00CA7715" w:rsidP="00CA7715">
      <w:pPr>
        <w:rPr>
          <w:rFonts w:ascii="Arial" w:hAnsi="Arial" w:cs="Arial"/>
          <w:sz w:val="20"/>
          <w:szCs w:val="20"/>
        </w:rPr>
      </w:pPr>
      <w:r w:rsidRPr="00A64DBE">
        <w:rPr>
          <w:rFonts w:ascii="Arial" w:hAnsi="Arial" w:cs="Arial"/>
          <w:sz w:val="20"/>
          <w:szCs w:val="20"/>
        </w:rPr>
        <w:t xml:space="preserve">The effect of SBFD networks on the legacy TDD network should be studied using transmit power differences and regulatory OOB emission requirements between CBRS (n48) band and its neighbor bands (AMBIT and/or C-Band).  This study will be useful to identify the transmit power limits for a SBFD network that will minimize the CLI in the adjacent legacy TDD networks while lowering latency and increasing throughput in uplink for its own network. </w:t>
      </w:r>
      <w:r w:rsidR="00356DA4">
        <w:rPr>
          <w:rFonts w:ascii="Arial" w:hAnsi="Arial" w:cs="Arial"/>
          <w:sz w:val="20"/>
          <w:szCs w:val="20"/>
        </w:rPr>
        <w:t xml:space="preserve">It is important that realistic filters will be simulated and not an ideal brick filter which does not exist in reality.  </w:t>
      </w:r>
    </w:p>
    <w:p w14:paraId="136A1839" w14:textId="682FFCB3" w:rsidR="00356DA4" w:rsidRDefault="00356DA4" w:rsidP="00CA7715">
      <w:pPr>
        <w:rPr>
          <w:rFonts w:ascii="Arial" w:hAnsi="Arial" w:cs="Arial"/>
          <w:sz w:val="20"/>
          <w:szCs w:val="20"/>
        </w:rPr>
      </w:pPr>
    </w:p>
    <w:p w14:paraId="1E3C8744" w14:textId="4B80307A" w:rsidR="00356DA4" w:rsidRPr="007B4093" w:rsidRDefault="00356DA4" w:rsidP="00356DA4">
      <w:pPr>
        <w:rPr>
          <w:rFonts w:ascii="Arial" w:hAnsi="Arial" w:cs="Arial"/>
          <w:i/>
          <w:iCs/>
          <w:sz w:val="20"/>
          <w:szCs w:val="20"/>
        </w:rPr>
      </w:pPr>
      <w:r w:rsidRPr="00A64DBE">
        <w:rPr>
          <w:rFonts w:ascii="Arial" w:hAnsi="Arial" w:cs="Arial"/>
          <w:b/>
          <w:bCs/>
          <w:i/>
          <w:iCs/>
          <w:sz w:val="20"/>
          <w:szCs w:val="20"/>
        </w:rPr>
        <w:t>Proposal 1</w:t>
      </w:r>
      <w:r w:rsidRPr="007B4093">
        <w:rPr>
          <w:rFonts w:ascii="Arial" w:hAnsi="Arial" w:cs="Arial"/>
          <w:i/>
          <w:iCs/>
          <w:sz w:val="20"/>
          <w:szCs w:val="20"/>
        </w:rPr>
        <w:t>: It is desirable to study the effect of CLI caused by SBFD networks to legacy TDD networks in adjacent bands using the allowed, worst–case transmit power differences and regulatory OOB emission requirements between CBRS and its adjacent bands (AMBIT and/or C-band) as reference</w:t>
      </w:r>
      <w:r w:rsidR="00B7138D">
        <w:rPr>
          <w:rFonts w:ascii="Arial" w:hAnsi="Arial" w:cs="Arial"/>
          <w:bCs/>
          <w:i/>
          <w:iCs/>
          <w:sz w:val="20"/>
          <w:szCs w:val="20"/>
        </w:rPr>
        <w:t>,</w:t>
      </w:r>
      <w:r w:rsidR="00B7138D">
        <w:rPr>
          <w:rFonts w:ascii="Arial" w:hAnsi="Arial" w:cs="Arial"/>
          <w:bCs/>
          <w:i/>
          <w:iCs/>
          <w:sz w:val="20"/>
          <w:szCs w:val="20"/>
        </w:rPr>
        <w:t xml:space="preserve"> </w:t>
      </w:r>
      <w:r w:rsidR="00B7138D">
        <w:rPr>
          <w:rFonts w:ascii="Arial" w:hAnsi="Arial" w:cs="Arial"/>
          <w:bCs/>
          <w:i/>
          <w:iCs/>
          <w:sz w:val="20"/>
          <w:szCs w:val="20"/>
        </w:rPr>
        <w:t>using ref [3] assumptions.</w:t>
      </w:r>
    </w:p>
    <w:p w14:paraId="13FE4F7F" w14:textId="4DC23842" w:rsidR="00356DA4" w:rsidRDefault="00356DA4" w:rsidP="00CA7715">
      <w:pPr>
        <w:rPr>
          <w:rFonts w:ascii="Arial" w:hAnsi="Arial" w:cs="Arial"/>
          <w:sz w:val="20"/>
          <w:szCs w:val="20"/>
        </w:rPr>
      </w:pPr>
    </w:p>
    <w:p w14:paraId="175FBB0E" w14:textId="77777777" w:rsidR="00356DA4" w:rsidRPr="00A61C3C" w:rsidRDefault="00356DA4" w:rsidP="00356DA4">
      <w:pPr>
        <w:pStyle w:val="Char"/>
        <w:tabs>
          <w:tab w:val="clear" w:pos="1985"/>
        </w:tabs>
        <w:ind w:left="0"/>
        <w:rPr>
          <w:rFonts w:cs="Arial"/>
          <w:szCs w:val="32"/>
        </w:rPr>
      </w:pPr>
      <w:r w:rsidRPr="00A61C3C">
        <w:rPr>
          <w:rFonts w:cs="Arial"/>
          <w:szCs w:val="32"/>
        </w:rPr>
        <w:t xml:space="preserve">Simulation Scenarios </w:t>
      </w:r>
    </w:p>
    <w:p w14:paraId="4E97CD2B" w14:textId="6FE7F9EF" w:rsidR="00356DA4" w:rsidRDefault="00356DA4" w:rsidP="00356DA4">
      <w:pPr>
        <w:spacing w:after="180"/>
        <w:jc w:val="left"/>
        <w:rPr>
          <w:rFonts w:ascii="Arial" w:hAnsi="Arial" w:cs="Arial"/>
          <w:sz w:val="20"/>
          <w:szCs w:val="20"/>
        </w:rPr>
      </w:pPr>
      <w:r w:rsidRPr="00836D5A">
        <w:rPr>
          <w:rFonts w:ascii="Arial" w:hAnsi="Arial" w:cs="Arial"/>
          <w:sz w:val="20"/>
          <w:szCs w:val="20"/>
        </w:rPr>
        <w:t xml:space="preserve">Based on the above discussion Charter </w:t>
      </w:r>
      <w:r w:rsidR="0075608A">
        <w:rPr>
          <w:rFonts w:ascii="Arial" w:hAnsi="Arial" w:cs="Arial"/>
          <w:sz w:val="20"/>
          <w:szCs w:val="20"/>
        </w:rPr>
        <w:t>asks</w:t>
      </w:r>
      <w:r w:rsidRPr="00836D5A">
        <w:rPr>
          <w:rFonts w:ascii="Arial" w:hAnsi="Arial" w:cs="Arial"/>
          <w:sz w:val="20"/>
          <w:szCs w:val="20"/>
        </w:rPr>
        <w:t xml:space="preserve"> RAN4 to study the adjacent channel interference caused by the new SBFD feature based on the large transmit power differences that exist between CBRS and C-band.  Even though there is a large transmit power difference between downlink in CBRS band vs downlink in C-band, Charter </w:t>
      </w:r>
      <w:r w:rsidR="0075608A">
        <w:rPr>
          <w:rFonts w:ascii="Arial" w:hAnsi="Arial" w:cs="Arial"/>
          <w:sz w:val="20"/>
          <w:szCs w:val="20"/>
        </w:rPr>
        <w:t>p</w:t>
      </w:r>
      <w:r w:rsidRPr="00836D5A">
        <w:rPr>
          <w:rFonts w:ascii="Arial" w:hAnsi="Arial" w:cs="Arial"/>
          <w:sz w:val="20"/>
          <w:szCs w:val="20"/>
        </w:rPr>
        <w:t>oint</w:t>
      </w:r>
      <w:r w:rsidR="0075608A">
        <w:rPr>
          <w:rFonts w:ascii="Arial" w:hAnsi="Arial" w:cs="Arial"/>
          <w:sz w:val="20"/>
          <w:szCs w:val="20"/>
        </w:rPr>
        <w:t>s</w:t>
      </w:r>
      <w:r w:rsidRPr="00836D5A">
        <w:rPr>
          <w:rFonts w:ascii="Arial" w:hAnsi="Arial" w:cs="Arial"/>
          <w:sz w:val="20"/>
          <w:szCs w:val="20"/>
        </w:rPr>
        <w:t xml:space="preserve"> out that the extreme case will be the transmit power differences between downlink </w:t>
      </w:r>
      <w:r w:rsidR="0075608A">
        <w:rPr>
          <w:rFonts w:ascii="Arial" w:hAnsi="Arial" w:cs="Arial"/>
          <w:sz w:val="20"/>
          <w:szCs w:val="20"/>
        </w:rPr>
        <w:t xml:space="preserve">aggressor </w:t>
      </w:r>
      <w:r w:rsidRPr="00836D5A">
        <w:rPr>
          <w:rFonts w:ascii="Arial" w:hAnsi="Arial" w:cs="Arial"/>
          <w:sz w:val="20"/>
          <w:szCs w:val="20"/>
        </w:rPr>
        <w:t xml:space="preserve">and uplink </w:t>
      </w:r>
      <w:r w:rsidR="0075608A">
        <w:rPr>
          <w:rFonts w:ascii="Arial" w:hAnsi="Arial" w:cs="Arial"/>
          <w:sz w:val="20"/>
          <w:szCs w:val="20"/>
        </w:rPr>
        <w:t xml:space="preserve">victim </w:t>
      </w:r>
      <w:r w:rsidR="0075608A">
        <w:rPr>
          <w:rFonts w:ascii="Arial" w:hAnsi="Arial" w:cs="Arial"/>
          <w:noProof/>
          <w:sz w:val="20"/>
          <w:szCs w:val="20"/>
        </w:rPr>
        <w:t>gNb</w:t>
      </w:r>
      <w:r w:rsidRPr="00836D5A">
        <w:rPr>
          <w:rFonts w:ascii="Arial" w:hAnsi="Arial" w:cs="Arial"/>
          <w:sz w:val="20"/>
          <w:szCs w:val="20"/>
        </w:rPr>
        <w:t xml:space="preserve">.  The worst-case scenario will be when the </w:t>
      </w:r>
      <w:r w:rsidR="0075608A">
        <w:rPr>
          <w:rFonts w:ascii="Arial" w:hAnsi="Arial" w:cs="Arial"/>
          <w:sz w:val="20"/>
          <w:szCs w:val="20"/>
        </w:rPr>
        <w:t>aggressor</w:t>
      </w:r>
      <w:r w:rsidRPr="00836D5A">
        <w:rPr>
          <w:rFonts w:ascii="Arial" w:hAnsi="Arial" w:cs="Arial"/>
          <w:sz w:val="20"/>
          <w:szCs w:val="20"/>
        </w:rPr>
        <w:t xml:space="preserve"> operator us</w:t>
      </w:r>
      <w:r w:rsidR="0075608A">
        <w:rPr>
          <w:rFonts w:ascii="Arial" w:hAnsi="Arial" w:cs="Arial"/>
          <w:sz w:val="20"/>
          <w:szCs w:val="20"/>
        </w:rPr>
        <w:t>e</w:t>
      </w:r>
      <w:r w:rsidR="0064677E">
        <w:rPr>
          <w:rFonts w:ascii="Arial" w:hAnsi="Arial" w:cs="Arial"/>
          <w:sz w:val="20"/>
          <w:szCs w:val="20"/>
        </w:rPr>
        <w:t>s</w:t>
      </w:r>
      <w:r w:rsidRPr="00836D5A">
        <w:rPr>
          <w:rFonts w:ascii="Arial" w:hAnsi="Arial" w:cs="Arial"/>
          <w:sz w:val="20"/>
          <w:szCs w:val="20"/>
        </w:rPr>
        <w:t xml:space="preserve"> non-coordinated SBFD slot </w:t>
      </w:r>
      <w:r w:rsidR="0075608A">
        <w:rPr>
          <w:rFonts w:ascii="Arial" w:hAnsi="Arial" w:cs="Arial"/>
          <w:sz w:val="20"/>
          <w:szCs w:val="20"/>
        </w:rPr>
        <w:t xml:space="preserve">while the victim is </w:t>
      </w:r>
      <w:r w:rsidR="0064677E">
        <w:rPr>
          <w:rFonts w:ascii="Arial" w:hAnsi="Arial" w:cs="Arial"/>
          <w:sz w:val="20"/>
          <w:szCs w:val="20"/>
        </w:rPr>
        <w:t xml:space="preserve">a </w:t>
      </w:r>
      <w:r w:rsidRPr="00836D5A">
        <w:rPr>
          <w:rFonts w:ascii="Arial" w:hAnsi="Arial" w:cs="Arial"/>
          <w:sz w:val="20"/>
          <w:szCs w:val="20"/>
        </w:rPr>
        <w:t>legacy TDD</w:t>
      </w:r>
      <w:r w:rsidR="0075608A">
        <w:rPr>
          <w:rFonts w:ascii="Arial" w:hAnsi="Arial" w:cs="Arial"/>
          <w:sz w:val="20"/>
          <w:szCs w:val="20"/>
        </w:rPr>
        <w:t xml:space="preserve"> during its UL slot.</w:t>
      </w:r>
      <w:r w:rsidR="0064677E">
        <w:rPr>
          <w:rFonts w:ascii="Arial" w:hAnsi="Arial" w:cs="Arial"/>
          <w:sz w:val="20"/>
          <w:szCs w:val="20"/>
        </w:rPr>
        <w:t xml:space="preserve"> </w:t>
      </w:r>
      <w:r w:rsidRPr="00836D5A">
        <w:rPr>
          <w:rFonts w:ascii="Arial" w:hAnsi="Arial" w:cs="Arial"/>
          <w:sz w:val="20"/>
          <w:szCs w:val="20"/>
        </w:rPr>
        <w:fldChar w:fldCharType="begin"/>
      </w:r>
      <w:r w:rsidRPr="00836D5A">
        <w:rPr>
          <w:rFonts w:ascii="Arial" w:hAnsi="Arial" w:cs="Arial"/>
          <w:sz w:val="20"/>
          <w:szCs w:val="20"/>
        </w:rPr>
        <w:instrText xml:space="preserve"> REF _Ref126573262 \h  \* MERGEFORMAT </w:instrText>
      </w:r>
      <w:r w:rsidRPr="00836D5A">
        <w:rPr>
          <w:rFonts w:ascii="Arial" w:hAnsi="Arial" w:cs="Arial"/>
          <w:sz w:val="20"/>
          <w:szCs w:val="20"/>
        </w:rPr>
      </w:r>
      <w:r w:rsidRPr="00836D5A">
        <w:rPr>
          <w:rFonts w:ascii="Arial" w:hAnsi="Arial" w:cs="Arial"/>
          <w:sz w:val="20"/>
          <w:szCs w:val="20"/>
        </w:rPr>
        <w:fldChar w:fldCharType="separate"/>
      </w:r>
      <w:r w:rsidRPr="00A64DBE">
        <w:rPr>
          <w:rFonts w:ascii="Arial" w:hAnsi="Arial" w:cs="Arial"/>
          <w:sz w:val="20"/>
          <w:szCs w:val="20"/>
        </w:rPr>
        <w:t xml:space="preserve">Figure </w:t>
      </w:r>
      <w:r w:rsidRPr="00A64DBE">
        <w:rPr>
          <w:rFonts w:ascii="Arial" w:hAnsi="Arial" w:cs="Arial"/>
          <w:noProof/>
          <w:sz w:val="20"/>
          <w:szCs w:val="20"/>
        </w:rPr>
        <w:t>2</w:t>
      </w:r>
      <w:r w:rsidRPr="00836D5A">
        <w:rPr>
          <w:rFonts w:ascii="Arial" w:hAnsi="Arial" w:cs="Arial"/>
          <w:sz w:val="20"/>
          <w:szCs w:val="20"/>
        </w:rPr>
        <w:fldChar w:fldCharType="end"/>
      </w:r>
      <w:r w:rsidRPr="00836D5A">
        <w:rPr>
          <w:rFonts w:ascii="Arial" w:hAnsi="Arial" w:cs="Arial"/>
          <w:sz w:val="20"/>
          <w:szCs w:val="20"/>
        </w:rPr>
        <w:t xml:space="preserve"> shows an example in which the victim is operating legacy TDD in CBRS band while aggressor is using SBFD </w:t>
      </w:r>
      <w:r w:rsidR="007B4093">
        <w:rPr>
          <w:rFonts w:ascii="Arial" w:hAnsi="Arial" w:cs="Arial"/>
          <w:sz w:val="20"/>
          <w:szCs w:val="20"/>
        </w:rPr>
        <w:t xml:space="preserve">DUD </w:t>
      </w:r>
      <w:r w:rsidRPr="00836D5A">
        <w:rPr>
          <w:rFonts w:ascii="Arial" w:hAnsi="Arial" w:cs="Arial"/>
          <w:sz w:val="20"/>
          <w:szCs w:val="20"/>
        </w:rPr>
        <w:t xml:space="preserve">mode in C-band.  A </w:t>
      </w:r>
      <w:r w:rsidR="00BB270F">
        <w:rPr>
          <w:rFonts w:ascii="Arial" w:hAnsi="Arial" w:cs="Arial"/>
          <w:sz w:val="20"/>
          <w:szCs w:val="20"/>
        </w:rPr>
        <w:t xml:space="preserve">US </w:t>
      </w:r>
      <w:r w:rsidR="00BB270F" w:rsidRPr="00836D5A">
        <w:rPr>
          <w:rFonts w:ascii="Arial" w:hAnsi="Arial" w:cs="Arial"/>
          <w:sz w:val="20"/>
          <w:szCs w:val="20"/>
        </w:rPr>
        <w:t xml:space="preserve">C-band </w:t>
      </w:r>
      <w:r w:rsidRPr="00836D5A">
        <w:rPr>
          <w:rFonts w:ascii="Arial" w:hAnsi="Arial" w:cs="Arial"/>
          <w:sz w:val="20"/>
          <w:szCs w:val="20"/>
        </w:rPr>
        <w:t xml:space="preserve">operator deploying macro cell may be using </w:t>
      </w:r>
      <w:r w:rsidR="00BB270F">
        <w:rPr>
          <w:rFonts w:ascii="Arial" w:hAnsi="Arial" w:cs="Arial"/>
          <w:sz w:val="20"/>
          <w:szCs w:val="20"/>
        </w:rPr>
        <w:t>high-gain</w:t>
      </w:r>
      <w:r w:rsidRPr="00836D5A">
        <w:rPr>
          <w:rFonts w:ascii="Arial" w:hAnsi="Arial" w:cs="Arial"/>
          <w:sz w:val="20"/>
          <w:szCs w:val="20"/>
        </w:rPr>
        <w:t xml:space="preserve"> antenna array and </w:t>
      </w:r>
      <w:r w:rsidR="00BB270F">
        <w:rPr>
          <w:rFonts w:ascii="Arial" w:hAnsi="Arial" w:cs="Arial"/>
          <w:sz w:val="20"/>
          <w:szCs w:val="20"/>
        </w:rPr>
        <w:t xml:space="preserve">according to FCC regulation </w:t>
      </w:r>
      <w:r w:rsidRPr="00836D5A">
        <w:rPr>
          <w:rFonts w:ascii="Arial" w:hAnsi="Arial" w:cs="Arial"/>
          <w:sz w:val="20"/>
          <w:szCs w:val="20"/>
        </w:rPr>
        <w:t>may have as high as +75 dBm</w:t>
      </w:r>
      <w:r w:rsidR="00BB270F">
        <w:rPr>
          <w:rFonts w:ascii="Arial" w:hAnsi="Arial" w:cs="Arial"/>
          <w:sz w:val="20"/>
          <w:szCs w:val="20"/>
        </w:rPr>
        <w:t>/10MHz</w:t>
      </w:r>
      <w:r w:rsidRPr="00836D5A">
        <w:rPr>
          <w:rFonts w:ascii="Arial" w:hAnsi="Arial" w:cs="Arial"/>
          <w:sz w:val="20"/>
          <w:szCs w:val="20"/>
        </w:rPr>
        <w:t xml:space="preserve"> EIRP, while the uplink transmission in the neighboring CBRS </w:t>
      </w:r>
      <w:r w:rsidRPr="00836D5A">
        <w:rPr>
          <w:rFonts w:ascii="Arial" w:hAnsi="Arial" w:cs="Arial"/>
          <w:sz w:val="20"/>
          <w:szCs w:val="20"/>
        </w:rPr>
        <w:lastRenderedPageBreak/>
        <w:t>band is limited</w:t>
      </w:r>
      <w:r w:rsidR="00CF53B0">
        <w:rPr>
          <w:rFonts w:ascii="Arial" w:hAnsi="Arial" w:cs="Arial"/>
          <w:sz w:val="20"/>
          <w:szCs w:val="20"/>
        </w:rPr>
        <w:t xml:space="preserve"> by FCC</w:t>
      </w:r>
      <w:r w:rsidRPr="00836D5A">
        <w:rPr>
          <w:rFonts w:ascii="Arial" w:hAnsi="Arial" w:cs="Arial"/>
          <w:sz w:val="20"/>
          <w:szCs w:val="20"/>
        </w:rPr>
        <w:t xml:space="preserve"> to +</w:t>
      </w:r>
      <w:r w:rsidR="00CF53B0">
        <w:rPr>
          <w:rFonts w:ascii="Arial" w:hAnsi="Arial" w:cs="Arial"/>
          <w:sz w:val="20"/>
          <w:szCs w:val="20"/>
        </w:rPr>
        <w:t>2</w:t>
      </w:r>
      <w:r w:rsidR="003C643A">
        <w:rPr>
          <w:rFonts w:ascii="Arial" w:hAnsi="Arial" w:cs="Arial"/>
          <w:sz w:val="20"/>
          <w:szCs w:val="20"/>
        </w:rPr>
        <w:t>3</w:t>
      </w:r>
      <w:r w:rsidRPr="00836D5A">
        <w:rPr>
          <w:rFonts w:ascii="Arial" w:hAnsi="Arial" w:cs="Arial"/>
          <w:sz w:val="20"/>
          <w:szCs w:val="20"/>
        </w:rPr>
        <w:t xml:space="preserve"> dBm</w:t>
      </w:r>
      <w:r w:rsidR="00CF53B0">
        <w:rPr>
          <w:rFonts w:ascii="Arial" w:hAnsi="Arial" w:cs="Arial"/>
          <w:sz w:val="20"/>
          <w:szCs w:val="20"/>
        </w:rPr>
        <w:t xml:space="preserve"> </w:t>
      </w:r>
      <w:r w:rsidR="003C643A">
        <w:rPr>
          <w:rFonts w:ascii="Arial" w:hAnsi="Arial" w:cs="Arial"/>
          <w:sz w:val="20"/>
          <w:szCs w:val="20"/>
        </w:rPr>
        <w:t>only</w:t>
      </w:r>
      <w:r w:rsidRPr="00836D5A">
        <w:rPr>
          <w:rFonts w:ascii="Arial" w:hAnsi="Arial" w:cs="Arial"/>
          <w:sz w:val="20"/>
          <w:szCs w:val="20"/>
        </w:rPr>
        <w:t>.  Unless RAN4 enforce a severe out-of-band emissions in SBFD mode, we see a clear risk of networks deployed in C-band interfering with existing legacy TDD networks deployed in CBRS band</w:t>
      </w:r>
      <w:r w:rsidR="0064677E">
        <w:rPr>
          <w:rFonts w:ascii="Arial" w:hAnsi="Arial" w:cs="Arial"/>
          <w:sz w:val="20"/>
          <w:szCs w:val="20"/>
        </w:rPr>
        <w:t>.</w:t>
      </w:r>
    </w:p>
    <w:p w14:paraId="22460C99" w14:textId="16DF156A" w:rsidR="0064677E" w:rsidRPr="00836D5A" w:rsidRDefault="0064677E" w:rsidP="00356DA4">
      <w:pPr>
        <w:spacing w:after="180"/>
        <w:jc w:val="left"/>
        <w:rPr>
          <w:rFonts w:ascii="Arial" w:hAnsi="Arial" w:cs="Arial"/>
          <w:b/>
          <w:sz w:val="20"/>
          <w:szCs w:val="20"/>
        </w:rPr>
      </w:pPr>
      <w:r>
        <w:rPr>
          <w:rFonts w:ascii="Arial" w:hAnsi="Arial" w:cs="Arial"/>
          <w:sz w:val="20"/>
          <w:szCs w:val="20"/>
        </w:rPr>
        <w:t xml:space="preserve">Figure 2 shows a </w:t>
      </w:r>
      <w:r w:rsidR="00CF53B0">
        <w:rPr>
          <w:rFonts w:ascii="Arial" w:hAnsi="Arial" w:cs="Arial"/>
          <w:sz w:val="20"/>
          <w:szCs w:val="20"/>
        </w:rPr>
        <w:t xml:space="preserve">100MHz carrier </w:t>
      </w:r>
      <w:r w:rsidR="003C643A">
        <w:rPr>
          <w:rFonts w:ascii="Arial" w:hAnsi="Arial" w:cs="Arial"/>
          <w:sz w:val="20"/>
          <w:szCs w:val="20"/>
        </w:rPr>
        <w:t>SBFD with</w:t>
      </w:r>
      <w:r w:rsidR="00CF53B0">
        <w:rPr>
          <w:rFonts w:ascii="Arial" w:hAnsi="Arial" w:cs="Arial"/>
          <w:sz w:val="20"/>
          <w:szCs w:val="20"/>
        </w:rPr>
        <w:t xml:space="preserve"> DUD 40+20+40. </w:t>
      </w:r>
      <w:r w:rsidR="0068210C">
        <w:rPr>
          <w:rFonts w:ascii="Arial" w:hAnsi="Arial" w:cs="Arial"/>
          <w:sz w:val="20"/>
          <w:szCs w:val="20"/>
        </w:rPr>
        <w:t>Each 40 MHz can transmit up to +81 dBm.</w:t>
      </w:r>
      <w:r w:rsidR="00CF53B0">
        <w:rPr>
          <w:rFonts w:ascii="Arial" w:hAnsi="Arial" w:cs="Arial"/>
          <w:sz w:val="20"/>
          <w:szCs w:val="20"/>
        </w:rPr>
        <w:br/>
      </w:r>
      <w:r w:rsidR="0068210C">
        <w:rPr>
          <w:rFonts w:ascii="Arial" w:hAnsi="Arial" w:cs="Arial"/>
          <w:sz w:val="20"/>
          <w:szCs w:val="20"/>
        </w:rPr>
        <w:t xml:space="preserve">Worst case is </w:t>
      </w:r>
      <w:r>
        <w:rPr>
          <w:rFonts w:ascii="Arial" w:hAnsi="Arial" w:cs="Arial"/>
          <w:sz w:val="20"/>
          <w:szCs w:val="20"/>
        </w:rPr>
        <w:t>DU pattern</w:t>
      </w:r>
      <w:r w:rsidR="0068210C">
        <w:rPr>
          <w:rFonts w:ascii="Arial" w:hAnsi="Arial" w:cs="Arial"/>
          <w:sz w:val="20"/>
          <w:szCs w:val="20"/>
        </w:rPr>
        <w:t xml:space="preserve"> with 80+20</w:t>
      </w:r>
      <w:r>
        <w:rPr>
          <w:rFonts w:ascii="Arial" w:hAnsi="Arial" w:cs="Arial"/>
          <w:sz w:val="20"/>
          <w:szCs w:val="20"/>
        </w:rPr>
        <w:t xml:space="preserve"> </w:t>
      </w:r>
      <w:r w:rsidR="0068210C">
        <w:rPr>
          <w:rFonts w:ascii="Arial" w:hAnsi="Arial" w:cs="Arial"/>
          <w:sz w:val="20"/>
          <w:szCs w:val="20"/>
        </w:rPr>
        <w:t xml:space="preserve">with </w:t>
      </w:r>
      <w:r>
        <w:rPr>
          <w:rFonts w:ascii="Arial" w:hAnsi="Arial" w:cs="Arial"/>
          <w:sz w:val="20"/>
          <w:szCs w:val="20"/>
        </w:rPr>
        <w:t>+</w:t>
      </w:r>
      <w:r w:rsidR="0068210C">
        <w:rPr>
          <w:rFonts w:ascii="Arial" w:hAnsi="Arial" w:cs="Arial"/>
          <w:sz w:val="20"/>
          <w:szCs w:val="20"/>
        </w:rPr>
        <w:t>84</w:t>
      </w:r>
      <w:r>
        <w:rPr>
          <w:rFonts w:ascii="Arial" w:hAnsi="Arial" w:cs="Arial"/>
          <w:sz w:val="20"/>
          <w:szCs w:val="20"/>
        </w:rPr>
        <w:t xml:space="preserve"> dBm. </w:t>
      </w:r>
      <w:r w:rsidR="0068210C">
        <w:rPr>
          <w:rFonts w:ascii="Arial" w:hAnsi="Arial" w:cs="Arial"/>
          <w:sz w:val="20"/>
          <w:szCs w:val="20"/>
        </w:rPr>
        <w:t>Clearly</w:t>
      </w:r>
      <w:r w:rsidR="00020106">
        <w:rPr>
          <w:rFonts w:ascii="Arial" w:hAnsi="Arial" w:cs="Arial"/>
          <w:sz w:val="20"/>
          <w:szCs w:val="20"/>
        </w:rPr>
        <w:t xml:space="preserve">, the co-existence problem can become </w:t>
      </w:r>
      <w:r w:rsidR="0068210C">
        <w:rPr>
          <w:rFonts w:ascii="Arial" w:hAnsi="Arial" w:cs="Arial"/>
          <w:sz w:val="20"/>
          <w:szCs w:val="20"/>
        </w:rPr>
        <w:t xml:space="preserve">more </w:t>
      </w:r>
      <w:r w:rsidR="00020106">
        <w:rPr>
          <w:rFonts w:ascii="Arial" w:hAnsi="Arial" w:cs="Arial"/>
          <w:sz w:val="20"/>
          <w:szCs w:val="20"/>
        </w:rPr>
        <w:t xml:space="preserve">saver </w:t>
      </w:r>
      <w:r w:rsidR="0068210C">
        <w:rPr>
          <w:rFonts w:ascii="Arial" w:hAnsi="Arial" w:cs="Arial"/>
          <w:sz w:val="20"/>
          <w:szCs w:val="20"/>
        </w:rPr>
        <w:t>as the SBFD power</w:t>
      </w:r>
      <w:r w:rsidR="00B8205D">
        <w:rPr>
          <w:rFonts w:ascii="Arial" w:hAnsi="Arial" w:cs="Arial"/>
          <w:sz w:val="20"/>
          <w:szCs w:val="20"/>
        </w:rPr>
        <w:t xml:space="preserve"> is increased.</w:t>
      </w:r>
    </w:p>
    <w:p w14:paraId="54DC927A" w14:textId="5C22266F" w:rsidR="00F36ECE" w:rsidRDefault="00F94676" w:rsidP="006600A5">
      <w:pPr>
        <w:spacing w:after="180"/>
        <w:jc w:val="center"/>
        <w:rPr>
          <w:rFonts w:ascii="Arial" w:hAnsi="Arial" w:cs="Arial"/>
          <w:b/>
          <w:sz w:val="20"/>
        </w:rPr>
      </w:pPr>
      <w:r w:rsidRPr="00F94676">
        <w:rPr>
          <w:rFonts w:ascii="Arial" w:hAnsi="Arial" w:cs="Arial"/>
          <w:b/>
          <w:noProof/>
          <w:sz w:val="20"/>
        </w:rPr>
        <w:drawing>
          <wp:inline distT="0" distB="0" distL="0" distR="0" wp14:anchorId="2DC9DD3C" wp14:editId="252962F7">
            <wp:extent cx="4983480" cy="40690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3480" cy="4069080"/>
                    </a:xfrm>
                    <a:prstGeom prst="rect">
                      <a:avLst/>
                    </a:prstGeom>
                    <a:noFill/>
                    <a:ln>
                      <a:noFill/>
                    </a:ln>
                  </pic:spPr>
                </pic:pic>
              </a:graphicData>
            </a:graphic>
          </wp:inline>
        </w:drawing>
      </w:r>
    </w:p>
    <w:p w14:paraId="5F7FE3FE" w14:textId="75970C55" w:rsidR="00F36ECE" w:rsidRDefault="00F36ECE" w:rsidP="005A2692">
      <w:pPr>
        <w:spacing w:after="180"/>
        <w:jc w:val="center"/>
        <w:rPr>
          <w:rFonts w:ascii="Arial" w:hAnsi="Arial" w:cs="Arial"/>
          <w:b/>
          <w:sz w:val="20"/>
        </w:rPr>
      </w:pPr>
      <w:r>
        <w:rPr>
          <w:rFonts w:ascii="Arial" w:hAnsi="Arial" w:cs="Arial"/>
          <w:b/>
          <w:sz w:val="20"/>
        </w:rPr>
        <w:t>Figure</w:t>
      </w:r>
      <w:r w:rsidR="0010108A">
        <w:rPr>
          <w:rFonts w:ascii="Arial" w:hAnsi="Arial" w:cs="Arial"/>
          <w:b/>
          <w:sz w:val="20"/>
        </w:rPr>
        <w:t xml:space="preserve"> 2</w:t>
      </w:r>
      <w:r w:rsidR="003D56AB">
        <w:rPr>
          <w:rFonts w:ascii="Arial" w:hAnsi="Arial" w:cs="Arial"/>
          <w:b/>
          <w:sz w:val="20"/>
        </w:rPr>
        <w:t xml:space="preserve">: </w:t>
      </w:r>
      <w:r>
        <w:rPr>
          <w:rFonts w:ascii="Arial" w:hAnsi="Arial" w:cs="Arial"/>
          <w:b/>
          <w:sz w:val="20"/>
        </w:rPr>
        <w:t xml:space="preserve"> </w:t>
      </w:r>
      <w:r w:rsidR="003D56AB">
        <w:rPr>
          <w:rFonts w:ascii="Arial" w:hAnsi="Arial" w:cs="Arial"/>
          <w:b/>
          <w:sz w:val="20"/>
        </w:rPr>
        <w:t>n</w:t>
      </w:r>
      <w:r w:rsidR="003C643A">
        <w:rPr>
          <w:rFonts w:ascii="Arial" w:hAnsi="Arial" w:cs="Arial"/>
          <w:b/>
          <w:sz w:val="20"/>
        </w:rPr>
        <w:t>48</w:t>
      </w:r>
      <w:r>
        <w:rPr>
          <w:rFonts w:ascii="Arial" w:hAnsi="Arial" w:cs="Arial"/>
          <w:b/>
          <w:sz w:val="20"/>
        </w:rPr>
        <w:t xml:space="preserve"> and n</w:t>
      </w:r>
      <w:r w:rsidR="003C643A">
        <w:rPr>
          <w:rFonts w:ascii="Arial" w:hAnsi="Arial" w:cs="Arial"/>
          <w:b/>
          <w:sz w:val="20"/>
        </w:rPr>
        <w:t>77</w:t>
      </w:r>
      <w:r>
        <w:rPr>
          <w:rFonts w:ascii="Arial" w:hAnsi="Arial" w:cs="Arial"/>
          <w:b/>
          <w:sz w:val="20"/>
        </w:rPr>
        <w:t xml:space="preserve"> </w:t>
      </w:r>
      <w:r w:rsidR="003C643A">
        <w:rPr>
          <w:rFonts w:ascii="Arial" w:hAnsi="Arial" w:cs="Arial"/>
          <w:b/>
          <w:sz w:val="20"/>
        </w:rPr>
        <w:t>co-existence</w:t>
      </w:r>
    </w:p>
    <w:p w14:paraId="11EB0FC1" w14:textId="57649B62" w:rsidR="0064677E" w:rsidRPr="007B4093" w:rsidRDefault="0064677E" w:rsidP="0064677E">
      <w:pPr>
        <w:pStyle w:val="Style0"/>
        <w:rPr>
          <w:rFonts w:ascii="Arial" w:hAnsi="Arial" w:cs="Arial"/>
          <w:bCs/>
          <w:i/>
          <w:iCs/>
          <w:sz w:val="20"/>
          <w:szCs w:val="20"/>
        </w:rPr>
      </w:pPr>
      <w:r w:rsidRPr="00A64DBE">
        <w:rPr>
          <w:rFonts w:ascii="Arial" w:hAnsi="Arial" w:cs="Arial"/>
          <w:b/>
          <w:i/>
          <w:iCs/>
          <w:sz w:val="20"/>
          <w:szCs w:val="20"/>
        </w:rPr>
        <w:t>Proposal 2</w:t>
      </w:r>
      <w:r w:rsidRPr="007B4093">
        <w:rPr>
          <w:rFonts w:ascii="Arial" w:hAnsi="Arial" w:cs="Arial"/>
          <w:bCs/>
          <w:i/>
          <w:iCs/>
          <w:sz w:val="20"/>
          <w:szCs w:val="20"/>
        </w:rPr>
        <w:t>: RAN4 should study in simulations the impact of adjacent channel with the transmit power differences as observed in CBRS and C-band deployments</w:t>
      </w:r>
      <w:r w:rsidR="00B7138D">
        <w:rPr>
          <w:rFonts w:ascii="Arial" w:hAnsi="Arial" w:cs="Arial"/>
          <w:bCs/>
          <w:i/>
          <w:iCs/>
          <w:sz w:val="20"/>
          <w:szCs w:val="20"/>
        </w:rPr>
        <w:t>, using ref [3] assumptions.</w:t>
      </w:r>
    </w:p>
    <w:p w14:paraId="01C823D4" w14:textId="77777777" w:rsidR="0064677E" w:rsidRPr="00A64DBE" w:rsidRDefault="0064677E" w:rsidP="0064677E">
      <w:pPr>
        <w:pStyle w:val="Style0"/>
        <w:rPr>
          <w:rFonts w:ascii="Arial" w:hAnsi="Arial" w:cs="Arial"/>
          <w:bCs/>
          <w:i/>
          <w:iCs/>
          <w:sz w:val="20"/>
          <w:szCs w:val="20"/>
        </w:rPr>
      </w:pPr>
    </w:p>
    <w:p w14:paraId="76131EC8" w14:textId="620F06CD" w:rsidR="0064677E" w:rsidRPr="007B4093" w:rsidRDefault="0064677E" w:rsidP="0064677E">
      <w:pPr>
        <w:pStyle w:val="Style0"/>
        <w:rPr>
          <w:rFonts w:ascii="Arial" w:hAnsi="Arial" w:cs="Arial"/>
          <w:i/>
          <w:iCs/>
          <w:sz w:val="20"/>
          <w:szCs w:val="20"/>
        </w:rPr>
      </w:pPr>
      <w:r w:rsidRPr="00A64DBE">
        <w:rPr>
          <w:rFonts w:ascii="Arial" w:hAnsi="Arial" w:cs="Arial"/>
          <w:b/>
          <w:bCs/>
          <w:i/>
          <w:iCs/>
          <w:sz w:val="20"/>
          <w:szCs w:val="20"/>
        </w:rPr>
        <w:t xml:space="preserve">Proposal 3: </w:t>
      </w:r>
      <w:r w:rsidRPr="007B4093">
        <w:rPr>
          <w:rFonts w:ascii="Arial" w:hAnsi="Arial" w:cs="Arial"/>
          <w:i/>
          <w:iCs/>
          <w:sz w:val="20"/>
          <w:szCs w:val="20"/>
        </w:rPr>
        <w:t>RAN4 should study in simulations if the current Out-of-Band emission requirements are enough to limit the impact of an SBFD macro cell operating in C-band on its neighbor operating as micro cell in CBRS band</w:t>
      </w:r>
      <w:r w:rsidR="00B7138D">
        <w:rPr>
          <w:rFonts w:ascii="Arial" w:hAnsi="Arial" w:cs="Arial"/>
          <w:bCs/>
          <w:i/>
          <w:iCs/>
          <w:sz w:val="20"/>
          <w:szCs w:val="20"/>
        </w:rPr>
        <w:t>, using ref [3] assumptions.</w:t>
      </w:r>
    </w:p>
    <w:p w14:paraId="5690C349" w14:textId="77777777" w:rsidR="0064677E" w:rsidRPr="00836D5A" w:rsidRDefault="0064677E" w:rsidP="0064677E">
      <w:pPr>
        <w:pStyle w:val="Style0"/>
        <w:rPr>
          <w:rFonts w:ascii="Arial" w:hAnsi="Arial" w:cs="Arial"/>
          <w:sz w:val="20"/>
          <w:szCs w:val="20"/>
        </w:rPr>
      </w:pPr>
    </w:p>
    <w:p w14:paraId="0AA0B631" w14:textId="77777777" w:rsidR="0064677E" w:rsidRPr="00836D5A" w:rsidRDefault="0064677E" w:rsidP="0064677E">
      <w:pPr>
        <w:pStyle w:val="Style0"/>
        <w:rPr>
          <w:rFonts w:ascii="Arial" w:hAnsi="Arial" w:cs="Arial"/>
          <w:sz w:val="20"/>
          <w:szCs w:val="20"/>
        </w:rPr>
      </w:pPr>
      <w:r w:rsidRPr="00836D5A">
        <w:rPr>
          <w:rFonts w:ascii="Arial" w:hAnsi="Arial" w:cs="Arial"/>
          <w:sz w:val="20"/>
          <w:szCs w:val="20"/>
        </w:rPr>
        <w:t xml:space="preserve">Based on the above discussion </w:t>
      </w:r>
      <w:r>
        <w:rPr>
          <w:rFonts w:ascii="Arial" w:hAnsi="Arial" w:cs="Arial"/>
          <w:sz w:val="20"/>
          <w:szCs w:val="20"/>
        </w:rPr>
        <w:t>it is clear</w:t>
      </w:r>
      <w:r w:rsidRPr="00836D5A">
        <w:rPr>
          <w:rFonts w:ascii="Arial" w:hAnsi="Arial" w:cs="Arial"/>
          <w:sz w:val="20"/>
          <w:szCs w:val="20"/>
        </w:rPr>
        <w:t xml:space="preserve"> that there may be a severe impact of non-coordinated TDD/SBFD configuration and </w:t>
      </w:r>
      <w:r>
        <w:rPr>
          <w:rFonts w:ascii="Arial" w:hAnsi="Arial" w:cs="Arial"/>
          <w:sz w:val="20"/>
          <w:szCs w:val="20"/>
        </w:rPr>
        <w:t>it is evident that this impact</w:t>
      </w:r>
      <w:r w:rsidRPr="00836D5A">
        <w:rPr>
          <w:rFonts w:ascii="Arial" w:hAnsi="Arial" w:cs="Arial"/>
          <w:sz w:val="20"/>
          <w:szCs w:val="20"/>
        </w:rPr>
        <w:t xml:space="preserve"> may </w:t>
      </w:r>
      <w:r>
        <w:rPr>
          <w:rFonts w:ascii="Arial" w:hAnsi="Arial" w:cs="Arial"/>
          <w:sz w:val="20"/>
          <w:szCs w:val="20"/>
        </w:rPr>
        <w:t xml:space="preserve">also </w:t>
      </w:r>
      <w:r w:rsidRPr="00836D5A">
        <w:rPr>
          <w:rFonts w:ascii="Arial" w:hAnsi="Arial" w:cs="Arial"/>
          <w:sz w:val="20"/>
          <w:szCs w:val="20"/>
        </w:rPr>
        <w:t xml:space="preserve">be severe in co-channel interference scenario </w:t>
      </w:r>
      <w:r>
        <w:rPr>
          <w:rFonts w:ascii="Arial" w:hAnsi="Arial" w:cs="Arial"/>
          <w:sz w:val="20"/>
          <w:szCs w:val="20"/>
        </w:rPr>
        <w:t>if</w:t>
      </w:r>
      <w:r w:rsidRPr="00836D5A">
        <w:rPr>
          <w:rFonts w:ascii="Arial" w:hAnsi="Arial" w:cs="Arial"/>
          <w:sz w:val="20"/>
          <w:szCs w:val="20"/>
        </w:rPr>
        <w:t xml:space="preserve"> </w:t>
      </w:r>
      <w:r w:rsidRPr="00836D5A">
        <w:rPr>
          <w:rFonts w:ascii="Arial" w:hAnsi="Arial" w:cs="Arial"/>
          <w:noProof/>
          <w:sz w:val="20"/>
          <w:szCs w:val="20"/>
        </w:rPr>
        <w:t>gNBs</w:t>
      </w:r>
      <w:r w:rsidRPr="00836D5A">
        <w:rPr>
          <w:rFonts w:ascii="Arial" w:hAnsi="Arial" w:cs="Arial"/>
          <w:sz w:val="20"/>
          <w:szCs w:val="20"/>
        </w:rPr>
        <w:t xml:space="preserve"> </w:t>
      </w:r>
      <w:r>
        <w:rPr>
          <w:rFonts w:ascii="Arial" w:hAnsi="Arial" w:cs="Arial"/>
          <w:sz w:val="20"/>
          <w:szCs w:val="20"/>
        </w:rPr>
        <w:t>are allowed to</w:t>
      </w:r>
      <w:r w:rsidRPr="00836D5A">
        <w:rPr>
          <w:rFonts w:ascii="Arial" w:hAnsi="Arial" w:cs="Arial"/>
          <w:sz w:val="20"/>
          <w:szCs w:val="20"/>
        </w:rPr>
        <w:t xml:space="preserve"> dynamically switch the legacy TDD slot pattern to SBFD pattern</w:t>
      </w:r>
      <w:r>
        <w:rPr>
          <w:rFonts w:ascii="Arial" w:hAnsi="Arial" w:cs="Arial"/>
          <w:sz w:val="20"/>
          <w:szCs w:val="20"/>
        </w:rPr>
        <w:t xml:space="preserve"> without any coordination</w:t>
      </w:r>
      <w:r w:rsidRPr="00836D5A">
        <w:rPr>
          <w:rFonts w:ascii="Arial" w:hAnsi="Arial" w:cs="Arial"/>
          <w:sz w:val="20"/>
          <w:szCs w:val="20"/>
        </w:rPr>
        <w:t>.</w:t>
      </w:r>
    </w:p>
    <w:p w14:paraId="527A3424" w14:textId="77777777" w:rsidR="0064677E" w:rsidRPr="00836D5A" w:rsidRDefault="0064677E" w:rsidP="0064677E">
      <w:pPr>
        <w:pStyle w:val="Style0"/>
        <w:rPr>
          <w:rFonts w:ascii="Arial" w:hAnsi="Arial" w:cs="Arial"/>
          <w:sz w:val="20"/>
          <w:szCs w:val="20"/>
        </w:rPr>
      </w:pPr>
    </w:p>
    <w:p w14:paraId="352F27B7" w14:textId="77777777" w:rsidR="0064677E" w:rsidRPr="007B4093" w:rsidRDefault="0064677E" w:rsidP="0064677E">
      <w:pPr>
        <w:pStyle w:val="Style0"/>
        <w:rPr>
          <w:rFonts w:ascii="Arial" w:hAnsi="Arial" w:cs="Arial"/>
          <w:i/>
          <w:iCs/>
          <w:sz w:val="20"/>
          <w:szCs w:val="20"/>
        </w:rPr>
      </w:pPr>
      <w:r w:rsidRPr="00A64DBE">
        <w:rPr>
          <w:rFonts w:ascii="Arial" w:hAnsi="Arial" w:cs="Arial"/>
          <w:b/>
          <w:bCs/>
          <w:i/>
          <w:iCs/>
          <w:sz w:val="20"/>
          <w:szCs w:val="20"/>
        </w:rPr>
        <w:t xml:space="preserve">Proposal 4: </w:t>
      </w:r>
      <w:r w:rsidRPr="007B4093">
        <w:rPr>
          <w:rFonts w:ascii="Arial" w:hAnsi="Arial" w:cs="Arial"/>
          <w:i/>
          <w:iCs/>
          <w:sz w:val="20"/>
          <w:szCs w:val="20"/>
        </w:rPr>
        <w:t xml:space="preserve">RAN4 should study in simulations the impact of non-coordinated TDD and SBFD configurations in adjacent as well as co-channel interference studies. </w:t>
      </w:r>
    </w:p>
    <w:p w14:paraId="6D135AC3" w14:textId="77777777" w:rsidR="0064677E" w:rsidRPr="00A64DBE" w:rsidRDefault="0064677E" w:rsidP="0064677E">
      <w:pPr>
        <w:pStyle w:val="Style0"/>
        <w:rPr>
          <w:rFonts w:ascii="Arial" w:hAnsi="Arial" w:cs="Arial"/>
          <w:b/>
          <w:bCs/>
          <w:i/>
          <w:iCs/>
          <w:sz w:val="20"/>
          <w:szCs w:val="20"/>
        </w:rPr>
      </w:pPr>
    </w:p>
    <w:p w14:paraId="1A8DEF64" w14:textId="77777777" w:rsidR="0064677E" w:rsidRPr="007B4093" w:rsidRDefault="0064677E" w:rsidP="0064677E">
      <w:pPr>
        <w:pStyle w:val="Style0"/>
        <w:rPr>
          <w:rFonts w:ascii="Arial" w:hAnsi="Arial" w:cs="Arial"/>
          <w:sz w:val="20"/>
          <w:szCs w:val="20"/>
        </w:rPr>
      </w:pPr>
      <w:r w:rsidRPr="00A64DBE">
        <w:rPr>
          <w:rFonts w:ascii="Arial" w:hAnsi="Arial" w:cs="Arial"/>
          <w:b/>
          <w:bCs/>
          <w:i/>
          <w:iCs/>
          <w:sz w:val="20"/>
          <w:szCs w:val="20"/>
        </w:rPr>
        <w:lastRenderedPageBreak/>
        <w:t xml:space="preserve">Proposal 5: </w:t>
      </w:r>
      <w:r w:rsidRPr="007B4093">
        <w:rPr>
          <w:rFonts w:ascii="Arial" w:hAnsi="Arial" w:cs="Arial"/>
          <w:i/>
          <w:iCs/>
          <w:sz w:val="20"/>
          <w:szCs w:val="20"/>
        </w:rPr>
        <w:t xml:space="preserve">To limit the co-channel interference, RAN4 should limit the </w:t>
      </w:r>
      <w:proofErr w:type="spellStart"/>
      <w:r w:rsidRPr="007B4093">
        <w:rPr>
          <w:rFonts w:ascii="Arial" w:hAnsi="Arial" w:cs="Arial"/>
          <w:i/>
          <w:iCs/>
          <w:sz w:val="20"/>
          <w:szCs w:val="20"/>
        </w:rPr>
        <w:t>gNB</w:t>
      </w:r>
      <w:proofErr w:type="spellEnd"/>
      <w:r w:rsidRPr="007B4093">
        <w:rPr>
          <w:rFonts w:ascii="Arial" w:hAnsi="Arial" w:cs="Arial"/>
          <w:i/>
          <w:iCs/>
          <w:sz w:val="20"/>
          <w:szCs w:val="20"/>
        </w:rPr>
        <w:t xml:space="preserve"> capability to switching only downlink–type legacy TDD slots to SBFD slots while uplink TDD slots should operate in legacy TDD mode.</w:t>
      </w:r>
    </w:p>
    <w:p w14:paraId="6106CB16" w14:textId="77777777" w:rsidR="00B01B42" w:rsidRDefault="00B01B42">
      <w:pPr>
        <w:spacing w:after="180"/>
        <w:jc w:val="left"/>
      </w:pPr>
    </w:p>
    <w:p w14:paraId="5CA9F22B" w14:textId="77777777" w:rsidR="00EA3F38" w:rsidRPr="00BF34F7" w:rsidRDefault="00EA3F38">
      <w:pPr>
        <w:pStyle w:val="Char"/>
        <w:tabs>
          <w:tab w:val="clear" w:pos="1985"/>
          <w:tab w:val="left" w:pos="567"/>
        </w:tabs>
        <w:adjustRightInd w:val="0"/>
        <w:ind w:left="510" w:hanging="510"/>
        <w:rPr>
          <w:rFonts w:cs="Arial"/>
        </w:rPr>
      </w:pPr>
      <w:r w:rsidRPr="00BF34F7">
        <w:rPr>
          <w:rFonts w:cs="Arial"/>
        </w:rPr>
        <w:t>Conclusions</w:t>
      </w:r>
    </w:p>
    <w:p w14:paraId="58EF9DA8" w14:textId="5F03435D" w:rsidR="00D91B34" w:rsidRPr="00A64DBE" w:rsidRDefault="00D91B34" w:rsidP="00D91B34">
      <w:pPr>
        <w:pStyle w:val="Char"/>
        <w:numPr>
          <w:ilvl w:val="0"/>
          <w:numId w:val="0"/>
        </w:numPr>
        <w:rPr>
          <w:rFonts w:cs="Arial"/>
          <w:sz w:val="20"/>
          <w:szCs w:val="20"/>
        </w:rPr>
      </w:pPr>
      <w:r w:rsidRPr="00A64DBE">
        <w:rPr>
          <w:rFonts w:cs="Arial"/>
          <w:sz w:val="20"/>
          <w:szCs w:val="20"/>
        </w:rPr>
        <w:t xml:space="preserve">In this contribution, we discuss </w:t>
      </w:r>
      <w:r w:rsidRPr="00836D5A">
        <w:rPr>
          <w:rFonts w:cs="Arial"/>
          <w:sz w:val="20"/>
          <w:szCs w:val="20"/>
        </w:rPr>
        <w:t xml:space="preserve">the </w:t>
      </w:r>
      <w:r w:rsidRPr="00A64DBE">
        <w:rPr>
          <w:rFonts w:cs="Arial"/>
          <w:sz w:val="20"/>
          <w:szCs w:val="20"/>
        </w:rPr>
        <w:t xml:space="preserve">need to study NR duplex evolution using practical deployment networks in n48 and its adjacent bands, as n48 is </w:t>
      </w:r>
      <w:r>
        <w:rPr>
          <w:rFonts w:cs="Arial"/>
          <w:sz w:val="20"/>
          <w:szCs w:val="20"/>
        </w:rPr>
        <w:t xml:space="preserve">a </w:t>
      </w:r>
      <w:r w:rsidRPr="00A64DBE">
        <w:rPr>
          <w:rFonts w:cs="Arial"/>
          <w:sz w:val="20"/>
          <w:szCs w:val="20"/>
        </w:rPr>
        <w:t xml:space="preserve">band of interest for a lot of operators.  </w:t>
      </w:r>
      <w:r>
        <w:rPr>
          <w:rFonts w:cs="Arial"/>
          <w:sz w:val="20"/>
          <w:szCs w:val="20"/>
        </w:rPr>
        <w:br/>
      </w:r>
      <w:r w:rsidRPr="00A64DBE">
        <w:rPr>
          <w:rFonts w:cs="Arial"/>
          <w:sz w:val="20"/>
          <w:szCs w:val="20"/>
        </w:rPr>
        <w:t>Following are our observations and proposals:</w:t>
      </w:r>
    </w:p>
    <w:p w14:paraId="7B801AA8" w14:textId="77777777" w:rsidR="00D91B34" w:rsidRPr="007B4093" w:rsidRDefault="00D91B34" w:rsidP="00D91B34">
      <w:pPr>
        <w:rPr>
          <w:rFonts w:ascii="Arial" w:hAnsi="Arial" w:cs="Arial"/>
          <w:i/>
          <w:iCs/>
          <w:sz w:val="20"/>
          <w:szCs w:val="20"/>
        </w:rPr>
      </w:pPr>
      <w:r w:rsidRPr="00A64DBE">
        <w:rPr>
          <w:rFonts w:ascii="Arial" w:hAnsi="Arial" w:cs="Arial"/>
          <w:b/>
          <w:bCs/>
          <w:i/>
          <w:iCs/>
          <w:sz w:val="20"/>
          <w:szCs w:val="20"/>
        </w:rPr>
        <w:t>Observation 1</w:t>
      </w:r>
      <w:r w:rsidRPr="007B4093">
        <w:rPr>
          <w:rFonts w:ascii="Arial" w:hAnsi="Arial" w:cs="Arial"/>
          <w:i/>
          <w:iCs/>
          <w:sz w:val="20"/>
          <w:szCs w:val="20"/>
        </w:rPr>
        <w:t xml:space="preserve">: CBRS band may suffer from CLI caused by its neighbor bands as the regulations may allow devices to transmit at higher power in these neighbor bands and there is no guard band separating CBRS from these bands.  This CLI will affect </w:t>
      </w:r>
      <w:r w:rsidRPr="007B4093">
        <w:rPr>
          <w:rFonts w:ascii="Arial" w:hAnsi="Arial" w:cs="Arial"/>
          <w:i/>
          <w:iCs/>
          <w:noProof/>
          <w:sz w:val="20"/>
          <w:szCs w:val="20"/>
        </w:rPr>
        <w:t>gNBs</w:t>
      </w:r>
      <w:r w:rsidRPr="007B4093">
        <w:rPr>
          <w:rFonts w:ascii="Arial" w:hAnsi="Arial" w:cs="Arial"/>
          <w:i/>
          <w:iCs/>
          <w:sz w:val="20"/>
          <w:szCs w:val="20"/>
        </w:rPr>
        <w:t xml:space="preserve"> as well as UEs in the networks operating in CBRS band.</w:t>
      </w:r>
    </w:p>
    <w:p w14:paraId="7C8B9D0F" w14:textId="77777777" w:rsidR="00D91B34" w:rsidRPr="00836D5A" w:rsidRDefault="00D91B34" w:rsidP="00D91B34">
      <w:pPr>
        <w:pStyle w:val="Style0"/>
        <w:rPr>
          <w:rFonts w:ascii="Arial" w:hAnsi="Arial" w:cs="Arial"/>
          <w:sz w:val="20"/>
          <w:szCs w:val="20"/>
        </w:rPr>
      </w:pPr>
    </w:p>
    <w:p w14:paraId="1315365F" w14:textId="77777777" w:rsidR="00D91B34" w:rsidRPr="007B4093" w:rsidRDefault="00D91B34" w:rsidP="00D91B34">
      <w:pPr>
        <w:rPr>
          <w:rFonts w:ascii="Arial" w:hAnsi="Arial" w:cs="Arial"/>
          <w:sz w:val="20"/>
          <w:szCs w:val="20"/>
        </w:rPr>
      </w:pPr>
      <w:r w:rsidRPr="00A64DBE">
        <w:rPr>
          <w:rFonts w:ascii="Arial" w:hAnsi="Arial" w:cs="Arial"/>
          <w:b/>
          <w:bCs/>
          <w:i/>
          <w:iCs/>
          <w:sz w:val="20"/>
          <w:szCs w:val="20"/>
        </w:rPr>
        <w:t xml:space="preserve">Observation 2: </w:t>
      </w:r>
      <w:r w:rsidRPr="007B4093">
        <w:rPr>
          <w:rFonts w:ascii="Arial" w:hAnsi="Arial" w:cs="Arial"/>
          <w:i/>
          <w:iCs/>
          <w:sz w:val="20"/>
          <w:szCs w:val="20"/>
        </w:rPr>
        <w:t>The permitted frequency placement of SBFD deployment(s) and the non-coordinated TDD configurations within these sub-bands of n77 will impact the CLI inflicted on legacy networks.</w:t>
      </w:r>
    </w:p>
    <w:p w14:paraId="2FD39FF9" w14:textId="77777777" w:rsidR="00D91B34" w:rsidRPr="00836D5A" w:rsidRDefault="00D91B34" w:rsidP="00D91B34">
      <w:pPr>
        <w:pStyle w:val="Style0"/>
        <w:rPr>
          <w:rFonts w:ascii="Arial" w:hAnsi="Arial" w:cs="Arial"/>
          <w:sz w:val="20"/>
          <w:szCs w:val="20"/>
        </w:rPr>
      </w:pPr>
    </w:p>
    <w:p w14:paraId="64ACD58B" w14:textId="0289BA4B" w:rsidR="00D91B34" w:rsidRPr="00A64DBE" w:rsidRDefault="00D91B34" w:rsidP="00D91B34">
      <w:pPr>
        <w:rPr>
          <w:rFonts w:ascii="Arial" w:hAnsi="Arial" w:cs="Arial"/>
          <w:b/>
          <w:bCs/>
          <w:i/>
          <w:iCs/>
          <w:sz w:val="20"/>
          <w:szCs w:val="20"/>
        </w:rPr>
      </w:pPr>
      <w:r w:rsidRPr="00A64DBE">
        <w:rPr>
          <w:rFonts w:ascii="Arial" w:hAnsi="Arial" w:cs="Arial"/>
          <w:b/>
          <w:bCs/>
          <w:i/>
          <w:iCs/>
          <w:sz w:val="20"/>
          <w:szCs w:val="20"/>
        </w:rPr>
        <w:t xml:space="preserve">Proposal 1: </w:t>
      </w:r>
      <w:r w:rsidRPr="007B4093">
        <w:rPr>
          <w:rFonts w:ascii="Arial" w:hAnsi="Arial" w:cs="Arial"/>
          <w:i/>
          <w:iCs/>
          <w:sz w:val="20"/>
          <w:szCs w:val="20"/>
        </w:rPr>
        <w:t>It is desirable to study the effect of CLI caused by SBFD networks to legacy TDD networks in adjacent bands using the allowed, worst–case transmit power differences and regulatory OOB emission requirements between CBRS and its adjacent bands (AMBIT and/or C-band) as reference</w:t>
      </w:r>
      <w:r w:rsidR="00B7138D">
        <w:rPr>
          <w:rFonts w:ascii="Arial" w:hAnsi="Arial" w:cs="Arial"/>
          <w:bCs/>
          <w:i/>
          <w:iCs/>
          <w:sz w:val="20"/>
          <w:szCs w:val="20"/>
        </w:rPr>
        <w:t>, using ref [3] assumptions.</w:t>
      </w:r>
    </w:p>
    <w:p w14:paraId="55891747" w14:textId="77777777" w:rsidR="00D91B34" w:rsidRPr="00836D5A" w:rsidRDefault="00D91B34" w:rsidP="00D91B34">
      <w:pPr>
        <w:pStyle w:val="Style0"/>
        <w:rPr>
          <w:rFonts w:ascii="Arial" w:hAnsi="Arial" w:cs="Arial"/>
          <w:sz w:val="20"/>
          <w:szCs w:val="20"/>
        </w:rPr>
      </w:pPr>
    </w:p>
    <w:p w14:paraId="074EDA36" w14:textId="705AA2A0" w:rsidR="00D91B34" w:rsidRPr="00A64DBE" w:rsidRDefault="00D91B34" w:rsidP="00D91B34">
      <w:pPr>
        <w:pStyle w:val="Style0"/>
        <w:rPr>
          <w:rFonts w:ascii="Arial" w:hAnsi="Arial" w:cs="Arial"/>
          <w:b/>
          <w:i/>
          <w:iCs/>
          <w:sz w:val="20"/>
          <w:szCs w:val="20"/>
        </w:rPr>
      </w:pPr>
      <w:r w:rsidRPr="00A64DBE">
        <w:rPr>
          <w:rFonts w:ascii="Arial" w:hAnsi="Arial" w:cs="Arial"/>
          <w:b/>
          <w:i/>
          <w:iCs/>
          <w:sz w:val="20"/>
          <w:szCs w:val="20"/>
        </w:rPr>
        <w:t xml:space="preserve">Proposal 2: </w:t>
      </w:r>
      <w:r w:rsidRPr="007B4093">
        <w:rPr>
          <w:rFonts w:ascii="Arial" w:hAnsi="Arial" w:cs="Arial"/>
          <w:bCs/>
          <w:i/>
          <w:iCs/>
          <w:sz w:val="20"/>
          <w:szCs w:val="20"/>
        </w:rPr>
        <w:t>RAN4 should study in simulations the impact of adjacent channel with the transmit power differences as observed in CBRS and C-band deployments</w:t>
      </w:r>
      <w:r w:rsidR="00B7138D">
        <w:rPr>
          <w:rFonts w:ascii="Arial" w:hAnsi="Arial" w:cs="Arial"/>
          <w:bCs/>
          <w:i/>
          <w:iCs/>
          <w:sz w:val="20"/>
          <w:szCs w:val="20"/>
        </w:rPr>
        <w:t>, using ref [3] assumptions.</w:t>
      </w:r>
    </w:p>
    <w:p w14:paraId="7715EDCE" w14:textId="77777777" w:rsidR="00D91B34" w:rsidRPr="00A64DBE" w:rsidRDefault="00D91B34" w:rsidP="00D91B34">
      <w:pPr>
        <w:pStyle w:val="Style0"/>
        <w:rPr>
          <w:rFonts w:ascii="Arial" w:hAnsi="Arial" w:cs="Arial"/>
          <w:bCs/>
          <w:i/>
          <w:iCs/>
          <w:sz w:val="20"/>
          <w:szCs w:val="20"/>
        </w:rPr>
      </w:pPr>
    </w:p>
    <w:p w14:paraId="1F50EDC7" w14:textId="77777777" w:rsidR="00D91B34" w:rsidRPr="00A64DBE" w:rsidRDefault="00D91B34" w:rsidP="00D91B34">
      <w:pPr>
        <w:pStyle w:val="Style0"/>
        <w:rPr>
          <w:rFonts w:ascii="Arial" w:hAnsi="Arial" w:cs="Arial"/>
          <w:b/>
          <w:bCs/>
          <w:i/>
          <w:iCs/>
          <w:sz w:val="20"/>
          <w:szCs w:val="20"/>
        </w:rPr>
      </w:pPr>
      <w:r w:rsidRPr="00A64DBE">
        <w:rPr>
          <w:rFonts w:ascii="Arial" w:hAnsi="Arial" w:cs="Arial"/>
          <w:b/>
          <w:bCs/>
          <w:i/>
          <w:iCs/>
          <w:sz w:val="20"/>
          <w:szCs w:val="20"/>
        </w:rPr>
        <w:t xml:space="preserve">Proposal 3: </w:t>
      </w:r>
      <w:r w:rsidRPr="007B4093">
        <w:rPr>
          <w:rFonts w:ascii="Arial" w:hAnsi="Arial" w:cs="Arial"/>
          <w:i/>
          <w:iCs/>
          <w:sz w:val="20"/>
          <w:szCs w:val="20"/>
        </w:rPr>
        <w:t>RAN4 should study in simulations if the current Out-of-Band emission requirements are enough to limit the impact of an SBFD macro cell operating in C-band on its neighbor operating as micro cell in CBRS band</w:t>
      </w:r>
    </w:p>
    <w:p w14:paraId="7EBE9B2B" w14:textId="77777777" w:rsidR="00D91B34" w:rsidRPr="00836D5A" w:rsidRDefault="00D91B34" w:rsidP="00D91B34">
      <w:pPr>
        <w:pStyle w:val="Style0"/>
        <w:rPr>
          <w:rFonts w:ascii="Arial" w:hAnsi="Arial" w:cs="Arial"/>
          <w:sz w:val="20"/>
          <w:szCs w:val="20"/>
        </w:rPr>
      </w:pPr>
    </w:p>
    <w:p w14:paraId="7153C371" w14:textId="77777777" w:rsidR="00D91B34" w:rsidRPr="00A64DBE" w:rsidRDefault="00D91B34" w:rsidP="00D91B34">
      <w:pPr>
        <w:pStyle w:val="Style0"/>
        <w:rPr>
          <w:rFonts w:ascii="Arial" w:hAnsi="Arial" w:cs="Arial"/>
          <w:b/>
          <w:bCs/>
          <w:i/>
          <w:iCs/>
          <w:sz w:val="20"/>
          <w:szCs w:val="20"/>
        </w:rPr>
      </w:pPr>
      <w:r w:rsidRPr="00A64DBE">
        <w:rPr>
          <w:rFonts w:ascii="Arial" w:hAnsi="Arial" w:cs="Arial"/>
          <w:b/>
          <w:bCs/>
          <w:i/>
          <w:iCs/>
          <w:sz w:val="20"/>
          <w:szCs w:val="20"/>
        </w:rPr>
        <w:t xml:space="preserve">Proposal 4: </w:t>
      </w:r>
      <w:r w:rsidRPr="007B4093">
        <w:rPr>
          <w:rFonts w:ascii="Arial" w:hAnsi="Arial" w:cs="Arial"/>
          <w:i/>
          <w:iCs/>
          <w:sz w:val="20"/>
          <w:szCs w:val="20"/>
        </w:rPr>
        <w:t>RAN4 should study in simulations the impact of non-coordinated TDD and SBFD configurations in adjacent as well as co-channel interference studies.</w:t>
      </w:r>
      <w:r w:rsidRPr="00A64DBE">
        <w:rPr>
          <w:rFonts w:ascii="Arial" w:hAnsi="Arial" w:cs="Arial"/>
          <w:b/>
          <w:bCs/>
          <w:i/>
          <w:iCs/>
          <w:sz w:val="20"/>
          <w:szCs w:val="20"/>
        </w:rPr>
        <w:t xml:space="preserve"> </w:t>
      </w:r>
    </w:p>
    <w:p w14:paraId="357DCBF3" w14:textId="77777777" w:rsidR="00D91B34" w:rsidRPr="00836D5A" w:rsidRDefault="00D91B34" w:rsidP="00D91B34">
      <w:pPr>
        <w:pStyle w:val="Style0"/>
        <w:rPr>
          <w:rFonts w:ascii="Arial" w:hAnsi="Arial" w:cs="Arial"/>
          <w:b/>
          <w:bCs/>
          <w:i/>
          <w:iCs/>
          <w:sz w:val="20"/>
          <w:szCs w:val="20"/>
        </w:rPr>
      </w:pPr>
    </w:p>
    <w:p w14:paraId="4DD8296F" w14:textId="3605F388" w:rsidR="00756356" w:rsidRDefault="00D91B34" w:rsidP="00D91B34">
      <w:pPr>
        <w:pStyle w:val="Style0"/>
        <w:rPr>
          <w:rFonts w:ascii="Arial" w:hAnsi="Arial" w:cs="Arial"/>
          <w:bCs/>
          <w:sz w:val="20"/>
          <w:szCs w:val="20"/>
        </w:rPr>
      </w:pPr>
      <w:r w:rsidRPr="00836D5A">
        <w:rPr>
          <w:rFonts w:ascii="Arial" w:hAnsi="Arial" w:cs="Arial"/>
          <w:b/>
          <w:bCs/>
          <w:i/>
          <w:iCs/>
          <w:sz w:val="20"/>
          <w:szCs w:val="20"/>
        </w:rPr>
        <w:t xml:space="preserve">Proposal 5: </w:t>
      </w:r>
      <w:r w:rsidRPr="007B4093">
        <w:rPr>
          <w:rFonts w:ascii="Arial" w:hAnsi="Arial" w:cs="Arial"/>
          <w:i/>
          <w:iCs/>
          <w:sz w:val="20"/>
          <w:szCs w:val="20"/>
        </w:rPr>
        <w:t xml:space="preserve">To limit the co-channel interference, RAN4 should limit the </w:t>
      </w:r>
      <w:r w:rsidRPr="007B4093">
        <w:rPr>
          <w:rFonts w:ascii="Arial" w:hAnsi="Arial" w:cs="Arial"/>
          <w:i/>
          <w:iCs/>
          <w:noProof/>
          <w:sz w:val="20"/>
          <w:szCs w:val="20"/>
        </w:rPr>
        <w:t>gNB</w:t>
      </w:r>
      <w:r w:rsidRPr="007B4093">
        <w:rPr>
          <w:rFonts w:ascii="Arial" w:hAnsi="Arial" w:cs="Arial"/>
          <w:i/>
          <w:iCs/>
          <w:sz w:val="20"/>
          <w:szCs w:val="20"/>
        </w:rPr>
        <w:t xml:space="preserve"> capability to switching only downlink-type legacy TDD slots to SBFD slots while uplink TDD slots should operate in legacy TDD mode.</w:t>
      </w:r>
    </w:p>
    <w:p w14:paraId="008C9652" w14:textId="77777777" w:rsidR="006C3591" w:rsidRDefault="006C3591" w:rsidP="006C3591">
      <w:pPr>
        <w:spacing w:after="180"/>
        <w:jc w:val="left"/>
      </w:pPr>
    </w:p>
    <w:p w14:paraId="78BA5CBD" w14:textId="77777777" w:rsidR="00EA3F38" w:rsidRPr="00BF34F7" w:rsidRDefault="00EA3F38">
      <w:pPr>
        <w:pStyle w:val="Char"/>
        <w:tabs>
          <w:tab w:val="clear" w:pos="1985"/>
          <w:tab w:val="left" w:pos="567"/>
        </w:tabs>
        <w:adjustRightInd w:val="0"/>
        <w:ind w:left="510" w:hanging="510"/>
        <w:rPr>
          <w:rFonts w:cs="Arial"/>
        </w:rPr>
      </w:pPr>
      <w:r w:rsidRPr="00BF34F7">
        <w:rPr>
          <w:rFonts w:cs="Arial"/>
        </w:rPr>
        <w:t>References</w:t>
      </w:r>
    </w:p>
    <w:p w14:paraId="2BE69909" w14:textId="77777777" w:rsidR="006405CB" w:rsidRDefault="00BA4E99" w:rsidP="001B6B13">
      <w:pPr>
        <w:spacing w:after="180"/>
        <w:jc w:val="left"/>
        <w:rPr>
          <w:rFonts w:ascii="Arial" w:hAnsi="Arial" w:cs="Arial"/>
          <w:sz w:val="20"/>
        </w:rPr>
      </w:pPr>
      <w:r w:rsidRPr="001B6B13">
        <w:rPr>
          <w:rFonts w:ascii="Arial" w:hAnsi="Arial" w:cs="Arial"/>
          <w:sz w:val="20"/>
        </w:rPr>
        <w:t xml:space="preserve">[1] </w:t>
      </w:r>
      <w:r w:rsidR="00F0422D" w:rsidRPr="00F0422D">
        <w:rPr>
          <w:rFonts w:ascii="Arial" w:hAnsi="Arial" w:cs="Arial"/>
          <w:sz w:val="20"/>
        </w:rPr>
        <w:t>R4-2220246 WF for adjacent channel co-existence evaluation of SBFD operation_v16_moderator_Eri.doc</w:t>
      </w:r>
    </w:p>
    <w:p w14:paraId="3F0A4F1B" w14:textId="450055F0" w:rsidR="00172CA1" w:rsidRPr="00B7138D" w:rsidRDefault="006405CB" w:rsidP="001B6B13">
      <w:pPr>
        <w:spacing w:after="180"/>
        <w:jc w:val="left"/>
        <w:rPr>
          <w:rFonts w:ascii="Arial" w:hAnsi="Arial" w:cs="Arial"/>
          <w:sz w:val="20"/>
        </w:rPr>
      </w:pPr>
      <w:r>
        <w:rPr>
          <w:rFonts w:ascii="Arial" w:hAnsi="Arial" w:cs="Arial"/>
          <w:sz w:val="20"/>
        </w:rPr>
        <w:t>[2]</w:t>
      </w:r>
      <w:r w:rsidR="00B7138D">
        <w:rPr>
          <w:rFonts w:ascii="Arial" w:hAnsi="Arial" w:cs="Arial"/>
          <w:sz w:val="20"/>
        </w:rPr>
        <w:t xml:space="preserve"> </w:t>
      </w:r>
      <w:r w:rsidR="006B5E76" w:rsidRPr="006B5E76">
        <w:rPr>
          <w:rFonts w:ascii="Arial" w:hAnsi="Arial" w:cs="Arial"/>
          <w:sz w:val="20"/>
        </w:rPr>
        <w:t>R4-2220247</w:t>
      </w:r>
      <w:r w:rsidR="006B5E76">
        <w:rPr>
          <w:rFonts w:ascii="Arial" w:hAnsi="Arial" w:cs="Arial"/>
          <w:sz w:val="20"/>
        </w:rPr>
        <w:t xml:space="preserve"> </w:t>
      </w:r>
      <w:r w:rsidR="006B5E76" w:rsidRPr="006B5E76">
        <w:rPr>
          <w:rFonts w:ascii="Arial" w:hAnsi="Arial" w:cs="Arial"/>
          <w:sz w:val="20"/>
        </w:rPr>
        <w:t>Simulation assumptions for SBFD adjacent channel co-existence study</w:t>
      </w:r>
      <w:r w:rsidR="00B91851" w:rsidRPr="00BA4E99">
        <w:rPr>
          <w:sz w:val="20"/>
          <w:szCs w:val="20"/>
          <w:highlight w:val="yellow"/>
          <w:lang w:val="pt-BR"/>
        </w:rPr>
        <w:br/>
      </w:r>
      <w:r w:rsidR="00B7138D" w:rsidRPr="00B7138D">
        <w:rPr>
          <w:rFonts w:ascii="Arial" w:hAnsi="Arial" w:cs="Arial"/>
          <w:sz w:val="20"/>
        </w:rPr>
        <w:t>[3]</w:t>
      </w:r>
      <w:r w:rsidR="00B7138D">
        <w:rPr>
          <w:rFonts w:ascii="Arial" w:hAnsi="Arial" w:cs="Arial"/>
          <w:sz w:val="20"/>
        </w:rPr>
        <w:t xml:space="preserve"> </w:t>
      </w:r>
      <w:r w:rsidR="00B7138D" w:rsidRPr="00B7138D">
        <w:rPr>
          <w:rFonts w:ascii="Arial" w:hAnsi="Arial" w:cs="Arial"/>
          <w:sz w:val="20"/>
        </w:rPr>
        <w:t>R4-2300143 Simulation assumptions for SBFD adjacent channel coexistence study on macro-to-micro scenario</w:t>
      </w:r>
    </w:p>
    <w:sectPr w:rsidR="00172CA1" w:rsidRPr="00B7138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243D3" w14:textId="77777777" w:rsidR="001238F7" w:rsidRDefault="001238F7">
      <w:r>
        <w:separator/>
      </w:r>
    </w:p>
  </w:endnote>
  <w:endnote w:type="continuationSeparator" w:id="0">
    <w:p w14:paraId="4CC0B28C" w14:textId="77777777" w:rsidR="001238F7" w:rsidRDefault="0012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C0863" w14:textId="77777777" w:rsidR="001238F7" w:rsidRDefault="001238F7">
      <w:r>
        <w:separator/>
      </w:r>
    </w:p>
  </w:footnote>
  <w:footnote w:type="continuationSeparator" w:id="0">
    <w:p w14:paraId="13DCB4F4" w14:textId="77777777" w:rsidR="001238F7" w:rsidRDefault="00123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E80E" w14:textId="77777777" w:rsidR="00EA3F38" w:rsidRDefault="00EA3F38">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C8981B54"/>
    <w:lvl w:ilvl="0">
      <w:start w:val="1"/>
      <w:numFmt w:val="decimal"/>
      <w:suff w:val="space"/>
      <w:lvlText w:val="[%1]"/>
      <w:lvlJc w:val="left"/>
      <w:rPr>
        <w:b w:val="0"/>
        <w:sz w:val="20"/>
        <w:szCs w:val="20"/>
      </w:rPr>
    </w:lvl>
  </w:abstractNum>
  <w:abstractNum w:abstractNumId="1" w15:restartNumberingAfterBreak="0">
    <w:nsid w:val="0A6E4770"/>
    <w:multiLevelType w:val="hybridMultilevel"/>
    <w:tmpl w:val="26B8B7D0"/>
    <w:lvl w:ilvl="0" w:tplc="361E8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30EE2"/>
    <w:multiLevelType w:val="hybridMultilevel"/>
    <w:tmpl w:val="45924208"/>
    <w:lvl w:ilvl="0" w:tplc="BD5E55A6">
      <w:start w:val="1"/>
      <w:numFmt w:val="bullet"/>
      <w:lvlText w:val=""/>
      <w:lvlJc w:val="left"/>
      <w:pPr>
        <w:tabs>
          <w:tab w:val="num" w:pos="720"/>
        </w:tabs>
        <w:ind w:left="720" w:hanging="360"/>
      </w:pPr>
      <w:rPr>
        <w:rFonts w:ascii="Wingdings" w:hAnsi="Wingdings" w:hint="default"/>
      </w:rPr>
    </w:lvl>
    <w:lvl w:ilvl="1" w:tplc="5DA029B8" w:tentative="1">
      <w:start w:val="1"/>
      <w:numFmt w:val="bullet"/>
      <w:lvlText w:val=""/>
      <w:lvlJc w:val="left"/>
      <w:pPr>
        <w:tabs>
          <w:tab w:val="num" w:pos="1440"/>
        </w:tabs>
        <w:ind w:left="1440" w:hanging="360"/>
      </w:pPr>
      <w:rPr>
        <w:rFonts w:ascii="Wingdings" w:hAnsi="Wingdings" w:hint="default"/>
      </w:rPr>
    </w:lvl>
    <w:lvl w:ilvl="2" w:tplc="02469AA0">
      <w:start w:val="1"/>
      <w:numFmt w:val="bullet"/>
      <w:lvlText w:val=""/>
      <w:lvlJc w:val="left"/>
      <w:pPr>
        <w:tabs>
          <w:tab w:val="num" w:pos="2160"/>
        </w:tabs>
        <w:ind w:left="2160" w:hanging="360"/>
      </w:pPr>
      <w:rPr>
        <w:rFonts w:ascii="Wingdings" w:hAnsi="Wingdings" w:hint="default"/>
      </w:rPr>
    </w:lvl>
    <w:lvl w:ilvl="3" w:tplc="91D66A62" w:tentative="1">
      <w:start w:val="1"/>
      <w:numFmt w:val="bullet"/>
      <w:lvlText w:val=""/>
      <w:lvlJc w:val="left"/>
      <w:pPr>
        <w:tabs>
          <w:tab w:val="num" w:pos="2880"/>
        </w:tabs>
        <w:ind w:left="2880" w:hanging="360"/>
      </w:pPr>
      <w:rPr>
        <w:rFonts w:ascii="Wingdings" w:hAnsi="Wingdings" w:hint="default"/>
      </w:rPr>
    </w:lvl>
    <w:lvl w:ilvl="4" w:tplc="89CCC676" w:tentative="1">
      <w:start w:val="1"/>
      <w:numFmt w:val="bullet"/>
      <w:lvlText w:val=""/>
      <w:lvlJc w:val="left"/>
      <w:pPr>
        <w:tabs>
          <w:tab w:val="num" w:pos="3600"/>
        </w:tabs>
        <w:ind w:left="3600" w:hanging="360"/>
      </w:pPr>
      <w:rPr>
        <w:rFonts w:ascii="Wingdings" w:hAnsi="Wingdings" w:hint="default"/>
      </w:rPr>
    </w:lvl>
    <w:lvl w:ilvl="5" w:tplc="2F8445C6" w:tentative="1">
      <w:start w:val="1"/>
      <w:numFmt w:val="bullet"/>
      <w:lvlText w:val=""/>
      <w:lvlJc w:val="left"/>
      <w:pPr>
        <w:tabs>
          <w:tab w:val="num" w:pos="4320"/>
        </w:tabs>
        <w:ind w:left="4320" w:hanging="360"/>
      </w:pPr>
      <w:rPr>
        <w:rFonts w:ascii="Wingdings" w:hAnsi="Wingdings" w:hint="default"/>
      </w:rPr>
    </w:lvl>
    <w:lvl w:ilvl="6" w:tplc="4C20CB28" w:tentative="1">
      <w:start w:val="1"/>
      <w:numFmt w:val="bullet"/>
      <w:lvlText w:val=""/>
      <w:lvlJc w:val="left"/>
      <w:pPr>
        <w:tabs>
          <w:tab w:val="num" w:pos="5040"/>
        </w:tabs>
        <w:ind w:left="5040" w:hanging="360"/>
      </w:pPr>
      <w:rPr>
        <w:rFonts w:ascii="Wingdings" w:hAnsi="Wingdings" w:hint="default"/>
      </w:rPr>
    </w:lvl>
    <w:lvl w:ilvl="7" w:tplc="3DAEC1A8" w:tentative="1">
      <w:start w:val="1"/>
      <w:numFmt w:val="bullet"/>
      <w:lvlText w:val=""/>
      <w:lvlJc w:val="left"/>
      <w:pPr>
        <w:tabs>
          <w:tab w:val="num" w:pos="5760"/>
        </w:tabs>
        <w:ind w:left="5760" w:hanging="360"/>
      </w:pPr>
      <w:rPr>
        <w:rFonts w:ascii="Wingdings" w:hAnsi="Wingdings" w:hint="default"/>
      </w:rPr>
    </w:lvl>
    <w:lvl w:ilvl="8" w:tplc="DDAA82F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42D67"/>
    <w:multiLevelType w:val="hybridMultilevel"/>
    <w:tmpl w:val="12E08A84"/>
    <w:lvl w:ilvl="0" w:tplc="6F1615C8">
      <w:start w:val="1"/>
      <w:numFmt w:val="bullet"/>
      <w:lvlText w:val="•"/>
      <w:lvlJc w:val="left"/>
      <w:pPr>
        <w:tabs>
          <w:tab w:val="num" w:pos="720"/>
        </w:tabs>
        <w:ind w:left="720" w:hanging="360"/>
      </w:pPr>
      <w:rPr>
        <w:rFonts w:ascii="Arial" w:hAnsi="Arial" w:hint="default"/>
      </w:rPr>
    </w:lvl>
    <w:lvl w:ilvl="1" w:tplc="D88049EA">
      <w:start w:val="1"/>
      <w:numFmt w:val="bullet"/>
      <w:lvlText w:val="•"/>
      <w:lvlJc w:val="left"/>
      <w:pPr>
        <w:tabs>
          <w:tab w:val="num" w:pos="1440"/>
        </w:tabs>
        <w:ind w:left="1440" w:hanging="360"/>
      </w:pPr>
      <w:rPr>
        <w:rFonts w:ascii="Arial" w:hAnsi="Arial" w:hint="default"/>
      </w:rPr>
    </w:lvl>
    <w:lvl w:ilvl="2" w:tplc="FD345408" w:tentative="1">
      <w:start w:val="1"/>
      <w:numFmt w:val="bullet"/>
      <w:lvlText w:val="•"/>
      <w:lvlJc w:val="left"/>
      <w:pPr>
        <w:tabs>
          <w:tab w:val="num" w:pos="2160"/>
        </w:tabs>
        <w:ind w:left="2160" w:hanging="360"/>
      </w:pPr>
      <w:rPr>
        <w:rFonts w:ascii="Arial" w:hAnsi="Arial" w:hint="default"/>
      </w:rPr>
    </w:lvl>
    <w:lvl w:ilvl="3" w:tplc="18F4BD4A" w:tentative="1">
      <w:start w:val="1"/>
      <w:numFmt w:val="bullet"/>
      <w:lvlText w:val="•"/>
      <w:lvlJc w:val="left"/>
      <w:pPr>
        <w:tabs>
          <w:tab w:val="num" w:pos="2880"/>
        </w:tabs>
        <w:ind w:left="2880" w:hanging="360"/>
      </w:pPr>
      <w:rPr>
        <w:rFonts w:ascii="Arial" w:hAnsi="Arial" w:hint="default"/>
      </w:rPr>
    </w:lvl>
    <w:lvl w:ilvl="4" w:tplc="67AE1CC6" w:tentative="1">
      <w:start w:val="1"/>
      <w:numFmt w:val="bullet"/>
      <w:lvlText w:val="•"/>
      <w:lvlJc w:val="left"/>
      <w:pPr>
        <w:tabs>
          <w:tab w:val="num" w:pos="3600"/>
        </w:tabs>
        <w:ind w:left="3600" w:hanging="360"/>
      </w:pPr>
      <w:rPr>
        <w:rFonts w:ascii="Arial" w:hAnsi="Arial" w:hint="default"/>
      </w:rPr>
    </w:lvl>
    <w:lvl w:ilvl="5" w:tplc="3C4C98A0" w:tentative="1">
      <w:start w:val="1"/>
      <w:numFmt w:val="bullet"/>
      <w:lvlText w:val="•"/>
      <w:lvlJc w:val="left"/>
      <w:pPr>
        <w:tabs>
          <w:tab w:val="num" w:pos="4320"/>
        </w:tabs>
        <w:ind w:left="4320" w:hanging="360"/>
      </w:pPr>
      <w:rPr>
        <w:rFonts w:ascii="Arial" w:hAnsi="Arial" w:hint="default"/>
      </w:rPr>
    </w:lvl>
    <w:lvl w:ilvl="6" w:tplc="980808A6" w:tentative="1">
      <w:start w:val="1"/>
      <w:numFmt w:val="bullet"/>
      <w:lvlText w:val="•"/>
      <w:lvlJc w:val="left"/>
      <w:pPr>
        <w:tabs>
          <w:tab w:val="num" w:pos="5040"/>
        </w:tabs>
        <w:ind w:left="5040" w:hanging="360"/>
      </w:pPr>
      <w:rPr>
        <w:rFonts w:ascii="Arial" w:hAnsi="Arial" w:hint="default"/>
      </w:rPr>
    </w:lvl>
    <w:lvl w:ilvl="7" w:tplc="0B26F234" w:tentative="1">
      <w:start w:val="1"/>
      <w:numFmt w:val="bullet"/>
      <w:lvlText w:val="•"/>
      <w:lvlJc w:val="left"/>
      <w:pPr>
        <w:tabs>
          <w:tab w:val="num" w:pos="5760"/>
        </w:tabs>
        <w:ind w:left="5760" w:hanging="360"/>
      </w:pPr>
      <w:rPr>
        <w:rFonts w:ascii="Arial" w:hAnsi="Arial" w:hint="default"/>
      </w:rPr>
    </w:lvl>
    <w:lvl w:ilvl="8" w:tplc="4BAC9D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562658E"/>
    <w:multiLevelType w:val="singleLevel"/>
    <w:tmpl w:val="7562658E"/>
    <w:lvl w:ilvl="0">
      <w:start w:val="1"/>
      <w:numFmt w:val="decimal"/>
      <w:suff w:val="space"/>
      <w:lvlText w:val="%1)"/>
      <w:lvlJc w:val="left"/>
    </w:lvl>
  </w:abstractNum>
  <w:abstractNum w:abstractNumId="7"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7"/>
  </w:num>
  <w:num w:numId="5">
    <w:abstractNumId w:val="3"/>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75F"/>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2B3"/>
    <w:rsid w:val="00007445"/>
    <w:rsid w:val="00007769"/>
    <w:rsid w:val="00007A7F"/>
    <w:rsid w:val="00007FF3"/>
    <w:rsid w:val="000100CC"/>
    <w:rsid w:val="0001042D"/>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10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2E59"/>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44"/>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3DDA"/>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660C"/>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BBD"/>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5A8"/>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C7ED2"/>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990"/>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9C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4D2"/>
    <w:rsid w:val="001005B6"/>
    <w:rsid w:val="00100CB5"/>
    <w:rsid w:val="00100E60"/>
    <w:rsid w:val="00100F9D"/>
    <w:rsid w:val="0010108A"/>
    <w:rsid w:val="0010108E"/>
    <w:rsid w:val="0010111E"/>
    <w:rsid w:val="0010115C"/>
    <w:rsid w:val="001016CE"/>
    <w:rsid w:val="00101DE5"/>
    <w:rsid w:val="0010215C"/>
    <w:rsid w:val="0010228A"/>
    <w:rsid w:val="001024B9"/>
    <w:rsid w:val="00102590"/>
    <w:rsid w:val="00102D0F"/>
    <w:rsid w:val="00102D64"/>
    <w:rsid w:val="001030AB"/>
    <w:rsid w:val="00103186"/>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30"/>
    <w:rsid w:val="001178C4"/>
    <w:rsid w:val="0011799B"/>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38F7"/>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191"/>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07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CA1"/>
    <w:rsid w:val="00172E2E"/>
    <w:rsid w:val="001739B8"/>
    <w:rsid w:val="00173C65"/>
    <w:rsid w:val="00173CC9"/>
    <w:rsid w:val="0017424B"/>
    <w:rsid w:val="00174429"/>
    <w:rsid w:val="0017461C"/>
    <w:rsid w:val="00174F8F"/>
    <w:rsid w:val="00175250"/>
    <w:rsid w:val="00175BC1"/>
    <w:rsid w:val="00176179"/>
    <w:rsid w:val="0017619A"/>
    <w:rsid w:val="001761EE"/>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37"/>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345"/>
    <w:rsid w:val="00186463"/>
    <w:rsid w:val="00186CAE"/>
    <w:rsid w:val="001872B6"/>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19B"/>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6B13"/>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CCB"/>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117"/>
    <w:rsid w:val="001F03C6"/>
    <w:rsid w:val="001F05A6"/>
    <w:rsid w:val="001F08B2"/>
    <w:rsid w:val="001F0C00"/>
    <w:rsid w:val="001F1C33"/>
    <w:rsid w:val="001F282C"/>
    <w:rsid w:val="001F2DA4"/>
    <w:rsid w:val="001F301A"/>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677"/>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290"/>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73"/>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240"/>
    <w:rsid w:val="0027536D"/>
    <w:rsid w:val="0027555F"/>
    <w:rsid w:val="00275771"/>
    <w:rsid w:val="00275875"/>
    <w:rsid w:val="00275A4F"/>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573"/>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4F0"/>
    <w:rsid w:val="00295513"/>
    <w:rsid w:val="00295701"/>
    <w:rsid w:val="00295F12"/>
    <w:rsid w:val="00295F25"/>
    <w:rsid w:val="0029624B"/>
    <w:rsid w:val="002963D0"/>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A5D"/>
    <w:rsid w:val="002D2E7A"/>
    <w:rsid w:val="002D2F5B"/>
    <w:rsid w:val="002D31F0"/>
    <w:rsid w:val="002D3323"/>
    <w:rsid w:val="002D3E0F"/>
    <w:rsid w:val="002D4140"/>
    <w:rsid w:val="002D41CF"/>
    <w:rsid w:val="002D4226"/>
    <w:rsid w:val="002D441C"/>
    <w:rsid w:val="002D45D5"/>
    <w:rsid w:val="002D4DD4"/>
    <w:rsid w:val="002D51A8"/>
    <w:rsid w:val="002D5231"/>
    <w:rsid w:val="002D52A2"/>
    <w:rsid w:val="002D52B2"/>
    <w:rsid w:val="002D5986"/>
    <w:rsid w:val="002D6192"/>
    <w:rsid w:val="002D6AB3"/>
    <w:rsid w:val="002D6BC0"/>
    <w:rsid w:val="002D6D4D"/>
    <w:rsid w:val="002D73D4"/>
    <w:rsid w:val="002D7412"/>
    <w:rsid w:val="002E024A"/>
    <w:rsid w:val="002E0447"/>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0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E93"/>
    <w:rsid w:val="00311F9A"/>
    <w:rsid w:val="00312069"/>
    <w:rsid w:val="00312F48"/>
    <w:rsid w:val="00313971"/>
    <w:rsid w:val="003140B4"/>
    <w:rsid w:val="00314513"/>
    <w:rsid w:val="003149DC"/>
    <w:rsid w:val="003149F8"/>
    <w:rsid w:val="00315B5E"/>
    <w:rsid w:val="00315D4A"/>
    <w:rsid w:val="00315F4E"/>
    <w:rsid w:val="0031629F"/>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699"/>
    <w:rsid w:val="003308B0"/>
    <w:rsid w:val="00330A38"/>
    <w:rsid w:val="003314B3"/>
    <w:rsid w:val="00331538"/>
    <w:rsid w:val="003318C6"/>
    <w:rsid w:val="0033210D"/>
    <w:rsid w:val="0033214B"/>
    <w:rsid w:val="0033216B"/>
    <w:rsid w:val="003323F7"/>
    <w:rsid w:val="0033298D"/>
    <w:rsid w:val="00332DE2"/>
    <w:rsid w:val="00332E00"/>
    <w:rsid w:val="00333353"/>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1F"/>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C82"/>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DA4"/>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56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942"/>
    <w:rsid w:val="003A2E75"/>
    <w:rsid w:val="003A2FA5"/>
    <w:rsid w:val="003A3436"/>
    <w:rsid w:val="003A3B4B"/>
    <w:rsid w:val="003A3BD4"/>
    <w:rsid w:val="003A3D38"/>
    <w:rsid w:val="003A3D54"/>
    <w:rsid w:val="003A4046"/>
    <w:rsid w:val="003A4101"/>
    <w:rsid w:val="003A41F8"/>
    <w:rsid w:val="003A53F7"/>
    <w:rsid w:val="003A5445"/>
    <w:rsid w:val="003A5518"/>
    <w:rsid w:val="003A585C"/>
    <w:rsid w:val="003A5D06"/>
    <w:rsid w:val="003A5FE2"/>
    <w:rsid w:val="003A5FFF"/>
    <w:rsid w:val="003A611D"/>
    <w:rsid w:val="003A6816"/>
    <w:rsid w:val="003A7CEE"/>
    <w:rsid w:val="003A7F4E"/>
    <w:rsid w:val="003B059C"/>
    <w:rsid w:val="003B0C7C"/>
    <w:rsid w:val="003B1EEB"/>
    <w:rsid w:val="003B2225"/>
    <w:rsid w:val="003B2783"/>
    <w:rsid w:val="003B28E3"/>
    <w:rsid w:val="003B2E9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643A"/>
    <w:rsid w:val="003C7224"/>
    <w:rsid w:val="003C7472"/>
    <w:rsid w:val="003C7688"/>
    <w:rsid w:val="003C77E5"/>
    <w:rsid w:val="003C7805"/>
    <w:rsid w:val="003C7851"/>
    <w:rsid w:val="003C7886"/>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6AB"/>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2D42"/>
    <w:rsid w:val="003F3906"/>
    <w:rsid w:val="003F3EB0"/>
    <w:rsid w:val="003F410B"/>
    <w:rsid w:val="003F529D"/>
    <w:rsid w:val="003F5593"/>
    <w:rsid w:val="003F56AE"/>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3BAB"/>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4EF9"/>
    <w:rsid w:val="00434F40"/>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48AA"/>
    <w:rsid w:val="004448EB"/>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540"/>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659"/>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0020"/>
    <w:rsid w:val="00471438"/>
    <w:rsid w:val="00471C4F"/>
    <w:rsid w:val="00471EBE"/>
    <w:rsid w:val="00472048"/>
    <w:rsid w:val="004721CF"/>
    <w:rsid w:val="00472C42"/>
    <w:rsid w:val="00472E24"/>
    <w:rsid w:val="0047370D"/>
    <w:rsid w:val="004741AB"/>
    <w:rsid w:val="00474318"/>
    <w:rsid w:val="004745E2"/>
    <w:rsid w:val="0047495B"/>
    <w:rsid w:val="00474FF3"/>
    <w:rsid w:val="00475507"/>
    <w:rsid w:val="00475718"/>
    <w:rsid w:val="004759F9"/>
    <w:rsid w:val="00475EE9"/>
    <w:rsid w:val="004763D3"/>
    <w:rsid w:val="004766D1"/>
    <w:rsid w:val="00476916"/>
    <w:rsid w:val="00476B67"/>
    <w:rsid w:val="00476E51"/>
    <w:rsid w:val="00476F6A"/>
    <w:rsid w:val="00477577"/>
    <w:rsid w:val="00477796"/>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1ED"/>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6DF3"/>
    <w:rsid w:val="004A73E3"/>
    <w:rsid w:val="004A76A6"/>
    <w:rsid w:val="004A7EF0"/>
    <w:rsid w:val="004B021B"/>
    <w:rsid w:val="004B0EC5"/>
    <w:rsid w:val="004B10C4"/>
    <w:rsid w:val="004B183D"/>
    <w:rsid w:val="004B184E"/>
    <w:rsid w:val="004B21FA"/>
    <w:rsid w:val="004B299F"/>
    <w:rsid w:val="004B3250"/>
    <w:rsid w:val="004B3787"/>
    <w:rsid w:val="004B380F"/>
    <w:rsid w:val="004B3E48"/>
    <w:rsid w:val="004B42B1"/>
    <w:rsid w:val="004B4D40"/>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9C1"/>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3E07"/>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0D42"/>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07771"/>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B88"/>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E3C"/>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3F1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622"/>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BF"/>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52D"/>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692"/>
    <w:rsid w:val="005A2E52"/>
    <w:rsid w:val="005A3B2E"/>
    <w:rsid w:val="005A3D06"/>
    <w:rsid w:val="005A3E33"/>
    <w:rsid w:val="005A421E"/>
    <w:rsid w:val="005A447F"/>
    <w:rsid w:val="005A4AD3"/>
    <w:rsid w:val="005A50F2"/>
    <w:rsid w:val="005A6AEE"/>
    <w:rsid w:val="005A702C"/>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1E8F"/>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71F"/>
    <w:rsid w:val="005C4CE8"/>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1DCA"/>
    <w:rsid w:val="005D21BF"/>
    <w:rsid w:val="005D2C92"/>
    <w:rsid w:val="005D2D9D"/>
    <w:rsid w:val="005D2DD6"/>
    <w:rsid w:val="005D393F"/>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80A"/>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28B"/>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292"/>
    <w:rsid w:val="00632414"/>
    <w:rsid w:val="00632B26"/>
    <w:rsid w:val="00632BCE"/>
    <w:rsid w:val="00632C8A"/>
    <w:rsid w:val="00632E4D"/>
    <w:rsid w:val="00633185"/>
    <w:rsid w:val="00633234"/>
    <w:rsid w:val="006333CF"/>
    <w:rsid w:val="00633497"/>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5CB"/>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77E"/>
    <w:rsid w:val="006468E7"/>
    <w:rsid w:val="006475BB"/>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0A5"/>
    <w:rsid w:val="0066065A"/>
    <w:rsid w:val="00660D0A"/>
    <w:rsid w:val="00660F7E"/>
    <w:rsid w:val="006612C4"/>
    <w:rsid w:val="0066140E"/>
    <w:rsid w:val="0066165A"/>
    <w:rsid w:val="006616D7"/>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3FD8"/>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36B"/>
    <w:rsid w:val="00680A1D"/>
    <w:rsid w:val="00680ADD"/>
    <w:rsid w:val="00680DC9"/>
    <w:rsid w:val="00681581"/>
    <w:rsid w:val="00681BBB"/>
    <w:rsid w:val="0068210C"/>
    <w:rsid w:val="00682AE2"/>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962"/>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A09"/>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1F4B"/>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045"/>
    <w:rsid w:val="006B5552"/>
    <w:rsid w:val="006B59E9"/>
    <w:rsid w:val="006B5C18"/>
    <w:rsid w:val="006B5E76"/>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591"/>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6FC1"/>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E6F02"/>
    <w:rsid w:val="006F0221"/>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1D53"/>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284"/>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01C"/>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7BF"/>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1EF4"/>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08A"/>
    <w:rsid w:val="00756356"/>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051"/>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A7C"/>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2D"/>
    <w:rsid w:val="00796EB4"/>
    <w:rsid w:val="00796FD5"/>
    <w:rsid w:val="00797093"/>
    <w:rsid w:val="0079717E"/>
    <w:rsid w:val="0079781F"/>
    <w:rsid w:val="0079796A"/>
    <w:rsid w:val="00797D25"/>
    <w:rsid w:val="007A00D7"/>
    <w:rsid w:val="007A070F"/>
    <w:rsid w:val="007A0C68"/>
    <w:rsid w:val="007A102A"/>
    <w:rsid w:val="007A1867"/>
    <w:rsid w:val="007A2029"/>
    <w:rsid w:val="007A2982"/>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05C"/>
    <w:rsid w:val="007B0481"/>
    <w:rsid w:val="007B07E3"/>
    <w:rsid w:val="007B0C20"/>
    <w:rsid w:val="007B0FD5"/>
    <w:rsid w:val="007B110C"/>
    <w:rsid w:val="007B11E7"/>
    <w:rsid w:val="007B1B6C"/>
    <w:rsid w:val="007B2345"/>
    <w:rsid w:val="007B2C67"/>
    <w:rsid w:val="007B2CE9"/>
    <w:rsid w:val="007B2E1D"/>
    <w:rsid w:val="007B3429"/>
    <w:rsid w:val="007B3B66"/>
    <w:rsid w:val="007B3EF8"/>
    <w:rsid w:val="007B3F2A"/>
    <w:rsid w:val="007B4093"/>
    <w:rsid w:val="007B46BD"/>
    <w:rsid w:val="007B4750"/>
    <w:rsid w:val="007B55A1"/>
    <w:rsid w:val="007B5925"/>
    <w:rsid w:val="007B5E32"/>
    <w:rsid w:val="007B6D3E"/>
    <w:rsid w:val="007B6D7E"/>
    <w:rsid w:val="007B6F47"/>
    <w:rsid w:val="007B74D1"/>
    <w:rsid w:val="007B78ED"/>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6F5C"/>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1F4"/>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1D2"/>
    <w:rsid w:val="00842C61"/>
    <w:rsid w:val="00842DF9"/>
    <w:rsid w:val="00842E3E"/>
    <w:rsid w:val="00842FA2"/>
    <w:rsid w:val="00842FE7"/>
    <w:rsid w:val="00843415"/>
    <w:rsid w:val="0084349A"/>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0F7D"/>
    <w:rsid w:val="0088121E"/>
    <w:rsid w:val="00881ACE"/>
    <w:rsid w:val="00881FB0"/>
    <w:rsid w:val="00882123"/>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A98"/>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094"/>
    <w:rsid w:val="008B6156"/>
    <w:rsid w:val="008B656B"/>
    <w:rsid w:val="008B668D"/>
    <w:rsid w:val="008B6823"/>
    <w:rsid w:val="008B69D2"/>
    <w:rsid w:val="008B6A9E"/>
    <w:rsid w:val="008B7585"/>
    <w:rsid w:val="008B771A"/>
    <w:rsid w:val="008B7981"/>
    <w:rsid w:val="008B7EC1"/>
    <w:rsid w:val="008C04C7"/>
    <w:rsid w:val="008C134D"/>
    <w:rsid w:val="008C1360"/>
    <w:rsid w:val="008C1531"/>
    <w:rsid w:val="008C160F"/>
    <w:rsid w:val="008C1E8B"/>
    <w:rsid w:val="008C2892"/>
    <w:rsid w:val="008C28EE"/>
    <w:rsid w:val="008C35C4"/>
    <w:rsid w:val="008C3638"/>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6FFE"/>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285"/>
    <w:rsid w:val="008D593C"/>
    <w:rsid w:val="008D59B1"/>
    <w:rsid w:val="008D5E8E"/>
    <w:rsid w:val="008D6C7E"/>
    <w:rsid w:val="008D714B"/>
    <w:rsid w:val="008D74A2"/>
    <w:rsid w:val="008D7E54"/>
    <w:rsid w:val="008D7E7D"/>
    <w:rsid w:val="008D7EEE"/>
    <w:rsid w:val="008D7F21"/>
    <w:rsid w:val="008E0221"/>
    <w:rsid w:val="008E05F5"/>
    <w:rsid w:val="008E069E"/>
    <w:rsid w:val="008E0935"/>
    <w:rsid w:val="008E0A92"/>
    <w:rsid w:val="008E14B2"/>
    <w:rsid w:val="008E16E0"/>
    <w:rsid w:val="008E18AF"/>
    <w:rsid w:val="008E1E9D"/>
    <w:rsid w:val="008E2050"/>
    <w:rsid w:val="008E21AB"/>
    <w:rsid w:val="008E2E0C"/>
    <w:rsid w:val="008E2F97"/>
    <w:rsid w:val="008E3441"/>
    <w:rsid w:val="008E3459"/>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0EA"/>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0B3C"/>
    <w:rsid w:val="0093103B"/>
    <w:rsid w:val="009312AA"/>
    <w:rsid w:val="009313B0"/>
    <w:rsid w:val="00931700"/>
    <w:rsid w:val="009320DA"/>
    <w:rsid w:val="009320DD"/>
    <w:rsid w:val="00932485"/>
    <w:rsid w:val="009331FE"/>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52"/>
    <w:rsid w:val="00942496"/>
    <w:rsid w:val="009426A4"/>
    <w:rsid w:val="009428C5"/>
    <w:rsid w:val="00942E95"/>
    <w:rsid w:val="0094309A"/>
    <w:rsid w:val="009436CF"/>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B1F"/>
    <w:rsid w:val="00955FF5"/>
    <w:rsid w:val="0095611F"/>
    <w:rsid w:val="0095641D"/>
    <w:rsid w:val="00957344"/>
    <w:rsid w:val="00957381"/>
    <w:rsid w:val="00957575"/>
    <w:rsid w:val="009576C1"/>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8F0"/>
    <w:rsid w:val="00967C96"/>
    <w:rsid w:val="009703B6"/>
    <w:rsid w:val="009704AB"/>
    <w:rsid w:val="00970636"/>
    <w:rsid w:val="0097074C"/>
    <w:rsid w:val="00970D6D"/>
    <w:rsid w:val="00970EF8"/>
    <w:rsid w:val="009711A5"/>
    <w:rsid w:val="009715C0"/>
    <w:rsid w:val="009719CC"/>
    <w:rsid w:val="00972322"/>
    <w:rsid w:val="009725F1"/>
    <w:rsid w:val="00972822"/>
    <w:rsid w:val="009728C5"/>
    <w:rsid w:val="00972DF5"/>
    <w:rsid w:val="00972E20"/>
    <w:rsid w:val="0097317D"/>
    <w:rsid w:val="009731D1"/>
    <w:rsid w:val="00973255"/>
    <w:rsid w:val="009736C1"/>
    <w:rsid w:val="00973E8A"/>
    <w:rsid w:val="0097441E"/>
    <w:rsid w:val="00974622"/>
    <w:rsid w:val="009746F3"/>
    <w:rsid w:val="0097482C"/>
    <w:rsid w:val="00975187"/>
    <w:rsid w:val="0097539A"/>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259"/>
    <w:rsid w:val="0098751F"/>
    <w:rsid w:val="00987654"/>
    <w:rsid w:val="00987832"/>
    <w:rsid w:val="009879AF"/>
    <w:rsid w:val="00987C58"/>
    <w:rsid w:val="00987C6D"/>
    <w:rsid w:val="00987E53"/>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B1"/>
    <w:rsid w:val="009A75EB"/>
    <w:rsid w:val="009A79B7"/>
    <w:rsid w:val="009B052E"/>
    <w:rsid w:val="009B0C82"/>
    <w:rsid w:val="009B0C8A"/>
    <w:rsid w:val="009B123F"/>
    <w:rsid w:val="009B146A"/>
    <w:rsid w:val="009B15D6"/>
    <w:rsid w:val="009B17CF"/>
    <w:rsid w:val="009B1E1A"/>
    <w:rsid w:val="009B2119"/>
    <w:rsid w:val="009B21EB"/>
    <w:rsid w:val="009B238C"/>
    <w:rsid w:val="009B24B8"/>
    <w:rsid w:val="009B2A23"/>
    <w:rsid w:val="009B3468"/>
    <w:rsid w:val="009B3799"/>
    <w:rsid w:val="009B38D3"/>
    <w:rsid w:val="009B3B98"/>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432"/>
    <w:rsid w:val="009C073F"/>
    <w:rsid w:val="009C07E1"/>
    <w:rsid w:val="009C0ABF"/>
    <w:rsid w:val="009C0FF4"/>
    <w:rsid w:val="009C127F"/>
    <w:rsid w:val="009C1484"/>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C8"/>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323"/>
    <w:rsid w:val="009D4905"/>
    <w:rsid w:val="009D4961"/>
    <w:rsid w:val="009D4A8B"/>
    <w:rsid w:val="009D4C4D"/>
    <w:rsid w:val="009D4C9E"/>
    <w:rsid w:val="009D4F53"/>
    <w:rsid w:val="009D5458"/>
    <w:rsid w:val="009D61B8"/>
    <w:rsid w:val="009D6276"/>
    <w:rsid w:val="009D6389"/>
    <w:rsid w:val="009D67A0"/>
    <w:rsid w:val="009D6C7E"/>
    <w:rsid w:val="009D6D97"/>
    <w:rsid w:val="009D720D"/>
    <w:rsid w:val="009D77FC"/>
    <w:rsid w:val="009D7B91"/>
    <w:rsid w:val="009D7D12"/>
    <w:rsid w:val="009E008D"/>
    <w:rsid w:val="009E021D"/>
    <w:rsid w:val="009E0B3A"/>
    <w:rsid w:val="009E0BF4"/>
    <w:rsid w:val="009E0C4D"/>
    <w:rsid w:val="009E1112"/>
    <w:rsid w:val="009E1334"/>
    <w:rsid w:val="009E1704"/>
    <w:rsid w:val="009E1DEF"/>
    <w:rsid w:val="009E1E59"/>
    <w:rsid w:val="009E21B8"/>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C6D"/>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89C"/>
    <w:rsid w:val="00A11E33"/>
    <w:rsid w:val="00A11F04"/>
    <w:rsid w:val="00A12022"/>
    <w:rsid w:val="00A121B3"/>
    <w:rsid w:val="00A12AF8"/>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D37"/>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892"/>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BDB"/>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3DA5"/>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B3A"/>
    <w:rsid w:val="00A96DB1"/>
    <w:rsid w:val="00A9718E"/>
    <w:rsid w:val="00A971C9"/>
    <w:rsid w:val="00A97B42"/>
    <w:rsid w:val="00AA017E"/>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73"/>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430"/>
    <w:rsid w:val="00AF0626"/>
    <w:rsid w:val="00AF093C"/>
    <w:rsid w:val="00AF0B5C"/>
    <w:rsid w:val="00AF0CA8"/>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1B42"/>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13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2C"/>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2FDA"/>
    <w:rsid w:val="00B3300D"/>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BC"/>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02D"/>
    <w:rsid w:val="00B56249"/>
    <w:rsid w:val="00B562CB"/>
    <w:rsid w:val="00B5704E"/>
    <w:rsid w:val="00B5709D"/>
    <w:rsid w:val="00B5737D"/>
    <w:rsid w:val="00B57488"/>
    <w:rsid w:val="00B57518"/>
    <w:rsid w:val="00B57C19"/>
    <w:rsid w:val="00B57C72"/>
    <w:rsid w:val="00B6010E"/>
    <w:rsid w:val="00B60693"/>
    <w:rsid w:val="00B60CE2"/>
    <w:rsid w:val="00B611EC"/>
    <w:rsid w:val="00B61334"/>
    <w:rsid w:val="00B6136F"/>
    <w:rsid w:val="00B6163A"/>
    <w:rsid w:val="00B61D56"/>
    <w:rsid w:val="00B6213C"/>
    <w:rsid w:val="00B6262C"/>
    <w:rsid w:val="00B627C5"/>
    <w:rsid w:val="00B63483"/>
    <w:rsid w:val="00B63578"/>
    <w:rsid w:val="00B63B39"/>
    <w:rsid w:val="00B650C4"/>
    <w:rsid w:val="00B653AC"/>
    <w:rsid w:val="00B6577D"/>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38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0DED"/>
    <w:rsid w:val="00B8154D"/>
    <w:rsid w:val="00B8205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05B"/>
    <w:rsid w:val="00B87368"/>
    <w:rsid w:val="00B87B72"/>
    <w:rsid w:val="00B901B0"/>
    <w:rsid w:val="00B901E1"/>
    <w:rsid w:val="00B90800"/>
    <w:rsid w:val="00B90F61"/>
    <w:rsid w:val="00B90FD1"/>
    <w:rsid w:val="00B910F4"/>
    <w:rsid w:val="00B916FC"/>
    <w:rsid w:val="00B91737"/>
    <w:rsid w:val="00B91851"/>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DE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4E99"/>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70F"/>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27E"/>
    <w:rsid w:val="00BC062E"/>
    <w:rsid w:val="00BC0950"/>
    <w:rsid w:val="00BC0BB0"/>
    <w:rsid w:val="00BC0DF2"/>
    <w:rsid w:val="00BC1360"/>
    <w:rsid w:val="00BC178D"/>
    <w:rsid w:val="00BC1825"/>
    <w:rsid w:val="00BC2688"/>
    <w:rsid w:val="00BC2A02"/>
    <w:rsid w:val="00BC2BEB"/>
    <w:rsid w:val="00BC313E"/>
    <w:rsid w:val="00BC3291"/>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9C"/>
    <w:rsid w:val="00BD01C3"/>
    <w:rsid w:val="00BD02F7"/>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392"/>
    <w:rsid w:val="00BE7B09"/>
    <w:rsid w:val="00BE7B41"/>
    <w:rsid w:val="00BE7BA5"/>
    <w:rsid w:val="00BF05D2"/>
    <w:rsid w:val="00BF0897"/>
    <w:rsid w:val="00BF1549"/>
    <w:rsid w:val="00BF1BF0"/>
    <w:rsid w:val="00BF1CE4"/>
    <w:rsid w:val="00BF1E99"/>
    <w:rsid w:val="00BF1FBC"/>
    <w:rsid w:val="00BF23E4"/>
    <w:rsid w:val="00BF23F2"/>
    <w:rsid w:val="00BF2CFF"/>
    <w:rsid w:val="00BF2EB7"/>
    <w:rsid w:val="00BF310A"/>
    <w:rsid w:val="00BF34F7"/>
    <w:rsid w:val="00BF3A21"/>
    <w:rsid w:val="00BF3FFB"/>
    <w:rsid w:val="00BF4455"/>
    <w:rsid w:val="00BF4A94"/>
    <w:rsid w:val="00BF4ED1"/>
    <w:rsid w:val="00BF55A8"/>
    <w:rsid w:val="00BF5650"/>
    <w:rsid w:val="00BF5999"/>
    <w:rsid w:val="00BF5BB2"/>
    <w:rsid w:val="00BF5DCD"/>
    <w:rsid w:val="00BF69D3"/>
    <w:rsid w:val="00BF6D25"/>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9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7F7"/>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6F9B"/>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2C14"/>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5A"/>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5DEE"/>
    <w:rsid w:val="00C9661C"/>
    <w:rsid w:val="00C966E8"/>
    <w:rsid w:val="00C967CC"/>
    <w:rsid w:val="00C967E2"/>
    <w:rsid w:val="00C96853"/>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983"/>
    <w:rsid w:val="00CA2AC7"/>
    <w:rsid w:val="00CA2BE9"/>
    <w:rsid w:val="00CA30AE"/>
    <w:rsid w:val="00CA30F8"/>
    <w:rsid w:val="00CA33CD"/>
    <w:rsid w:val="00CA35AD"/>
    <w:rsid w:val="00CA36D3"/>
    <w:rsid w:val="00CA3996"/>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715"/>
    <w:rsid w:val="00CA7AAB"/>
    <w:rsid w:val="00CA7BE8"/>
    <w:rsid w:val="00CB02D9"/>
    <w:rsid w:val="00CB0835"/>
    <w:rsid w:val="00CB1562"/>
    <w:rsid w:val="00CB2D75"/>
    <w:rsid w:val="00CB3424"/>
    <w:rsid w:val="00CB3A93"/>
    <w:rsid w:val="00CB42D8"/>
    <w:rsid w:val="00CB4345"/>
    <w:rsid w:val="00CB46DA"/>
    <w:rsid w:val="00CB4E4F"/>
    <w:rsid w:val="00CB4E70"/>
    <w:rsid w:val="00CB58C3"/>
    <w:rsid w:val="00CB59BB"/>
    <w:rsid w:val="00CB5FE0"/>
    <w:rsid w:val="00CB65CE"/>
    <w:rsid w:val="00CB6B96"/>
    <w:rsid w:val="00CB6C57"/>
    <w:rsid w:val="00CB6ED3"/>
    <w:rsid w:val="00CB7224"/>
    <w:rsid w:val="00CB75E0"/>
    <w:rsid w:val="00CB7969"/>
    <w:rsid w:val="00CB79D2"/>
    <w:rsid w:val="00CB7A50"/>
    <w:rsid w:val="00CC0091"/>
    <w:rsid w:val="00CC00F8"/>
    <w:rsid w:val="00CC0644"/>
    <w:rsid w:val="00CC09B3"/>
    <w:rsid w:val="00CC0B3B"/>
    <w:rsid w:val="00CC12A2"/>
    <w:rsid w:val="00CC135F"/>
    <w:rsid w:val="00CC16A9"/>
    <w:rsid w:val="00CC183A"/>
    <w:rsid w:val="00CC2368"/>
    <w:rsid w:val="00CC23BD"/>
    <w:rsid w:val="00CC27EF"/>
    <w:rsid w:val="00CC2B49"/>
    <w:rsid w:val="00CC2D83"/>
    <w:rsid w:val="00CC2E63"/>
    <w:rsid w:val="00CC2F1C"/>
    <w:rsid w:val="00CC2F97"/>
    <w:rsid w:val="00CC30E4"/>
    <w:rsid w:val="00CC316B"/>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2FD6"/>
    <w:rsid w:val="00CD3791"/>
    <w:rsid w:val="00CD3829"/>
    <w:rsid w:val="00CD3EEF"/>
    <w:rsid w:val="00CD4159"/>
    <w:rsid w:val="00CD416A"/>
    <w:rsid w:val="00CD4E3E"/>
    <w:rsid w:val="00CD555E"/>
    <w:rsid w:val="00CD5ACD"/>
    <w:rsid w:val="00CD5CBD"/>
    <w:rsid w:val="00CD5D37"/>
    <w:rsid w:val="00CD5E7E"/>
    <w:rsid w:val="00CD61AD"/>
    <w:rsid w:val="00CD6709"/>
    <w:rsid w:val="00CD6720"/>
    <w:rsid w:val="00CD69CF"/>
    <w:rsid w:val="00CD6BD3"/>
    <w:rsid w:val="00CD6CF1"/>
    <w:rsid w:val="00CD70FD"/>
    <w:rsid w:val="00CD76CC"/>
    <w:rsid w:val="00CD7858"/>
    <w:rsid w:val="00CD7B80"/>
    <w:rsid w:val="00CD7C11"/>
    <w:rsid w:val="00CD7F05"/>
    <w:rsid w:val="00CE021F"/>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4E46"/>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E7FDF"/>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3B0"/>
    <w:rsid w:val="00CF56C0"/>
    <w:rsid w:val="00CF5776"/>
    <w:rsid w:val="00CF5A68"/>
    <w:rsid w:val="00CF5ACF"/>
    <w:rsid w:val="00CF5D1D"/>
    <w:rsid w:val="00CF603C"/>
    <w:rsid w:val="00CF6190"/>
    <w:rsid w:val="00CF6AEE"/>
    <w:rsid w:val="00CF766F"/>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25F"/>
    <w:rsid w:val="00D05A99"/>
    <w:rsid w:val="00D05EAF"/>
    <w:rsid w:val="00D05F91"/>
    <w:rsid w:val="00D0675B"/>
    <w:rsid w:val="00D06B5E"/>
    <w:rsid w:val="00D07236"/>
    <w:rsid w:val="00D072A9"/>
    <w:rsid w:val="00D0757E"/>
    <w:rsid w:val="00D07CC2"/>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56E"/>
    <w:rsid w:val="00D13707"/>
    <w:rsid w:val="00D1394C"/>
    <w:rsid w:val="00D13A8B"/>
    <w:rsid w:val="00D14349"/>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1C6"/>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7F5"/>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5DB"/>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7A3"/>
    <w:rsid w:val="00D6694A"/>
    <w:rsid w:val="00D66ECD"/>
    <w:rsid w:val="00D677AA"/>
    <w:rsid w:val="00D704A2"/>
    <w:rsid w:val="00D70580"/>
    <w:rsid w:val="00D70633"/>
    <w:rsid w:val="00D7090C"/>
    <w:rsid w:val="00D70A03"/>
    <w:rsid w:val="00D70C3F"/>
    <w:rsid w:val="00D710AA"/>
    <w:rsid w:val="00D710D6"/>
    <w:rsid w:val="00D71DAB"/>
    <w:rsid w:val="00D72528"/>
    <w:rsid w:val="00D72DE1"/>
    <w:rsid w:val="00D733EB"/>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1B34"/>
    <w:rsid w:val="00D924DF"/>
    <w:rsid w:val="00D92702"/>
    <w:rsid w:val="00D92A6F"/>
    <w:rsid w:val="00D93405"/>
    <w:rsid w:val="00D935C6"/>
    <w:rsid w:val="00D93604"/>
    <w:rsid w:val="00D937EE"/>
    <w:rsid w:val="00D9393D"/>
    <w:rsid w:val="00D943FD"/>
    <w:rsid w:val="00D94454"/>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20"/>
    <w:rsid w:val="00DA4CDF"/>
    <w:rsid w:val="00DA4FBF"/>
    <w:rsid w:val="00DA523C"/>
    <w:rsid w:val="00DA567B"/>
    <w:rsid w:val="00DA5736"/>
    <w:rsid w:val="00DA5872"/>
    <w:rsid w:val="00DA5CDB"/>
    <w:rsid w:val="00DA646E"/>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12"/>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4C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36"/>
    <w:rsid w:val="00DC708A"/>
    <w:rsid w:val="00DC70C5"/>
    <w:rsid w:val="00DC723F"/>
    <w:rsid w:val="00DC73F1"/>
    <w:rsid w:val="00DC7605"/>
    <w:rsid w:val="00DC761F"/>
    <w:rsid w:val="00DC7A0D"/>
    <w:rsid w:val="00DC7A12"/>
    <w:rsid w:val="00DC7D67"/>
    <w:rsid w:val="00DD0065"/>
    <w:rsid w:val="00DD077C"/>
    <w:rsid w:val="00DD0B43"/>
    <w:rsid w:val="00DD0BC3"/>
    <w:rsid w:val="00DD0DC4"/>
    <w:rsid w:val="00DD1ABD"/>
    <w:rsid w:val="00DD2AF9"/>
    <w:rsid w:val="00DD3AAA"/>
    <w:rsid w:val="00DD3C3D"/>
    <w:rsid w:val="00DD3C78"/>
    <w:rsid w:val="00DD3D30"/>
    <w:rsid w:val="00DD4063"/>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EAA"/>
    <w:rsid w:val="00DE3F5C"/>
    <w:rsid w:val="00DE4743"/>
    <w:rsid w:val="00DE4A64"/>
    <w:rsid w:val="00DE4A99"/>
    <w:rsid w:val="00DE518F"/>
    <w:rsid w:val="00DE5317"/>
    <w:rsid w:val="00DE5683"/>
    <w:rsid w:val="00DE5DBE"/>
    <w:rsid w:val="00DE6267"/>
    <w:rsid w:val="00DE693A"/>
    <w:rsid w:val="00DE6CD2"/>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42"/>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1B2A"/>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D37"/>
    <w:rsid w:val="00E3420F"/>
    <w:rsid w:val="00E347AA"/>
    <w:rsid w:val="00E349AC"/>
    <w:rsid w:val="00E34A66"/>
    <w:rsid w:val="00E34B0E"/>
    <w:rsid w:val="00E34BC7"/>
    <w:rsid w:val="00E34C68"/>
    <w:rsid w:val="00E352C4"/>
    <w:rsid w:val="00E3551B"/>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4C6"/>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A04"/>
    <w:rsid w:val="00E65C98"/>
    <w:rsid w:val="00E65D5C"/>
    <w:rsid w:val="00E661D5"/>
    <w:rsid w:val="00E66A56"/>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3F18"/>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DB7"/>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3E47"/>
    <w:rsid w:val="00E9438D"/>
    <w:rsid w:val="00E94668"/>
    <w:rsid w:val="00E947B7"/>
    <w:rsid w:val="00E94C14"/>
    <w:rsid w:val="00E95164"/>
    <w:rsid w:val="00E956DF"/>
    <w:rsid w:val="00E95B99"/>
    <w:rsid w:val="00E95C0B"/>
    <w:rsid w:val="00E95E5A"/>
    <w:rsid w:val="00E968B8"/>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3F38"/>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759"/>
    <w:rsid w:val="00EB4F08"/>
    <w:rsid w:val="00EB5432"/>
    <w:rsid w:val="00EB5510"/>
    <w:rsid w:val="00EB5C39"/>
    <w:rsid w:val="00EB5D6F"/>
    <w:rsid w:val="00EB61F0"/>
    <w:rsid w:val="00EB6266"/>
    <w:rsid w:val="00EB66A5"/>
    <w:rsid w:val="00EB7642"/>
    <w:rsid w:val="00EB778C"/>
    <w:rsid w:val="00EB7B50"/>
    <w:rsid w:val="00EB7FE8"/>
    <w:rsid w:val="00EC092C"/>
    <w:rsid w:val="00EC0995"/>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BC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88E"/>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0FB9"/>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22D"/>
    <w:rsid w:val="00F043BF"/>
    <w:rsid w:val="00F04954"/>
    <w:rsid w:val="00F04978"/>
    <w:rsid w:val="00F05D3E"/>
    <w:rsid w:val="00F06533"/>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C4E"/>
    <w:rsid w:val="00F25E2C"/>
    <w:rsid w:val="00F25F96"/>
    <w:rsid w:val="00F27274"/>
    <w:rsid w:val="00F27294"/>
    <w:rsid w:val="00F2775C"/>
    <w:rsid w:val="00F27A6D"/>
    <w:rsid w:val="00F3014D"/>
    <w:rsid w:val="00F30237"/>
    <w:rsid w:val="00F30408"/>
    <w:rsid w:val="00F3045C"/>
    <w:rsid w:val="00F30805"/>
    <w:rsid w:val="00F30999"/>
    <w:rsid w:val="00F30B92"/>
    <w:rsid w:val="00F311ED"/>
    <w:rsid w:val="00F31612"/>
    <w:rsid w:val="00F3190E"/>
    <w:rsid w:val="00F31932"/>
    <w:rsid w:val="00F31B16"/>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6ECE"/>
    <w:rsid w:val="00F37179"/>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232"/>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676"/>
    <w:rsid w:val="00F94DC1"/>
    <w:rsid w:val="00F95045"/>
    <w:rsid w:val="00F95200"/>
    <w:rsid w:val="00F95912"/>
    <w:rsid w:val="00F9598E"/>
    <w:rsid w:val="00F95A84"/>
    <w:rsid w:val="00F95DE6"/>
    <w:rsid w:val="00F96271"/>
    <w:rsid w:val="00F96618"/>
    <w:rsid w:val="00F9671D"/>
    <w:rsid w:val="00F96F1B"/>
    <w:rsid w:val="00F976C3"/>
    <w:rsid w:val="00FA1D25"/>
    <w:rsid w:val="00FA1D84"/>
    <w:rsid w:val="00FA1E3A"/>
    <w:rsid w:val="00FA22E5"/>
    <w:rsid w:val="00FA2737"/>
    <w:rsid w:val="00FA29C7"/>
    <w:rsid w:val="00FA3048"/>
    <w:rsid w:val="00FA4231"/>
    <w:rsid w:val="00FA45EA"/>
    <w:rsid w:val="00FA47DA"/>
    <w:rsid w:val="00FA4D37"/>
    <w:rsid w:val="00FA5853"/>
    <w:rsid w:val="00FA597C"/>
    <w:rsid w:val="00FA5FC0"/>
    <w:rsid w:val="00FA5FD4"/>
    <w:rsid w:val="00FA641D"/>
    <w:rsid w:val="00FA6869"/>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437"/>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337"/>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3F009D"/>
    <w:rsid w:val="01442D89"/>
    <w:rsid w:val="016800B9"/>
    <w:rsid w:val="01821D8F"/>
    <w:rsid w:val="01873537"/>
    <w:rsid w:val="018C2266"/>
    <w:rsid w:val="0195201D"/>
    <w:rsid w:val="01A402CD"/>
    <w:rsid w:val="01A606B2"/>
    <w:rsid w:val="01A742A2"/>
    <w:rsid w:val="01BE6ACE"/>
    <w:rsid w:val="01C32135"/>
    <w:rsid w:val="01CB7A2C"/>
    <w:rsid w:val="01D518FC"/>
    <w:rsid w:val="01E1598F"/>
    <w:rsid w:val="01F60577"/>
    <w:rsid w:val="021A1068"/>
    <w:rsid w:val="021D2604"/>
    <w:rsid w:val="022F66E0"/>
    <w:rsid w:val="0238292F"/>
    <w:rsid w:val="024C13AB"/>
    <w:rsid w:val="028748E0"/>
    <w:rsid w:val="02CE3DD2"/>
    <w:rsid w:val="02DC6BBC"/>
    <w:rsid w:val="02E929C0"/>
    <w:rsid w:val="02EA2109"/>
    <w:rsid w:val="02F95CD1"/>
    <w:rsid w:val="031845FE"/>
    <w:rsid w:val="031E4C95"/>
    <w:rsid w:val="032E4DBB"/>
    <w:rsid w:val="03332CAE"/>
    <w:rsid w:val="03343BC7"/>
    <w:rsid w:val="033F52A3"/>
    <w:rsid w:val="0354325C"/>
    <w:rsid w:val="03651217"/>
    <w:rsid w:val="03687ADD"/>
    <w:rsid w:val="036A231E"/>
    <w:rsid w:val="03774924"/>
    <w:rsid w:val="03822F79"/>
    <w:rsid w:val="039B69FD"/>
    <w:rsid w:val="03C0647A"/>
    <w:rsid w:val="03D4427A"/>
    <w:rsid w:val="03DD071B"/>
    <w:rsid w:val="041875C1"/>
    <w:rsid w:val="04252816"/>
    <w:rsid w:val="04376B0F"/>
    <w:rsid w:val="0444783F"/>
    <w:rsid w:val="04786ED3"/>
    <w:rsid w:val="048829D4"/>
    <w:rsid w:val="051034CD"/>
    <w:rsid w:val="054A5B17"/>
    <w:rsid w:val="05583DC1"/>
    <w:rsid w:val="055E5B1C"/>
    <w:rsid w:val="05816D10"/>
    <w:rsid w:val="05930F73"/>
    <w:rsid w:val="0596642B"/>
    <w:rsid w:val="05BE42A5"/>
    <w:rsid w:val="05D16BC6"/>
    <w:rsid w:val="05EE3B4E"/>
    <w:rsid w:val="060D249E"/>
    <w:rsid w:val="06474EFD"/>
    <w:rsid w:val="064A35EA"/>
    <w:rsid w:val="064B521E"/>
    <w:rsid w:val="067570AB"/>
    <w:rsid w:val="06836FEC"/>
    <w:rsid w:val="068523FB"/>
    <w:rsid w:val="068731B7"/>
    <w:rsid w:val="06A32A23"/>
    <w:rsid w:val="06A55EB9"/>
    <w:rsid w:val="06B548E2"/>
    <w:rsid w:val="06BA7F49"/>
    <w:rsid w:val="06BB4F9D"/>
    <w:rsid w:val="06D7668D"/>
    <w:rsid w:val="06F30672"/>
    <w:rsid w:val="06F35A7A"/>
    <w:rsid w:val="06F35AB6"/>
    <w:rsid w:val="06F66B05"/>
    <w:rsid w:val="072B7E46"/>
    <w:rsid w:val="072F2139"/>
    <w:rsid w:val="07436058"/>
    <w:rsid w:val="074E566F"/>
    <w:rsid w:val="074F3DF9"/>
    <w:rsid w:val="07537C92"/>
    <w:rsid w:val="075670A4"/>
    <w:rsid w:val="077225CE"/>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D6B7D"/>
    <w:rsid w:val="08B21918"/>
    <w:rsid w:val="08B94847"/>
    <w:rsid w:val="08C14001"/>
    <w:rsid w:val="093E7E23"/>
    <w:rsid w:val="09582472"/>
    <w:rsid w:val="096308E4"/>
    <w:rsid w:val="096F1D52"/>
    <w:rsid w:val="09796C44"/>
    <w:rsid w:val="098344BC"/>
    <w:rsid w:val="09A64698"/>
    <w:rsid w:val="09AC5074"/>
    <w:rsid w:val="09AD07F3"/>
    <w:rsid w:val="09B14A34"/>
    <w:rsid w:val="0A093274"/>
    <w:rsid w:val="0A2705E1"/>
    <w:rsid w:val="0A2A6A0B"/>
    <w:rsid w:val="0A312533"/>
    <w:rsid w:val="0A3A0D5D"/>
    <w:rsid w:val="0A5060D6"/>
    <w:rsid w:val="0A7200B0"/>
    <w:rsid w:val="0A771CA5"/>
    <w:rsid w:val="0A843B9D"/>
    <w:rsid w:val="0A8621F2"/>
    <w:rsid w:val="0A8F1F9F"/>
    <w:rsid w:val="0A9A0654"/>
    <w:rsid w:val="0A9B6BF5"/>
    <w:rsid w:val="0AB329A9"/>
    <w:rsid w:val="0ACD4245"/>
    <w:rsid w:val="0AF770BF"/>
    <w:rsid w:val="0B110AC0"/>
    <w:rsid w:val="0B1157EF"/>
    <w:rsid w:val="0B1765E0"/>
    <w:rsid w:val="0B1C1D7C"/>
    <w:rsid w:val="0B22066E"/>
    <w:rsid w:val="0B3F2432"/>
    <w:rsid w:val="0B4D5218"/>
    <w:rsid w:val="0B5C7ABA"/>
    <w:rsid w:val="0B622E13"/>
    <w:rsid w:val="0B717521"/>
    <w:rsid w:val="0B892782"/>
    <w:rsid w:val="0BB2460A"/>
    <w:rsid w:val="0BBC79DB"/>
    <w:rsid w:val="0BE17727"/>
    <w:rsid w:val="0BF065E5"/>
    <w:rsid w:val="0BF427F9"/>
    <w:rsid w:val="0C0C632D"/>
    <w:rsid w:val="0C3C0AB0"/>
    <w:rsid w:val="0C3F0208"/>
    <w:rsid w:val="0C6038EF"/>
    <w:rsid w:val="0C654C73"/>
    <w:rsid w:val="0C751214"/>
    <w:rsid w:val="0C780533"/>
    <w:rsid w:val="0C85742B"/>
    <w:rsid w:val="0C873353"/>
    <w:rsid w:val="0C8B4B61"/>
    <w:rsid w:val="0C9730A8"/>
    <w:rsid w:val="0CA63E1F"/>
    <w:rsid w:val="0CA92BAC"/>
    <w:rsid w:val="0CB90F2E"/>
    <w:rsid w:val="0D04575D"/>
    <w:rsid w:val="0D0612B8"/>
    <w:rsid w:val="0D066A9C"/>
    <w:rsid w:val="0D0714BC"/>
    <w:rsid w:val="0D1A52C8"/>
    <w:rsid w:val="0D2767B5"/>
    <w:rsid w:val="0D5800C7"/>
    <w:rsid w:val="0D6A353C"/>
    <w:rsid w:val="0DA060E8"/>
    <w:rsid w:val="0DCE36F3"/>
    <w:rsid w:val="0DDE1317"/>
    <w:rsid w:val="0E0313B1"/>
    <w:rsid w:val="0E0D1A47"/>
    <w:rsid w:val="0E3217E8"/>
    <w:rsid w:val="0E5E2B07"/>
    <w:rsid w:val="0E771E51"/>
    <w:rsid w:val="0E8118C0"/>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80243B"/>
    <w:rsid w:val="0FAD0019"/>
    <w:rsid w:val="0FAD3299"/>
    <w:rsid w:val="0FB31343"/>
    <w:rsid w:val="0FC12836"/>
    <w:rsid w:val="0FD95333"/>
    <w:rsid w:val="10045EE6"/>
    <w:rsid w:val="10185437"/>
    <w:rsid w:val="103A7991"/>
    <w:rsid w:val="10462479"/>
    <w:rsid w:val="1047175A"/>
    <w:rsid w:val="104B2D15"/>
    <w:rsid w:val="10674DB0"/>
    <w:rsid w:val="10690BD3"/>
    <w:rsid w:val="107374A2"/>
    <w:rsid w:val="10886883"/>
    <w:rsid w:val="108A2129"/>
    <w:rsid w:val="10924B2D"/>
    <w:rsid w:val="10953B42"/>
    <w:rsid w:val="10CC5735"/>
    <w:rsid w:val="10FA45D2"/>
    <w:rsid w:val="11024527"/>
    <w:rsid w:val="110A4489"/>
    <w:rsid w:val="111A28E5"/>
    <w:rsid w:val="112F54D2"/>
    <w:rsid w:val="1133321C"/>
    <w:rsid w:val="11576536"/>
    <w:rsid w:val="117824F0"/>
    <w:rsid w:val="117E2370"/>
    <w:rsid w:val="11B66269"/>
    <w:rsid w:val="11BA0839"/>
    <w:rsid w:val="11D065BF"/>
    <w:rsid w:val="11F267E8"/>
    <w:rsid w:val="120B7624"/>
    <w:rsid w:val="1210456D"/>
    <w:rsid w:val="121729B6"/>
    <w:rsid w:val="122C6138"/>
    <w:rsid w:val="123B1292"/>
    <w:rsid w:val="125A02CC"/>
    <w:rsid w:val="12845278"/>
    <w:rsid w:val="128E70AD"/>
    <w:rsid w:val="12B1068C"/>
    <w:rsid w:val="12C77089"/>
    <w:rsid w:val="12DD694C"/>
    <w:rsid w:val="12F538D3"/>
    <w:rsid w:val="12F85F0D"/>
    <w:rsid w:val="131046DE"/>
    <w:rsid w:val="131B2229"/>
    <w:rsid w:val="131D12BF"/>
    <w:rsid w:val="132625C2"/>
    <w:rsid w:val="132A7435"/>
    <w:rsid w:val="1351134C"/>
    <w:rsid w:val="137F1B10"/>
    <w:rsid w:val="13AB3B97"/>
    <w:rsid w:val="13B66BD2"/>
    <w:rsid w:val="13BF66BA"/>
    <w:rsid w:val="13DC36E2"/>
    <w:rsid w:val="144C6544"/>
    <w:rsid w:val="14812D74"/>
    <w:rsid w:val="14836C15"/>
    <w:rsid w:val="14862300"/>
    <w:rsid w:val="14A82A63"/>
    <w:rsid w:val="14AC358C"/>
    <w:rsid w:val="14B76730"/>
    <w:rsid w:val="14DE753E"/>
    <w:rsid w:val="14E83BAB"/>
    <w:rsid w:val="14EB1FE7"/>
    <w:rsid w:val="151B0462"/>
    <w:rsid w:val="151C45D8"/>
    <w:rsid w:val="15290336"/>
    <w:rsid w:val="155B1745"/>
    <w:rsid w:val="155F651D"/>
    <w:rsid w:val="15655F19"/>
    <w:rsid w:val="157348EB"/>
    <w:rsid w:val="157E21FE"/>
    <w:rsid w:val="15AA7A19"/>
    <w:rsid w:val="15AC5259"/>
    <w:rsid w:val="15B06B12"/>
    <w:rsid w:val="15BE3D9D"/>
    <w:rsid w:val="15C73CC6"/>
    <w:rsid w:val="15D4474D"/>
    <w:rsid w:val="15D7597F"/>
    <w:rsid w:val="161C3234"/>
    <w:rsid w:val="1641433F"/>
    <w:rsid w:val="165C4863"/>
    <w:rsid w:val="1663476A"/>
    <w:rsid w:val="166C0D1B"/>
    <w:rsid w:val="167344C7"/>
    <w:rsid w:val="16794785"/>
    <w:rsid w:val="16A65B92"/>
    <w:rsid w:val="16AD0A57"/>
    <w:rsid w:val="16B7339E"/>
    <w:rsid w:val="16BA18A0"/>
    <w:rsid w:val="16C41FCF"/>
    <w:rsid w:val="16E7220A"/>
    <w:rsid w:val="170133DA"/>
    <w:rsid w:val="170259E1"/>
    <w:rsid w:val="170353FD"/>
    <w:rsid w:val="171053FC"/>
    <w:rsid w:val="175E4288"/>
    <w:rsid w:val="17844C56"/>
    <w:rsid w:val="17A30F12"/>
    <w:rsid w:val="17BA48D6"/>
    <w:rsid w:val="17D77CA7"/>
    <w:rsid w:val="17DD34AB"/>
    <w:rsid w:val="17FE0B0A"/>
    <w:rsid w:val="17FE0C9F"/>
    <w:rsid w:val="17FF3C9D"/>
    <w:rsid w:val="18235E85"/>
    <w:rsid w:val="182716E7"/>
    <w:rsid w:val="182E218C"/>
    <w:rsid w:val="187640ED"/>
    <w:rsid w:val="18804AA7"/>
    <w:rsid w:val="188374C9"/>
    <w:rsid w:val="18A16B9A"/>
    <w:rsid w:val="18B417E1"/>
    <w:rsid w:val="18E872D7"/>
    <w:rsid w:val="18F931E6"/>
    <w:rsid w:val="18FA042B"/>
    <w:rsid w:val="18FE4771"/>
    <w:rsid w:val="18FF2DC6"/>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9E5092A"/>
    <w:rsid w:val="1A3A5A3C"/>
    <w:rsid w:val="1A5F7253"/>
    <w:rsid w:val="1A725418"/>
    <w:rsid w:val="1A7A2EF9"/>
    <w:rsid w:val="1A7F4EDC"/>
    <w:rsid w:val="1A960E81"/>
    <w:rsid w:val="1A9A0C93"/>
    <w:rsid w:val="1AB359A1"/>
    <w:rsid w:val="1ABD31B9"/>
    <w:rsid w:val="1ACE2A77"/>
    <w:rsid w:val="1ADA6731"/>
    <w:rsid w:val="1ADC2627"/>
    <w:rsid w:val="1AEC13C2"/>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9A166E"/>
    <w:rsid w:val="1CB702E9"/>
    <w:rsid w:val="1CBE5026"/>
    <w:rsid w:val="1CF333A5"/>
    <w:rsid w:val="1D0B731D"/>
    <w:rsid w:val="1D2054C4"/>
    <w:rsid w:val="1D563E2F"/>
    <w:rsid w:val="1D6F79AF"/>
    <w:rsid w:val="1D8F5B72"/>
    <w:rsid w:val="1D8F6826"/>
    <w:rsid w:val="1D9C5DA0"/>
    <w:rsid w:val="1D9F462B"/>
    <w:rsid w:val="1DA265B5"/>
    <w:rsid w:val="1DD51328"/>
    <w:rsid w:val="1DEC45ED"/>
    <w:rsid w:val="1E221114"/>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CA0E5E"/>
    <w:rsid w:val="1FE91483"/>
    <w:rsid w:val="1FED166B"/>
    <w:rsid w:val="2000119F"/>
    <w:rsid w:val="201359DF"/>
    <w:rsid w:val="201C304F"/>
    <w:rsid w:val="202932D5"/>
    <w:rsid w:val="203B1416"/>
    <w:rsid w:val="203C2005"/>
    <w:rsid w:val="204D7AED"/>
    <w:rsid w:val="204F595B"/>
    <w:rsid w:val="206301A7"/>
    <w:rsid w:val="20642E89"/>
    <w:rsid w:val="206F7CD5"/>
    <w:rsid w:val="20934FE0"/>
    <w:rsid w:val="20A70ABE"/>
    <w:rsid w:val="20B836F9"/>
    <w:rsid w:val="20C261C8"/>
    <w:rsid w:val="20C96FD1"/>
    <w:rsid w:val="20D562D7"/>
    <w:rsid w:val="20E35BDE"/>
    <w:rsid w:val="20E9348D"/>
    <w:rsid w:val="210D2CDA"/>
    <w:rsid w:val="212F6A59"/>
    <w:rsid w:val="21306305"/>
    <w:rsid w:val="213B4C45"/>
    <w:rsid w:val="213D54AD"/>
    <w:rsid w:val="214169BB"/>
    <w:rsid w:val="21570DFF"/>
    <w:rsid w:val="2174649D"/>
    <w:rsid w:val="217C7971"/>
    <w:rsid w:val="217D44BC"/>
    <w:rsid w:val="219162E4"/>
    <w:rsid w:val="21997056"/>
    <w:rsid w:val="219D3F2A"/>
    <w:rsid w:val="21AB77F7"/>
    <w:rsid w:val="21AD74B5"/>
    <w:rsid w:val="21BF03BC"/>
    <w:rsid w:val="21D06D34"/>
    <w:rsid w:val="2209399D"/>
    <w:rsid w:val="22101F8E"/>
    <w:rsid w:val="2225227E"/>
    <w:rsid w:val="2236398C"/>
    <w:rsid w:val="224313D6"/>
    <w:rsid w:val="224E74D0"/>
    <w:rsid w:val="228A008B"/>
    <w:rsid w:val="229A7E25"/>
    <w:rsid w:val="22A2777D"/>
    <w:rsid w:val="22B059F5"/>
    <w:rsid w:val="22BD504B"/>
    <w:rsid w:val="22F017B2"/>
    <w:rsid w:val="230B07F6"/>
    <w:rsid w:val="23143B37"/>
    <w:rsid w:val="231637F9"/>
    <w:rsid w:val="23230E78"/>
    <w:rsid w:val="233027B0"/>
    <w:rsid w:val="23415924"/>
    <w:rsid w:val="235924CA"/>
    <w:rsid w:val="23673817"/>
    <w:rsid w:val="237B7D6C"/>
    <w:rsid w:val="238755B6"/>
    <w:rsid w:val="239130F2"/>
    <w:rsid w:val="239B728F"/>
    <w:rsid w:val="23BD6F6C"/>
    <w:rsid w:val="23C80F4A"/>
    <w:rsid w:val="23D33566"/>
    <w:rsid w:val="23D9762E"/>
    <w:rsid w:val="24137B5B"/>
    <w:rsid w:val="24176341"/>
    <w:rsid w:val="24211333"/>
    <w:rsid w:val="242461D7"/>
    <w:rsid w:val="242C04D9"/>
    <w:rsid w:val="242E2FF6"/>
    <w:rsid w:val="244F2484"/>
    <w:rsid w:val="24574CEB"/>
    <w:rsid w:val="245D41D2"/>
    <w:rsid w:val="24667266"/>
    <w:rsid w:val="24731A96"/>
    <w:rsid w:val="247A5C3A"/>
    <w:rsid w:val="248907B2"/>
    <w:rsid w:val="249A5E20"/>
    <w:rsid w:val="249B4C7B"/>
    <w:rsid w:val="249C2676"/>
    <w:rsid w:val="249C6208"/>
    <w:rsid w:val="24BD38BA"/>
    <w:rsid w:val="24FF31ED"/>
    <w:rsid w:val="252053F9"/>
    <w:rsid w:val="25467DBB"/>
    <w:rsid w:val="25473E3C"/>
    <w:rsid w:val="256343AC"/>
    <w:rsid w:val="257F18B5"/>
    <w:rsid w:val="25805FF5"/>
    <w:rsid w:val="258F15BB"/>
    <w:rsid w:val="259231BD"/>
    <w:rsid w:val="25A77DD4"/>
    <w:rsid w:val="260B255C"/>
    <w:rsid w:val="26161EFC"/>
    <w:rsid w:val="26217848"/>
    <w:rsid w:val="262E20E8"/>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0C12C0"/>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981CF5"/>
    <w:rsid w:val="29A4634A"/>
    <w:rsid w:val="29A84DD1"/>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363BB"/>
    <w:rsid w:val="2B2D1363"/>
    <w:rsid w:val="2B2E059F"/>
    <w:rsid w:val="2B3319F7"/>
    <w:rsid w:val="2B42025A"/>
    <w:rsid w:val="2B450516"/>
    <w:rsid w:val="2B592A46"/>
    <w:rsid w:val="2B686C09"/>
    <w:rsid w:val="2B8B34AB"/>
    <w:rsid w:val="2B914C5E"/>
    <w:rsid w:val="2BB44220"/>
    <w:rsid w:val="2BB61EA7"/>
    <w:rsid w:val="2BBA6EF5"/>
    <w:rsid w:val="2BC03979"/>
    <w:rsid w:val="2BEC4F7F"/>
    <w:rsid w:val="2C1142DE"/>
    <w:rsid w:val="2C11705A"/>
    <w:rsid w:val="2C1216FD"/>
    <w:rsid w:val="2C1F2C4F"/>
    <w:rsid w:val="2C5C2032"/>
    <w:rsid w:val="2C72088D"/>
    <w:rsid w:val="2C8B0557"/>
    <w:rsid w:val="2CDC7091"/>
    <w:rsid w:val="2D0E231B"/>
    <w:rsid w:val="2D1A1A6B"/>
    <w:rsid w:val="2D1A4915"/>
    <w:rsid w:val="2D400A9F"/>
    <w:rsid w:val="2D676133"/>
    <w:rsid w:val="2D6B4FF5"/>
    <w:rsid w:val="2D85178A"/>
    <w:rsid w:val="2DBF0C3E"/>
    <w:rsid w:val="2DBF1601"/>
    <w:rsid w:val="2DBF4C3A"/>
    <w:rsid w:val="2DF04CFF"/>
    <w:rsid w:val="2DF6091F"/>
    <w:rsid w:val="2DF77C3F"/>
    <w:rsid w:val="2DFA6574"/>
    <w:rsid w:val="2E040A80"/>
    <w:rsid w:val="2E095C19"/>
    <w:rsid w:val="2E0F3A78"/>
    <w:rsid w:val="2E1530A6"/>
    <w:rsid w:val="2E2630D7"/>
    <w:rsid w:val="2E2806DD"/>
    <w:rsid w:val="2E2A4425"/>
    <w:rsid w:val="2E695190"/>
    <w:rsid w:val="2E705752"/>
    <w:rsid w:val="2EA26ABE"/>
    <w:rsid w:val="2EB61295"/>
    <w:rsid w:val="2EEA307E"/>
    <w:rsid w:val="2EF53C20"/>
    <w:rsid w:val="2EFC5DDD"/>
    <w:rsid w:val="2F002CCF"/>
    <w:rsid w:val="2F0160A3"/>
    <w:rsid w:val="2F2960CC"/>
    <w:rsid w:val="2F2F3D52"/>
    <w:rsid w:val="2F3B7B8B"/>
    <w:rsid w:val="2F805714"/>
    <w:rsid w:val="2FA21231"/>
    <w:rsid w:val="2FAD4759"/>
    <w:rsid w:val="2FCA0967"/>
    <w:rsid w:val="2FE86322"/>
    <w:rsid w:val="2FF117AD"/>
    <w:rsid w:val="2FF95633"/>
    <w:rsid w:val="300F7F13"/>
    <w:rsid w:val="301E3C00"/>
    <w:rsid w:val="30500A5C"/>
    <w:rsid w:val="30752E77"/>
    <w:rsid w:val="30851DBA"/>
    <w:rsid w:val="3090288F"/>
    <w:rsid w:val="309B0CFB"/>
    <w:rsid w:val="309E4272"/>
    <w:rsid w:val="30DD6027"/>
    <w:rsid w:val="30DE16AB"/>
    <w:rsid w:val="30F44A95"/>
    <w:rsid w:val="30FA21D8"/>
    <w:rsid w:val="311D5B14"/>
    <w:rsid w:val="31647576"/>
    <w:rsid w:val="31665E5D"/>
    <w:rsid w:val="316D6950"/>
    <w:rsid w:val="317E0382"/>
    <w:rsid w:val="31822EAF"/>
    <w:rsid w:val="31A53A0B"/>
    <w:rsid w:val="31B140B3"/>
    <w:rsid w:val="31B23BA8"/>
    <w:rsid w:val="31CA5CF8"/>
    <w:rsid w:val="31CB26CD"/>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C6216"/>
    <w:rsid w:val="337F446B"/>
    <w:rsid w:val="3396641C"/>
    <w:rsid w:val="33A156DE"/>
    <w:rsid w:val="33B70359"/>
    <w:rsid w:val="33BA1B32"/>
    <w:rsid w:val="33C167A0"/>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35D97"/>
    <w:rsid w:val="34E972FC"/>
    <w:rsid w:val="34FF2166"/>
    <w:rsid w:val="35333FF2"/>
    <w:rsid w:val="353E791E"/>
    <w:rsid w:val="354C7B38"/>
    <w:rsid w:val="354F28B8"/>
    <w:rsid w:val="355D687A"/>
    <w:rsid w:val="35744059"/>
    <w:rsid w:val="35771AC2"/>
    <w:rsid w:val="35A0338E"/>
    <w:rsid w:val="35A31A0A"/>
    <w:rsid w:val="35AB5D7D"/>
    <w:rsid w:val="35C154C0"/>
    <w:rsid w:val="35C4393D"/>
    <w:rsid w:val="35C7584B"/>
    <w:rsid w:val="35DD2AEE"/>
    <w:rsid w:val="35EA6509"/>
    <w:rsid w:val="35F44E5C"/>
    <w:rsid w:val="35F45994"/>
    <w:rsid w:val="3602050E"/>
    <w:rsid w:val="360D20FA"/>
    <w:rsid w:val="36101A49"/>
    <w:rsid w:val="36265F04"/>
    <w:rsid w:val="363F4D43"/>
    <w:rsid w:val="365A5377"/>
    <w:rsid w:val="36627C0A"/>
    <w:rsid w:val="36693B36"/>
    <w:rsid w:val="366B0AAA"/>
    <w:rsid w:val="36752210"/>
    <w:rsid w:val="36767FFD"/>
    <w:rsid w:val="36922B55"/>
    <w:rsid w:val="36991125"/>
    <w:rsid w:val="36AC5447"/>
    <w:rsid w:val="36B121C7"/>
    <w:rsid w:val="36D27C18"/>
    <w:rsid w:val="36D512A9"/>
    <w:rsid w:val="36F33DC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C93B72"/>
    <w:rsid w:val="37F311D3"/>
    <w:rsid w:val="37F7242F"/>
    <w:rsid w:val="380579FE"/>
    <w:rsid w:val="382150C9"/>
    <w:rsid w:val="38284CDE"/>
    <w:rsid w:val="382F19E6"/>
    <w:rsid w:val="384C2D57"/>
    <w:rsid w:val="38531534"/>
    <w:rsid w:val="38894DA5"/>
    <w:rsid w:val="38981AB5"/>
    <w:rsid w:val="38A40C18"/>
    <w:rsid w:val="38AB306B"/>
    <w:rsid w:val="38BF2270"/>
    <w:rsid w:val="38C33701"/>
    <w:rsid w:val="38C43916"/>
    <w:rsid w:val="38D504F4"/>
    <w:rsid w:val="38D95A84"/>
    <w:rsid w:val="38E11AA1"/>
    <w:rsid w:val="38E46191"/>
    <w:rsid w:val="38EC35CE"/>
    <w:rsid w:val="392D0A67"/>
    <w:rsid w:val="393544DD"/>
    <w:rsid w:val="393962EC"/>
    <w:rsid w:val="394935B8"/>
    <w:rsid w:val="394C557A"/>
    <w:rsid w:val="3952190F"/>
    <w:rsid w:val="395753F2"/>
    <w:rsid w:val="39885108"/>
    <w:rsid w:val="399602F5"/>
    <w:rsid w:val="399B5B0D"/>
    <w:rsid w:val="39BB78F7"/>
    <w:rsid w:val="39C46549"/>
    <w:rsid w:val="39CA1A60"/>
    <w:rsid w:val="39D3749A"/>
    <w:rsid w:val="39DD49C2"/>
    <w:rsid w:val="39EC7454"/>
    <w:rsid w:val="39F87C5D"/>
    <w:rsid w:val="3A2A15D1"/>
    <w:rsid w:val="3A796E46"/>
    <w:rsid w:val="3A9A224E"/>
    <w:rsid w:val="3A9D2551"/>
    <w:rsid w:val="3AA97F70"/>
    <w:rsid w:val="3ABF42F5"/>
    <w:rsid w:val="3AC83CE6"/>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661B3"/>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55D89"/>
    <w:rsid w:val="3E0F25EA"/>
    <w:rsid w:val="3E146F59"/>
    <w:rsid w:val="3E237BCC"/>
    <w:rsid w:val="3E3419DC"/>
    <w:rsid w:val="3E4D40BE"/>
    <w:rsid w:val="3E623E46"/>
    <w:rsid w:val="3E7A1C88"/>
    <w:rsid w:val="3E8A0DA8"/>
    <w:rsid w:val="3E8B095A"/>
    <w:rsid w:val="3E8E6C82"/>
    <w:rsid w:val="3EAC3BDD"/>
    <w:rsid w:val="3EB767A1"/>
    <w:rsid w:val="3ECF0F50"/>
    <w:rsid w:val="3ECF234A"/>
    <w:rsid w:val="3ED671CD"/>
    <w:rsid w:val="3EE14A57"/>
    <w:rsid w:val="3EE21263"/>
    <w:rsid w:val="3F144192"/>
    <w:rsid w:val="3F952814"/>
    <w:rsid w:val="3FA41C63"/>
    <w:rsid w:val="3FAB3D87"/>
    <w:rsid w:val="3FAB41A2"/>
    <w:rsid w:val="3FAE47F6"/>
    <w:rsid w:val="3FCE4B8E"/>
    <w:rsid w:val="3FDD2563"/>
    <w:rsid w:val="400A1CFC"/>
    <w:rsid w:val="40400533"/>
    <w:rsid w:val="406D461C"/>
    <w:rsid w:val="40825FDB"/>
    <w:rsid w:val="40907287"/>
    <w:rsid w:val="40BD153A"/>
    <w:rsid w:val="40CD7BD8"/>
    <w:rsid w:val="40F1013C"/>
    <w:rsid w:val="412506DF"/>
    <w:rsid w:val="414F41D7"/>
    <w:rsid w:val="414F7876"/>
    <w:rsid w:val="41553CC2"/>
    <w:rsid w:val="415A0FEF"/>
    <w:rsid w:val="416A022C"/>
    <w:rsid w:val="416C15E7"/>
    <w:rsid w:val="416D0229"/>
    <w:rsid w:val="416E039C"/>
    <w:rsid w:val="41800377"/>
    <w:rsid w:val="418B26ED"/>
    <w:rsid w:val="41A63744"/>
    <w:rsid w:val="41AC6BA3"/>
    <w:rsid w:val="41AD5F07"/>
    <w:rsid w:val="41B730A3"/>
    <w:rsid w:val="41B737E0"/>
    <w:rsid w:val="41B77B6D"/>
    <w:rsid w:val="41D1580B"/>
    <w:rsid w:val="41D249A5"/>
    <w:rsid w:val="41DC5EDF"/>
    <w:rsid w:val="41F24303"/>
    <w:rsid w:val="41F52080"/>
    <w:rsid w:val="420850A2"/>
    <w:rsid w:val="422E207E"/>
    <w:rsid w:val="42571AE1"/>
    <w:rsid w:val="42697E79"/>
    <w:rsid w:val="42730E0D"/>
    <w:rsid w:val="427409B9"/>
    <w:rsid w:val="42831021"/>
    <w:rsid w:val="42833582"/>
    <w:rsid w:val="42873CB7"/>
    <w:rsid w:val="42A87389"/>
    <w:rsid w:val="42D67001"/>
    <w:rsid w:val="42E06A10"/>
    <w:rsid w:val="43112BE5"/>
    <w:rsid w:val="431B56C6"/>
    <w:rsid w:val="43227A12"/>
    <w:rsid w:val="432E5E21"/>
    <w:rsid w:val="433D2335"/>
    <w:rsid w:val="436A2192"/>
    <w:rsid w:val="438D5F9E"/>
    <w:rsid w:val="439C3431"/>
    <w:rsid w:val="439D0E7C"/>
    <w:rsid w:val="43D67A91"/>
    <w:rsid w:val="43E21F58"/>
    <w:rsid w:val="43F76F69"/>
    <w:rsid w:val="43FC0DB2"/>
    <w:rsid w:val="44584267"/>
    <w:rsid w:val="447B4A66"/>
    <w:rsid w:val="447D4136"/>
    <w:rsid w:val="448B5845"/>
    <w:rsid w:val="44B53006"/>
    <w:rsid w:val="44C87C0F"/>
    <w:rsid w:val="44DF6F1B"/>
    <w:rsid w:val="4506160A"/>
    <w:rsid w:val="45456E37"/>
    <w:rsid w:val="454E4F75"/>
    <w:rsid w:val="454E6B7A"/>
    <w:rsid w:val="457736FF"/>
    <w:rsid w:val="45790DCE"/>
    <w:rsid w:val="458B757C"/>
    <w:rsid w:val="45917B8A"/>
    <w:rsid w:val="45E826B2"/>
    <w:rsid w:val="45EC0FE1"/>
    <w:rsid w:val="45F4334C"/>
    <w:rsid w:val="465E6A46"/>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FC2FE8"/>
    <w:rsid w:val="47033281"/>
    <w:rsid w:val="47073BE8"/>
    <w:rsid w:val="4738116A"/>
    <w:rsid w:val="474560ED"/>
    <w:rsid w:val="47457188"/>
    <w:rsid w:val="47666951"/>
    <w:rsid w:val="47683159"/>
    <w:rsid w:val="479D7800"/>
    <w:rsid w:val="47DD6A91"/>
    <w:rsid w:val="47EA1DED"/>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35171C"/>
    <w:rsid w:val="495C3370"/>
    <w:rsid w:val="496409A2"/>
    <w:rsid w:val="49707759"/>
    <w:rsid w:val="49712130"/>
    <w:rsid w:val="49927DFC"/>
    <w:rsid w:val="4995554E"/>
    <w:rsid w:val="499B3646"/>
    <w:rsid w:val="499C3504"/>
    <w:rsid w:val="49A43EE6"/>
    <w:rsid w:val="49C20C6C"/>
    <w:rsid w:val="49C56EF2"/>
    <w:rsid w:val="49CE0C89"/>
    <w:rsid w:val="49D376C9"/>
    <w:rsid w:val="49D93C20"/>
    <w:rsid w:val="49DA3FD3"/>
    <w:rsid w:val="4A0573EC"/>
    <w:rsid w:val="4A06116C"/>
    <w:rsid w:val="4A09499E"/>
    <w:rsid w:val="4A325E9D"/>
    <w:rsid w:val="4A381BA6"/>
    <w:rsid w:val="4A3926E2"/>
    <w:rsid w:val="4A4172CE"/>
    <w:rsid w:val="4A43236C"/>
    <w:rsid w:val="4A4A176A"/>
    <w:rsid w:val="4A6C0FC7"/>
    <w:rsid w:val="4A7413BF"/>
    <w:rsid w:val="4A7D09F3"/>
    <w:rsid w:val="4A840EFE"/>
    <w:rsid w:val="4AC4256B"/>
    <w:rsid w:val="4AD162A8"/>
    <w:rsid w:val="4AD768C6"/>
    <w:rsid w:val="4AF902F5"/>
    <w:rsid w:val="4AF94D42"/>
    <w:rsid w:val="4B200AD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CFD0000"/>
    <w:rsid w:val="4D0F1680"/>
    <w:rsid w:val="4D1377ED"/>
    <w:rsid w:val="4D1D6CA0"/>
    <w:rsid w:val="4D2609C6"/>
    <w:rsid w:val="4D2F5C2A"/>
    <w:rsid w:val="4D33448A"/>
    <w:rsid w:val="4D3F4840"/>
    <w:rsid w:val="4D410392"/>
    <w:rsid w:val="4D5C5732"/>
    <w:rsid w:val="4D656800"/>
    <w:rsid w:val="4D705706"/>
    <w:rsid w:val="4D8D11C1"/>
    <w:rsid w:val="4D9A2059"/>
    <w:rsid w:val="4DA53BC8"/>
    <w:rsid w:val="4DB41824"/>
    <w:rsid w:val="4DD776ED"/>
    <w:rsid w:val="4DDF6E13"/>
    <w:rsid w:val="4DE60E50"/>
    <w:rsid w:val="4DF20FEE"/>
    <w:rsid w:val="4E0939E5"/>
    <w:rsid w:val="4E176DF3"/>
    <w:rsid w:val="4E3A2C21"/>
    <w:rsid w:val="4E4475F5"/>
    <w:rsid w:val="4E68543B"/>
    <w:rsid w:val="4E6B1618"/>
    <w:rsid w:val="4E795FE9"/>
    <w:rsid w:val="4EE55C85"/>
    <w:rsid w:val="4EE86D63"/>
    <w:rsid w:val="4EEE11A3"/>
    <w:rsid w:val="4EFF3444"/>
    <w:rsid w:val="4F0441E5"/>
    <w:rsid w:val="4F155F27"/>
    <w:rsid w:val="4F6735D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9F6EE3"/>
    <w:rsid w:val="50A965DB"/>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9587C"/>
    <w:rsid w:val="51DA5890"/>
    <w:rsid w:val="51F96848"/>
    <w:rsid w:val="52073487"/>
    <w:rsid w:val="521D7ED7"/>
    <w:rsid w:val="52235105"/>
    <w:rsid w:val="5239194F"/>
    <w:rsid w:val="52612620"/>
    <w:rsid w:val="52790FD9"/>
    <w:rsid w:val="528C5E23"/>
    <w:rsid w:val="529F0D9B"/>
    <w:rsid w:val="52CF0A4A"/>
    <w:rsid w:val="52DD5B35"/>
    <w:rsid w:val="52FC1C88"/>
    <w:rsid w:val="53155215"/>
    <w:rsid w:val="531621BA"/>
    <w:rsid w:val="531D0F10"/>
    <w:rsid w:val="534246C3"/>
    <w:rsid w:val="53495ACD"/>
    <w:rsid w:val="5366542B"/>
    <w:rsid w:val="536D41AE"/>
    <w:rsid w:val="5391597D"/>
    <w:rsid w:val="53947DE7"/>
    <w:rsid w:val="53A27D95"/>
    <w:rsid w:val="53A911A1"/>
    <w:rsid w:val="53C3275F"/>
    <w:rsid w:val="53E07B00"/>
    <w:rsid w:val="53E923C0"/>
    <w:rsid w:val="54002BFD"/>
    <w:rsid w:val="542F7A60"/>
    <w:rsid w:val="54580F5A"/>
    <w:rsid w:val="5478695B"/>
    <w:rsid w:val="549C6534"/>
    <w:rsid w:val="54B62C99"/>
    <w:rsid w:val="54DF688B"/>
    <w:rsid w:val="550E6C32"/>
    <w:rsid w:val="554E0863"/>
    <w:rsid w:val="555737A6"/>
    <w:rsid w:val="55611FED"/>
    <w:rsid w:val="556C1CC4"/>
    <w:rsid w:val="55712540"/>
    <w:rsid w:val="5577741D"/>
    <w:rsid w:val="558126EC"/>
    <w:rsid w:val="55883669"/>
    <w:rsid w:val="559537DA"/>
    <w:rsid w:val="55B403DD"/>
    <w:rsid w:val="55C0140E"/>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431E4"/>
    <w:rsid w:val="58B8443B"/>
    <w:rsid w:val="58BC4002"/>
    <w:rsid w:val="59267EF0"/>
    <w:rsid w:val="59421F7E"/>
    <w:rsid w:val="594935F2"/>
    <w:rsid w:val="595C0946"/>
    <w:rsid w:val="59642A7A"/>
    <w:rsid w:val="596D32B4"/>
    <w:rsid w:val="59876367"/>
    <w:rsid w:val="599148CE"/>
    <w:rsid w:val="599253C5"/>
    <w:rsid w:val="59A24ED6"/>
    <w:rsid w:val="59B6531E"/>
    <w:rsid w:val="59B75E8A"/>
    <w:rsid w:val="59BC0F73"/>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B96041"/>
    <w:rsid w:val="5ABC6BFA"/>
    <w:rsid w:val="5AD510F0"/>
    <w:rsid w:val="5AF82FCA"/>
    <w:rsid w:val="5B187495"/>
    <w:rsid w:val="5B1B10FA"/>
    <w:rsid w:val="5B492D29"/>
    <w:rsid w:val="5B627DC7"/>
    <w:rsid w:val="5B6C5737"/>
    <w:rsid w:val="5B7818C5"/>
    <w:rsid w:val="5B896F76"/>
    <w:rsid w:val="5B9C0984"/>
    <w:rsid w:val="5BE23D1E"/>
    <w:rsid w:val="5BE24CD9"/>
    <w:rsid w:val="5BE50680"/>
    <w:rsid w:val="5BE52EE1"/>
    <w:rsid w:val="5BEA2231"/>
    <w:rsid w:val="5BFD4032"/>
    <w:rsid w:val="5C1832F4"/>
    <w:rsid w:val="5C1A3044"/>
    <w:rsid w:val="5C2B355E"/>
    <w:rsid w:val="5C5A2B2A"/>
    <w:rsid w:val="5C5E033F"/>
    <w:rsid w:val="5C6875EE"/>
    <w:rsid w:val="5C7A0813"/>
    <w:rsid w:val="5CC43404"/>
    <w:rsid w:val="5CC93DAE"/>
    <w:rsid w:val="5CD31EE3"/>
    <w:rsid w:val="5D2B5629"/>
    <w:rsid w:val="5D473075"/>
    <w:rsid w:val="5D4A6FB4"/>
    <w:rsid w:val="5D5864DB"/>
    <w:rsid w:val="5D6A26A0"/>
    <w:rsid w:val="5D73393B"/>
    <w:rsid w:val="5D784379"/>
    <w:rsid w:val="5D7B3457"/>
    <w:rsid w:val="5D8B2715"/>
    <w:rsid w:val="5D915AFD"/>
    <w:rsid w:val="5DE7631B"/>
    <w:rsid w:val="5E00720B"/>
    <w:rsid w:val="5E012896"/>
    <w:rsid w:val="5E0A6049"/>
    <w:rsid w:val="5E226508"/>
    <w:rsid w:val="5E5F0687"/>
    <w:rsid w:val="5E783202"/>
    <w:rsid w:val="5E7842EE"/>
    <w:rsid w:val="5E9A1B1A"/>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3771DA"/>
    <w:rsid w:val="606B293E"/>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BC23E5"/>
    <w:rsid w:val="61CF03BC"/>
    <w:rsid w:val="61D21120"/>
    <w:rsid w:val="61D470E3"/>
    <w:rsid w:val="61F3667F"/>
    <w:rsid w:val="62185165"/>
    <w:rsid w:val="62460FCD"/>
    <w:rsid w:val="62480FF0"/>
    <w:rsid w:val="624B14C1"/>
    <w:rsid w:val="62630C6B"/>
    <w:rsid w:val="627301E8"/>
    <w:rsid w:val="62BA3B2B"/>
    <w:rsid w:val="62C37511"/>
    <w:rsid w:val="62D11C3F"/>
    <w:rsid w:val="62E157FC"/>
    <w:rsid w:val="62E81148"/>
    <w:rsid w:val="62F76986"/>
    <w:rsid w:val="63036A5F"/>
    <w:rsid w:val="63340EAE"/>
    <w:rsid w:val="634B6A95"/>
    <w:rsid w:val="63615D3E"/>
    <w:rsid w:val="636C62BA"/>
    <w:rsid w:val="63821D61"/>
    <w:rsid w:val="63827E36"/>
    <w:rsid w:val="63842477"/>
    <w:rsid w:val="63A85CD1"/>
    <w:rsid w:val="63B02C42"/>
    <w:rsid w:val="63C51AD9"/>
    <w:rsid w:val="63C54411"/>
    <w:rsid w:val="63CD27C8"/>
    <w:rsid w:val="63CF2629"/>
    <w:rsid w:val="63D246FF"/>
    <w:rsid w:val="63E263F4"/>
    <w:rsid w:val="63E418C9"/>
    <w:rsid w:val="643F3FFC"/>
    <w:rsid w:val="6456423D"/>
    <w:rsid w:val="64706C6F"/>
    <w:rsid w:val="649A6134"/>
    <w:rsid w:val="649D2569"/>
    <w:rsid w:val="64A51362"/>
    <w:rsid w:val="64A55A03"/>
    <w:rsid w:val="64B453B1"/>
    <w:rsid w:val="651A5C6A"/>
    <w:rsid w:val="65403733"/>
    <w:rsid w:val="655754CB"/>
    <w:rsid w:val="655E2D72"/>
    <w:rsid w:val="657032E6"/>
    <w:rsid w:val="65833C4F"/>
    <w:rsid w:val="658B37B6"/>
    <w:rsid w:val="659C17EE"/>
    <w:rsid w:val="65D70270"/>
    <w:rsid w:val="65F64BE6"/>
    <w:rsid w:val="66032E7B"/>
    <w:rsid w:val="661026AA"/>
    <w:rsid w:val="663D054E"/>
    <w:rsid w:val="6679372B"/>
    <w:rsid w:val="66980BF6"/>
    <w:rsid w:val="66B81454"/>
    <w:rsid w:val="66BE1292"/>
    <w:rsid w:val="66BF76F1"/>
    <w:rsid w:val="66C5288C"/>
    <w:rsid w:val="66DC5BF8"/>
    <w:rsid w:val="66E173F9"/>
    <w:rsid w:val="66E3226C"/>
    <w:rsid w:val="66EC5E36"/>
    <w:rsid w:val="67181932"/>
    <w:rsid w:val="672A4901"/>
    <w:rsid w:val="67441B08"/>
    <w:rsid w:val="67513E69"/>
    <w:rsid w:val="675A17FE"/>
    <w:rsid w:val="678C1D52"/>
    <w:rsid w:val="67C149C0"/>
    <w:rsid w:val="67C7427D"/>
    <w:rsid w:val="67CA7967"/>
    <w:rsid w:val="67D9695E"/>
    <w:rsid w:val="67DC5CEA"/>
    <w:rsid w:val="67DF18A0"/>
    <w:rsid w:val="680965F8"/>
    <w:rsid w:val="68240EAA"/>
    <w:rsid w:val="6850356A"/>
    <w:rsid w:val="685465AC"/>
    <w:rsid w:val="687442EE"/>
    <w:rsid w:val="689B3E14"/>
    <w:rsid w:val="689F2FA0"/>
    <w:rsid w:val="68AD26AA"/>
    <w:rsid w:val="68BC14B0"/>
    <w:rsid w:val="68C20D16"/>
    <w:rsid w:val="68DD619B"/>
    <w:rsid w:val="68FD5593"/>
    <w:rsid w:val="691B307E"/>
    <w:rsid w:val="6934218F"/>
    <w:rsid w:val="693C5AA5"/>
    <w:rsid w:val="693E13B7"/>
    <w:rsid w:val="6951205B"/>
    <w:rsid w:val="6953741D"/>
    <w:rsid w:val="69731101"/>
    <w:rsid w:val="697D087B"/>
    <w:rsid w:val="69A5112A"/>
    <w:rsid w:val="69A7770D"/>
    <w:rsid w:val="69AC0B64"/>
    <w:rsid w:val="69AF5481"/>
    <w:rsid w:val="69B27C94"/>
    <w:rsid w:val="69BA2288"/>
    <w:rsid w:val="69C0524A"/>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20FA4"/>
    <w:rsid w:val="6BCF2DCA"/>
    <w:rsid w:val="6BDD0493"/>
    <w:rsid w:val="6BDE54AC"/>
    <w:rsid w:val="6BEC4198"/>
    <w:rsid w:val="6BF25C39"/>
    <w:rsid w:val="6C06150E"/>
    <w:rsid w:val="6C263A06"/>
    <w:rsid w:val="6C3A624E"/>
    <w:rsid w:val="6C415072"/>
    <w:rsid w:val="6C431738"/>
    <w:rsid w:val="6C505966"/>
    <w:rsid w:val="6C5D04BB"/>
    <w:rsid w:val="6C8E4315"/>
    <w:rsid w:val="6C95615F"/>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DBA7B87"/>
    <w:rsid w:val="6E0F320E"/>
    <w:rsid w:val="6E1B4CD0"/>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9C5D71"/>
    <w:rsid w:val="6FA3781E"/>
    <w:rsid w:val="6FE53444"/>
    <w:rsid w:val="6FF1528E"/>
    <w:rsid w:val="700C0460"/>
    <w:rsid w:val="70170F2B"/>
    <w:rsid w:val="701E2FAB"/>
    <w:rsid w:val="70387A8F"/>
    <w:rsid w:val="704340EA"/>
    <w:rsid w:val="7076657E"/>
    <w:rsid w:val="70767F2C"/>
    <w:rsid w:val="707E62BB"/>
    <w:rsid w:val="709B336B"/>
    <w:rsid w:val="709E640C"/>
    <w:rsid w:val="70B56633"/>
    <w:rsid w:val="70BB0D3E"/>
    <w:rsid w:val="70CF3906"/>
    <w:rsid w:val="70D91094"/>
    <w:rsid w:val="70DB76EF"/>
    <w:rsid w:val="70F658B6"/>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D521CB"/>
    <w:rsid w:val="72E70D52"/>
    <w:rsid w:val="72EA6B66"/>
    <w:rsid w:val="731C28E7"/>
    <w:rsid w:val="732A4A9B"/>
    <w:rsid w:val="73343997"/>
    <w:rsid w:val="733C723A"/>
    <w:rsid w:val="733C7C6A"/>
    <w:rsid w:val="73690216"/>
    <w:rsid w:val="736A02D8"/>
    <w:rsid w:val="739B1EFF"/>
    <w:rsid w:val="73A16D22"/>
    <w:rsid w:val="73B1400F"/>
    <w:rsid w:val="73BA064C"/>
    <w:rsid w:val="73BB3C6E"/>
    <w:rsid w:val="73CE1997"/>
    <w:rsid w:val="73EC7C9D"/>
    <w:rsid w:val="740929E1"/>
    <w:rsid w:val="741076D1"/>
    <w:rsid w:val="74215D04"/>
    <w:rsid w:val="742A0965"/>
    <w:rsid w:val="742D6DB6"/>
    <w:rsid w:val="74775754"/>
    <w:rsid w:val="749530AB"/>
    <w:rsid w:val="749D7105"/>
    <w:rsid w:val="74B06962"/>
    <w:rsid w:val="74B32215"/>
    <w:rsid w:val="74C46840"/>
    <w:rsid w:val="74D71DDE"/>
    <w:rsid w:val="74E11F86"/>
    <w:rsid w:val="74FB509B"/>
    <w:rsid w:val="74FB6035"/>
    <w:rsid w:val="750934A8"/>
    <w:rsid w:val="750A15E4"/>
    <w:rsid w:val="752B3381"/>
    <w:rsid w:val="7558069C"/>
    <w:rsid w:val="75594581"/>
    <w:rsid w:val="75625A16"/>
    <w:rsid w:val="75663FD1"/>
    <w:rsid w:val="759B0C43"/>
    <w:rsid w:val="75C123A7"/>
    <w:rsid w:val="75CD2584"/>
    <w:rsid w:val="75F75D00"/>
    <w:rsid w:val="75F8074C"/>
    <w:rsid w:val="7600209C"/>
    <w:rsid w:val="760049B0"/>
    <w:rsid w:val="76070A73"/>
    <w:rsid w:val="761A7D19"/>
    <w:rsid w:val="763B42FB"/>
    <w:rsid w:val="763F1F92"/>
    <w:rsid w:val="76424474"/>
    <w:rsid w:val="76452780"/>
    <w:rsid w:val="764F5022"/>
    <w:rsid w:val="76690632"/>
    <w:rsid w:val="767469E2"/>
    <w:rsid w:val="76775F0B"/>
    <w:rsid w:val="76894819"/>
    <w:rsid w:val="768A20A3"/>
    <w:rsid w:val="76932317"/>
    <w:rsid w:val="76B153BA"/>
    <w:rsid w:val="76C72CA0"/>
    <w:rsid w:val="76ED0EF4"/>
    <w:rsid w:val="76F2295F"/>
    <w:rsid w:val="76F50A9F"/>
    <w:rsid w:val="76FD2D1D"/>
    <w:rsid w:val="77187F65"/>
    <w:rsid w:val="7729766A"/>
    <w:rsid w:val="773A62B8"/>
    <w:rsid w:val="774158BF"/>
    <w:rsid w:val="774B3934"/>
    <w:rsid w:val="777B5F51"/>
    <w:rsid w:val="777D53E6"/>
    <w:rsid w:val="77847A56"/>
    <w:rsid w:val="778F49BD"/>
    <w:rsid w:val="77966F4C"/>
    <w:rsid w:val="77A75021"/>
    <w:rsid w:val="77AB486E"/>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F40C87"/>
    <w:rsid w:val="78FC7FC2"/>
    <w:rsid w:val="791474A8"/>
    <w:rsid w:val="79176206"/>
    <w:rsid w:val="79213934"/>
    <w:rsid w:val="79360A84"/>
    <w:rsid w:val="7940572D"/>
    <w:rsid w:val="79461391"/>
    <w:rsid w:val="794B4D74"/>
    <w:rsid w:val="79501475"/>
    <w:rsid w:val="795A5499"/>
    <w:rsid w:val="796E35F2"/>
    <w:rsid w:val="7971290E"/>
    <w:rsid w:val="798B5605"/>
    <w:rsid w:val="798C2CFB"/>
    <w:rsid w:val="79A15149"/>
    <w:rsid w:val="79A37CCA"/>
    <w:rsid w:val="79C24EDF"/>
    <w:rsid w:val="79C95AED"/>
    <w:rsid w:val="79D6194C"/>
    <w:rsid w:val="79E12ED9"/>
    <w:rsid w:val="79E352FF"/>
    <w:rsid w:val="79ED6701"/>
    <w:rsid w:val="79FB2D0B"/>
    <w:rsid w:val="7A0F1525"/>
    <w:rsid w:val="7A4D07BA"/>
    <w:rsid w:val="7A5863D3"/>
    <w:rsid w:val="7A64499E"/>
    <w:rsid w:val="7A6656B6"/>
    <w:rsid w:val="7A6E38E2"/>
    <w:rsid w:val="7A743D9C"/>
    <w:rsid w:val="7A8979E9"/>
    <w:rsid w:val="7A9123B7"/>
    <w:rsid w:val="7A9711EE"/>
    <w:rsid w:val="7A9C3E5C"/>
    <w:rsid w:val="7AA952CF"/>
    <w:rsid w:val="7ACD2D7F"/>
    <w:rsid w:val="7AD27B42"/>
    <w:rsid w:val="7B18546A"/>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2F6D70"/>
    <w:rsid w:val="7C613AEC"/>
    <w:rsid w:val="7C815D2A"/>
    <w:rsid w:val="7C831756"/>
    <w:rsid w:val="7CB62523"/>
    <w:rsid w:val="7CE70935"/>
    <w:rsid w:val="7CF22B23"/>
    <w:rsid w:val="7CF84A31"/>
    <w:rsid w:val="7CFC44C2"/>
    <w:rsid w:val="7D013B39"/>
    <w:rsid w:val="7D0826CA"/>
    <w:rsid w:val="7D130509"/>
    <w:rsid w:val="7D1946C0"/>
    <w:rsid w:val="7D2A5CCB"/>
    <w:rsid w:val="7D401CAA"/>
    <w:rsid w:val="7D5E5362"/>
    <w:rsid w:val="7D64087E"/>
    <w:rsid w:val="7D7F5298"/>
    <w:rsid w:val="7D952D05"/>
    <w:rsid w:val="7DAB10BD"/>
    <w:rsid w:val="7DD7657D"/>
    <w:rsid w:val="7DF464FC"/>
    <w:rsid w:val="7E006A11"/>
    <w:rsid w:val="7E1C55F3"/>
    <w:rsid w:val="7E347694"/>
    <w:rsid w:val="7E356311"/>
    <w:rsid w:val="7E3B5911"/>
    <w:rsid w:val="7E495416"/>
    <w:rsid w:val="7E497873"/>
    <w:rsid w:val="7E612D73"/>
    <w:rsid w:val="7E750E81"/>
    <w:rsid w:val="7E9044A6"/>
    <w:rsid w:val="7E922E52"/>
    <w:rsid w:val="7EA87297"/>
    <w:rsid w:val="7ED55364"/>
    <w:rsid w:val="7ED61FF8"/>
    <w:rsid w:val="7EDE52DA"/>
    <w:rsid w:val="7EEF5C7E"/>
    <w:rsid w:val="7F085E6E"/>
    <w:rsid w:val="7F090A0E"/>
    <w:rsid w:val="7F0C0396"/>
    <w:rsid w:val="7F160CCE"/>
    <w:rsid w:val="7F18438A"/>
    <w:rsid w:val="7F3750AD"/>
    <w:rsid w:val="7F4600F8"/>
    <w:rsid w:val="7F505AF0"/>
    <w:rsid w:val="7F5256D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2F2BB"/>
  <w15:chartTrackingRefBased/>
  <w15:docId w15:val="{7A5CB050-2AD9-4478-9500-52BF0DAE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0"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eastAsia="zh-CN" w:bidi="ar-SA"/>
    </w:rPr>
  </w:style>
  <w:style w:type="paragraph" w:styleId="Heading1">
    <w:name w:val="heading 1"/>
    <w:basedOn w:val="Normal"/>
    <w:next w:val="Normal"/>
    <w:link w:val="Heading1Char"/>
    <w:uiPriority w:val="9"/>
    <w:qFormat/>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Heading5">
    <w:name w:val="heading 5"/>
    <w:basedOn w:val="Heading4"/>
    <w:next w:val="Normal"/>
    <w:link w:val="Heading5Char"/>
    <w:qFormat/>
    <w:pPr>
      <w:tabs>
        <w:tab w:val="clear" w:pos="2000"/>
        <w:tab w:val="left" w:pos="2144"/>
      </w:tabs>
      <w:ind w:left="2144" w:hanging="1008"/>
      <w:outlineLvl w:val="4"/>
    </w:pPr>
    <w:rPr>
      <w:sz w:val="22"/>
    </w:rPr>
  </w:style>
  <w:style w:type="paragraph" w:styleId="Heading6">
    <w:name w:val="heading 6"/>
    <w:basedOn w:val="Normal"/>
    <w:next w:val="Normal"/>
    <w:link w:val="Heading6Char"/>
    <w:qFormat/>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Heading7">
    <w:name w:val="heading 7"/>
    <w:basedOn w:val="Normal"/>
    <w:next w:val="Normal"/>
    <w:link w:val="Heading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Heading8">
    <w:name w:val="heading 8"/>
    <w:basedOn w:val="Heading1"/>
    <w:next w:val="Normal"/>
    <w:link w:val="Heading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Heading9">
    <w:name w:val="heading 9"/>
    <w:basedOn w:val="Heading8"/>
    <w:next w:val="Normal"/>
    <w:link w:val="Heading9Char"/>
    <w:qFormat/>
    <w:pPr>
      <w:tabs>
        <w:tab w:val="clear" w:pos="2576"/>
        <w:tab w:val="left" w:pos="2720"/>
      </w:tabs>
      <w:ind w:left="2720"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Hyperlink">
    <w:name w:val="Hyperlink"/>
    <w:rPr>
      <w:color w:val="0000FF"/>
      <w:u w:val="single"/>
    </w:rPr>
  </w:style>
  <w:style w:type="character" w:styleId="Strong">
    <w:name w:val="Strong"/>
    <w:qFormat/>
    <w:rPr>
      <w:rFonts w:ascii="Calibri" w:eastAsia="SimSun" w:hAnsi="Calibri" w:cs="Calibri"/>
      <w:bCs/>
      <w:sz w:val="24"/>
    </w:rPr>
  </w:style>
  <w:style w:type="character" w:customStyle="1" w:styleId="1Char">
    <w:name w:val="正文1 Char"/>
    <w:link w:val="1"/>
    <w:rPr>
      <w:rFonts w:ascii="Times New Roman" w:eastAsia="SimSun" w:hAnsi="Times New Roman" w:cs="Times New Roman"/>
      <w:kern w:val="0"/>
      <w:sz w:val="20"/>
      <w:szCs w:val="20"/>
    </w:rPr>
  </w:style>
  <w:style w:type="character" w:customStyle="1" w:styleId="FooterChar">
    <w:name w:val="Footer Char"/>
    <w:link w:val="Footer"/>
    <w:uiPriority w:val="99"/>
    <w:rPr>
      <w:sz w:val="18"/>
      <w:szCs w:val="18"/>
    </w:rPr>
  </w:style>
  <w:style w:type="character" w:customStyle="1" w:styleId="HeaderChar">
    <w:name w:val="Header Char"/>
    <w:link w:val="Header"/>
    <w:uiPriority w:val="99"/>
    <w:rPr>
      <w:sz w:val="18"/>
      <w:szCs w:val="18"/>
    </w:rPr>
  </w:style>
  <w:style w:type="character" w:customStyle="1" w:styleId="BodyTextChar">
    <w:name w:val="Body Text Char"/>
    <w:link w:val="BodyText"/>
    <w:rPr>
      <w:rFonts w:ascii="Times New Roman" w:eastAsia="Times New Roman" w:hAnsi="Times New Roman" w:cs="Times New Roman"/>
      <w:kern w:val="0"/>
      <w:sz w:val="20"/>
      <w:szCs w:val="20"/>
      <w:lang w:val="en-GB" w:eastAsia="en-US"/>
    </w:rPr>
  </w:style>
  <w:style w:type="character" w:customStyle="1" w:styleId="Heading9Char">
    <w:name w:val="Heading 9 Char"/>
    <w:link w:val="Heading9"/>
    <w:rPr>
      <w:rFonts w:ascii="Arial" w:eastAsia="SimSun" w:hAnsi="Arial"/>
      <w:sz w:val="36"/>
      <w:lang w:val="en-GB" w:eastAsia="en-US"/>
    </w:rPr>
  </w:style>
  <w:style w:type="character" w:customStyle="1" w:styleId="charcharcharChar">
    <w:name w:val="char char char Char"/>
    <w:link w:val="charcharchar"/>
    <w:rPr>
      <w:rFonts w:ascii="Arial" w:eastAsia="SimSun" w:hAnsi="Arial" w:cs="Times New Roman"/>
      <w:kern w:val="0"/>
      <w:sz w:val="24"/>
      <w:szCs w:val="28"/>
    </w:rPr>
  </w:style>
  <w:style w:type="character" w:customStyle="1" w:styleId="CaptionChar">
    <w:name w:val="Caption Char"/>
    <w:link w:val="Caption"/>
    <w:rPr>
      <w:rFonts w:ascii="Arial" w:eastAsia="SimHei" w:hAnsi="Arial"/>
    </w:rPr>
  </w:style>
  <w:style w:type="character" w:customStyle="1" w:styleId="TAHCar">
    <w:name w:val="TAH Car"/>
    <w:link w:val="TAH"/>
    <w:rPr>
      <w:rFonts w:ascii="Arial" w:eastAsia="Times New Roman" w:hAnsi="Arial" w:cs="Times New Roman"/>
      <w:b/>
      <w:kern w:val="0"/>
      <w:sz w:val="18"/>
      <w:szCs w:val="20"/>
      <w:lang w:val="en-GB" w:eastAsia="ja-JP"/>
    </w:rPr>
  </w:style>
  <w:style w:type="character" w:customStyle="1" w:styleId="Heading7Char">
    <w:name w:val="Heading 7 Char"/>
    <w:link w:val="Heading7"/>
    <w:rPr>
      <w:rFonts w:ascii="Arial" w:eastAsia="SimSun" w:hAnsi="Arial"/>
      <w:lang w:val="en-GB" w:eastAsia="en-US"/>
    </w:rPr>
  </w:style>
  <w:style w:type="character" w:customStyle="1" w:styleId="B1Char">
    <w:name w:val="B1 Char"/>
    <w:link w:val="B1"/>
    <w:rPr>
      <w:rFonts w:ascii="Times New Roman" w:eastAsia="MS Mincho" w:hAnsi="Times New Roman"/>
      <w:lang w:val="en-GB" w:eastAsia="de-DE"/>
    </w:rPr>
  </w:style>
  <w:style w:type="character" w:customStyle="1" w:styleId="CharChar">
    <w:name w:val="Char Char"/>
    <w:link w:val="Char"/>
    <w:rPr>
      <w:rFonts w:ascii="Arial" w:hAnsi="Arial"/>
      <w:sz w:val="32"/>
      <w:szCs w:val="36"/>
    </w:rPr>
  </w:style>
  <w:style w:type="character" w:customStyle="1" w:styleId="Heading2Char">
    <w:name w:val="Heading 2 Char"/>
    <w:link w:val="Heading2"/>
    <w:rPr>
      <w:rFonts w:ascii="Arial" w:hAnsi="Arial"/>
      <w:sz w:val="32"/>
      <w:lang w:eastAsia="en-US"/>
    </w:rPr>
  </w:style>
  <w:style w:type="character" w:customStyle="1" w:styleId="keyword">
    <w:name w:val="keyword"/>
    <w:basedOn w:val="DefaultParagraphFont"/>
  </w:style>
  <w:style w:type="character" w:customStyle="1" w:styleId="TALChar">
    <w:name w:val="TAL Char"/>
    <w:link w:val="TAL"/>
    <w:rPr>
      <w:rFonts w:ascii="Arial" w:hAnsi="Arial"/>
      <w:sz w:val="18"/>
      <w:lang w:val="en-GB" w:eastAsia="en-US"/>
    </w:rPr>
  </w:style>
  <w:style w:type="character" w:customStyle="1" w:styleId="Heading8Char">
    <w:name w:val="Heading 8 Char"/>
    <w:link w:val="Heading8"/>
    <w:rPr>
      <w:rFonts w:ascii="Arial" w:eastAsia="SimSun" w:hAnsi="Arial"/>
      <w:sz w:val="36"/>
      <w:lang w:val="en-GB" w:eastAsia="en-US"/>
    </w:rPr>
  </w:style>
  <w:style w:type="character" w:customStyle="1" w:styleId="Heading6Char">
    <w:name w:val="Heading 6 Char"/>
    <w:link w:val="Heading6"/>
    <w:rPr>
      <w:rFonts w:ascii="Arial" w:eastAsia="SimSun" w:hAnsi="Arial"/>
      <w:lang w:val="en-GB" w:eastAsia="en-US"/>
    </w:rPr>
  </w:style>
  <w:style w:type="character" w:customStyle="1" w:styleId="TANChar">
    <w:name w:val="TAN Char"/>
    <w:link w:val="TAN"/>
    <w:rPr>
      <w:rFonts w:ascii="Arial" w:eastAsia="SimSun" w:hAnsi="Arial"/>
      <w:sz w:val="18"/>
      <w:szCs w:val="18"/>
      <w:lang w:val="en-GB"/>
    </w:rPr>
  </w:style>
  <w:style w:type="character" w:customStyle="1" w:styleId="Heading1Char">
    <w:name w:val="Heading 1 Char"/>
    <w:link w:val="Heading1"/>
    <w:uiPriority w:val="9"/>
    <w:rPr>
      <w:rFonts w:ascii="Cambria" w:eastAsia="SimSun" w:hAnsi="Cambria" w:cs="Times New Roman"/>
      <w:b/>
      <w:bCs/>
      <w:kern w:val="32"/>
      <w:sz w:val="32"/>
      <w:szCs w:val="32"/>
      <w:lang w:val="en-US"/>
    </w:rPr>
  </w:style>
  <w:style w:type="character" w:customStyle="1" w:styleId="CommentSubjectChar">
    <w:name w:val="Comment Subject Char"/>
    <w:link w:val="CommentSubject"/>
    <w:uiPriority w:val="99"/>
    <w:semiHidden/>
    <w:rPr>
      <w:b/>
      <w:bCs/>
      <w:kern w:val="2"/>
      <w:lang w:eastAsia="zh-CN"/>
    </w:rPr>
  </w:style>
  <w:style w:type="character" w:customStyle="1" w:styleId="CommentTextChar">
    <w:name w:val="Comment Text Char"/>
    <w:link w:val="CommentText"/>
    <w:uiPriority w:val="99"/>
    <w:semiHidden/>
    <w:rPr>
      <w:kern w:val="2"/>
      <w:lang w:eastAsia="zh-CN"/>
    </w:rPr>
  </w:style>
  <w:style w:type="character" w:customStyle="1" w:styleId="BalloonTextChar">
    <w:name w:val="Balloon Text Char"/>
    <w:link w:val="BalloonText"/>
    <w:uiPriority w:val="99"/>
    <w:semiHidden/>
    <w:rPr>
      <w:kern w:val="2"/>
      <w:sz w:val="18"/>
      <w:szCs w:val="18"/>
    </w:rPr>
  </w:style>
  <w:style w:type="character" w:customStyle="1" w:styleId="Heading3Char">
    <w:name w:val="Heading 3 Char"/>
    <w:link w:val="Heading3"/>
    <w:rPr>
      <w:rFonts w:ascii="Arial" w:hAnsi="Arial"/>
      <w:sz w:val="28"/>
      <w:lang w:eastAsia="en-US"/>
    </w:rPr>
  </w:style>
  <w:style w:type="character" w:customStyle="1" w:styleId="TACChar">
    <w:name w:val="TAC Char"/>
    <w:link w:val="TAC"/>
    <w:rPr>
      <w:rFonts w:ascii="Arial" w:eastAsia="Times New Roman" w:hAnsi="Arial" w:cs="Times New Roman"/>
      <w:kern w:val="0"/>
      <w:sz w:val="18"/>
      <w:szCs w:val="20"/>
      <w:lang w:val="en-GB" w:eastAsia="ja-JP"/>
    </w:rPr>
  </w:style>
  <w:style w:type="character" w:customStyle="1" w:styleId="DocumentMapChar">
    <w:name w:val="Document Map Char"/>
    <w:link w:val="DocumentMap"/>
    <w:uiPriority w:val="99"/>
    <w:semiHidden/>
    <w:rPr>
      <w:rFonts w:ascii="SimSun" w:eastAsia="SimSun"/>
      <w:sz w:val="18"/>
      <w:szCs w:val="18"/>
    </w:rPr>
  </w:style>
  <w:style w:type="character" w:customStyle="1" w:styleId="charcharChar0">
    <w:name w:val="char char Char"/>
    <w:link w:val="charchar0"/>
    <w:rPr>
      <w:rFonts w:ascii="Arial" w:eastAsia="SimSun" w:hAnsi="Arial" w:cs="Times New Roman"/>
      <w:kern w:val="0"/>
      <w:sz w:val="28"/>
      <w:szCs w:val="32"/>
    </w:rPr>
  </w:style>
  <w:style w:type="character" w:customStyle="1" w:styleId="NOChar">
    <w:name w:val="NO Char"/>
    <w:link w:val="NO"/>
    <w:rPr>
      <w:rFonts w:ascii="Times New Roman" w:eastAsia="Times New Roman" w:hAnsi="Times New Roman"/>
      <w:lang w:val="en-GB"/>
    </w:rPr>
  </w:style>
  <w:style w:type="character" w:customStyle="1" w:styleId="Heading5Char">
    <w:name w:val="Heading 5 Char"/>
    <w:link w:val="Heading5"/>
    <w:rPr>
      <w:rFonts w:ascii="Arial" w:eastAsia="SimSun" w:hAnsi="Arial"/>
      <w:sz w:val="22"/>
      <w:lang w:val="en-GB" w:eastAsia="en-US"/>
    </w:rPr>
  </w:style>
  <w:style w:type="character" w:customStyle="1" w:styleId="Heading4Char">
    <w:name w:val="Heading 4 Char"/>
    <w:link w:val="Heading4"/>
    <w:rPr>
      <w:rFonts w:ascii="Arial" w:eastAsia="SimSun" w:hAnsi="Arial"/>
      <w:sz w:val="24"/>
      <w:lang w:val="en-GB" w:eastAsia="en-US"/>
    </w:rPr>
  </w:style>
  <w:style w:type="character" w:customStyle="1" w:styleId="opdicttext2">
    <w:name w:val="op_dict_text2"/>
    <w:basedOn w:val="DefaultParagraphFont"/>
  </w:style>
  <w:style w:type="character" w:customStyle="1" w:styleId="THChar">
    <w:name w:val="TH Char"/>
    <w:link w:val="TH"/>
    <w:rPr>
      <w:rFonts w:ascii="Arial" w:eastAsia="SimSun" w:hAnsi="Arial"/>
      <w:b/>
      <w:bCs/>
      <w:lang w:val="en-GB"/>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List">
    <w:name w:val="List"/>
    <w:basedOn w:val="Normal"/>
    <w:uiPriority w:val="99"/>
    <w:unhideWhenUsed/>
    <w:pPr>
      <w:ind w:left="200" w:hangingChars="200" w:hanging="200"/>
      <w:contextualSpacing/>
    </w:pPr>
  </w:style>
  <w:style w:type="paragraph" w:styleId="CommentSubject">
    <w:name w:val="annotation subject"/>
    <w:basedOn w:val="CommentText"/>
    <w:next w:val="CommentText"/>
    <w:link w:val="CommentSubjectChar"/>
    <w:uiPriority w:val="99"/>
    <w:unhideWhenUsed/>
    <w:rPr>
      <w:b/>
      <w:bC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kern w:val="0"/>
      <w:sz w:val="18"/>
      <w:szCs w:val="18"/>
    </w:rPr>
  </w:style>
  <w:style w:type="paragraph" w:styleId="BalloonText">
    <w:name w:val="Balloon Text"/>
    <w:basedOn w:val="Normal"/>
    <w:link w:val="BalloonTextChar"/>
    <w:uiPriority w:val="99"/>
    <w:unhideWhenUsed/>
    <w:rPr>
      <w:sz w:val="18"/>
      <w:szCs w:val="18"/>
    </w:rPr>
  </w:style>
  <w:style w:type="paragraph" w:styleId="DocumentMap">
    <w:name w:val="Document Map"/>
    <w:basedOn w:val="Normal"/>
    <w:link w:val="DocumentMapChar"/>
    <w:uiPriority w:val="99"/>
    <w:unhideWhenUsed/>
    <w:rPr>
      <w:rFonts w:ascii="SimSun"/>
      <w:kern w:val="0"/>
      <w:sz w:val="18"/>
      <w:szCs w:val="18"/>
    </w:rPr>
  </w:style>
  <w:style w:type="paragraph" w:styleId="NormalWeb">
    <w:name w:val="Normal (Web)"/>
    <w:basedOn w:val="Normal"/>
    <w:uiPriority w:val="99"/>
    <w:unhideWhenUsed/>
    <w:pPr>
      <w:widowControl/>
      <w:spacing w:before="100" w:beforeAutospacing="1" w:after="100" w:afterAutospacing="1"/>
      <w:jc w:val="left"/>
    </w:pPr>
    <w:rPr>
      <w:rFonts w:ascii="SimSun" w:hAnsi="SimSun" w:cs="SimSun"/>
      <w:kern w:val="0"/>
      <w:sz w:val="24"/>
      <w:szCs w:val="24"/>
    </w:rPr>
  </w:style>
  <w:style w:type="paragraph" w:styleId="Footer">
    <w:name w:val="footer"/>
    <w:basedOn w:val="Header"/>
    <w:link w:val="FooterChar"/>
    <w:uiPriority w:val="99"/>
    <w:unhideWhenUsed/>
    <w:pPr>
      <w:jc w:val="left"/>
    </w:pPr>
  </w:style>
  <w:style w:type="paragraph" w:styleId="Caption">
    <w:name w:val="caption"/>
    <w:basedOn w:val="Normal"/>
    <w:next w:val="Normal"/>
    <w:link w:val="CaptionChar"/>
    <w:qFormat/>
    <w:pPr>
      <w:widowControl/>
      <w:spacing w:before="152" w:after="160"/>
    </w:pPr>
    <w:rPr>
      <w:rFonts w:ascii="Arial" w:eastAsia="SimHei" w:hAnsi="Arial"/>
      <w:kern w:val="0"/>
      <w:sz w:val="20"/>
      <w:szCs w:val="20"/>
    </w:r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Char">
    <w:name w:val="Char"/>
    <w:basedOn w:val="ListParagraph"/>
    <w:link w:val="CharChar"/>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paragraph" w:customStyle="1" w:styleId="NO">
    <w:name w:val="NO"/>
    <w:basedOn w:val="Normal"/>
    <w:link w:val="NOChar"/>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EQ">
    <w:name w:val="EQ"/>
    <w:basedOn w:val="Normal"/>
    <w:next w:val="Normal"/>
    <w:pPr>
      <w:keepLines/>
      <w:tabs>
        <w:tab w:val="center" w:pos="4536"/>
        <w:tab w:val="right" w:pos="9072"/>
      </w:tabs>
    </w:pPr>
  </w:style>
  <w:style w:type="paragraph" w:customStyle="1" w:styleId="charcharchar">
    <w:name w:val="char char char"/>
    <w:basedOn w:val="1"/>
    <w:link w:val="charcharcharChar"/>
    <w:qFormat/>
    <w:pPr>
      <w:keepNext/>
      <w:keepLines/>
      <w:widowControl/>
      <w:spacing w:before="120"/>
      <w:ind w:firstLine="40"/>
      <w:outlineLvl w:val="2"/>
    </w:pPr>
    <w:rPr>
      <w:rFonts w:ascii="Arial" w:hAnsi="Arial"/>
      <w:sz w:val="24"/>
      <w:szCs w:val="28"/>
    </w:rPr>
  </w:style>
  <w:style w:type="paragraph" w:customStyle="1" w:styleId="address">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bidi="ar-SA"/>
    </w:rPr>
  </w:style>
  <w:style w:type="paragraph" w:customStyle="1" w:styleId="Style0">
    <w:name w:val="_Style 0"/>
    <w:uiPriority w:val="1"/>
    <w:qFormat/>
    <w:pPr>
      <w:widowControl w:val="0"/>
      <w:jc w:val="both"/>
    </w:pPr>
    <w:rPr>
      <w:kern w:val="2"/>
      <w:sz w:val="21"/>
      <w:szCs w:val="24"/>
      <w:lang w:eastAsia="zh-CN" w:bidi="ar-SA"/>
    </w:rPr>
  </w:style>
  <w:style w:type="paragraph" w:customStyle="1" w:styleId="maintext">
    <w:name w:val="main text"/>
    <w:basedOn w:val="Normal"/>
    <w:qFormat/>
    <w:pPr>
      <w:widowControl/>
      <w:spacing w:before="60" w:after="60" w:line="288" w:lineRule="auto"/>
      <w:ind w:firstLineChars="200" w:firstLine="200"/>
    </w:pPr>
    <w:rPr>
      <w:rFonts w:eastAsia="Malgun Gothic" w:cs="Batang"/>
      <w:lang w:val="en-GB"/>
    </w:rPr>
  </w:style>
  <w:style w:type="paragraph" w:customStyle="1" w:styleId="charchar0">
    <w:name w:val="char char"/>
    <w:basedOn w:val="1"/>
    <w:link w:val="charcharChar0"/>
    <w:qFormat/>
    <w:pPr>
      <w:spacing w:before="180" w:after="120"/>
      <w:outlineLvl w:val="1"/>
    </w:pPr>
    <w:rPr>
      <w:rFonts w:ascii="Arial" w:hAnsi="Arial"/>
      <w:sz w:val="28"/>
      <w:szCs w:val="32"/>
    </w:rPr>
  </w:style>
  <w:style w:type="paragraph" w:styleId="NoSpacing">
    <w:name w:val="No Spacing"/>
    <w:uiPriority w:val="1"/>
    <w:qFormat/>
    <w:pPr>
      <w:widowControl w:val="0"/>
      <w:jc w:val="both"/>
    </w:pPr>
    <w:rPr>
      <w:kern w:val="2"/>
      <w:sz w:val="21"/>
      <w:szCs w:val="24"/>
      <w:lang w:eastAsia="zh-CN" w:bidi="ar-SA"/>
    </w:rPr>
  </w:style>
  <w:style w:type="paragraph" w:customStyle="1" w:styleId="TAN">
    <w:name w:val="TAN"/>
    <w:basedOn w:val="Normal"/>
    <w:link w:val="TANChar"/>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1">
    <w:name w:val="正文1"/>
    <w:basedOn w:val="Normal"/>
    <w:link w:val="1Char"/>
    <w:qFormat/>
    <w:pPr>
      <w:adjustRightInd w:val="0"/>
      <w:spacing w:after="180"/>
    </w:pPr>
    <w:rPr>
      <w:kern w:val="0"/>
      <w:sz w:val="20"/>
      <w:szCs w:val="20"/>
    </w:rPr>
  </w:style>
  <w:style w:type="paragraph" w:customStyle="1" w:styleId="TAH">
    <w:name w:val="TAH"/>
    <w:basedOn w:val="TAC"/>
    <w:link w:val="TAHCar"/>
    <w:rPr>
      <w: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ind w:firstLineChars="200" w:firstLine="420"/>
    </w:p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TAC">
    <w:name w:val="TAC"/>
    <w:basedOn w:val="TAL"/>
    <w:link w:val="TACChar"/>
    <w:pPr>
      <w:jc w:val="center"/>
    </w:pPr>
    <w:rPr>
      <w:rFonts w:eastAsia="Times New Roman"/>
      <w:lang w:eastAsia="ja-JP"/>
    </w:rPr>
  </w:style>
  <w:style w:type="paragraph" w:customStyle="1" w:styleId="B1">
    <w:name w:val="B1"/>
    <w:basedOn w:val="List"/>
    <w:link w:val="B1Char"/>
    <w:pPr>
      <w:widowControl/>
      <w:spacing w:after="180"/>
      <w:ind w:left="568" w:firstLineChars="0" w:hanging="284"/>
      <w:jc w:val="left"/>
    </w:pPr>
    <w:rPr>
      <w:rFonts w:eastAsia="MS Mincho"/>
      <w:kern w:val="0"/>
      <w:sz w:val="20"/>
      <w:szCs w:val="20"/>
      <w:lang w:val="en-GB" w:eastAsia="de-D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rsid w:val="00C127F7"/>
    <w:rPr>
      <w:kern w:val="2"/>
      <w:sz w:val="21"/>
      <w:szCs w:val="22"/>
      <w:lang w:eastAsia="zh-CN"/>
    </w:rPr>
  </w:style>
  <w:style w:type="paragraph" w:styleId="PlainText">
    <w:name w:val="Plain Text"/>
    <w:basedOn w:val="Normal"/>
    <w:link w:val="PlainTextChar"/>
    <w:uiPriority w:val="99"/>
    <w:rsid w:val="00B06133"/>
    <w:pPr>
      <w:widowControl/>
      <w:spacing w:after="180"/>
      <w:jc w:val="left"/>
    </w:pPr>
    <w:rPr>
      <w:rFonts w:ascii="Courier New" w:hAnsi="Courier New"/>
      <w:kern w:val="0"/>
      <w:sz w:val="20"/>
      <w:szCs w:val="20"/>
      <w:lang w:val="nb-NO" w:eastAsia="en-US"/>
    </w:rPr>
  </w:style>
  <w:style w:type="character" w:customStyle="1" w:styleId="PlainTextChar">
    <w:name w:val="Plain Text Char"/>
    <w:link w:val="PlainText"/>
    <w:uiPriority w:val="99"/>
    <w:rsid w:val="00B06133"/>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80819">
      <w:bodyDiv w:val="1"/>
      <w:marLeft w:val="0"/>
      <w:marRight w:val="0"/>
      <w:marTop w:val="0"/>
      <w:marBottom w:val="0"/>
      <w:divBdr>
        <w:top w:val="none" w:sz="0" w:space="0" w:color="auto"/>
        <w:left w:val="none" w:sz="0" w:space="0" w:color="auto"/>
        <w:bottom w:val="none" w:sz="0" w:space="0" w:color="auto"/>
        <w:right w:val="none" w:sz="0" w:space="0" w:color="auto"/>
      </w:divBdr>
      <w:divsChild>
        <w:div w:id="742483562">
          <w:marLeft w:val="274"/>
          <w:marRight w:val="0"/>
          <w:marTop w:val="120"/>
          <w:marBottom w:val="120"/>
          <w:divBdr>
            <w:top w:val="none" w:sz="0" w:space="0" w:color="auto"/>
            <w:left w:val="none" w:sz="0" w:space="0" w:color="auto"/>
            <w:bottom w:val="none" w:sz="0" w:space="0" w:color="auto"/>
            <w:right w:val="none" w:sz="0" w:space="0" w:color="auto"/>
          </w:divBdr>
        </w:div>
        <w:div w:id="1383476891">
          <w:marLeft w:val="274"/>
          <w:marRight w:val="0"/>
          <w:marTop w:val="120"/>
          <w:marBottom w:val="120"/>
          <w:divBdr>
            <w:top w:val="none" w:sz="0" w:space="0" w:color="auto"/>
            <w:left w:val="none" w:sz="0" w:space="0" w:color="auto"/>
            <w:bottom w:val="none" w:sz="0" w:space="0" w:color="auto"/>
            <w:right w:val="none" w:sz="0" w:space="0" w:color="auto"/>
          </w:divBdr>
        </w:div>
        <w:div w:id="1611820951">
          <w:marLeft w:val="274"/>
          <w:marRight w:val="0"/>
          <w:marTop w:val="120"/>
          <w:marBottom w:val="120"/>
          <w:divBdr>
            <w:top w:val="none" w:sz="0" w:space="0" w:color="auto"/>
            <w:left w:val="none" w:sz="0" w:space="0" w:color="auto"/>
            <w:bottom w:val="none" w:sz="0" w:space="0" w:color="auto"/>
            <w:right w:val="none" w:sz="0" w:space="0" w:color="auto"/>
          </w:divBdr>
        </w:div>
      </w:divsChild>
    </w:div>
    <w:div w:id="719281340">
      <w:bodyDiv w:val="1"/>
      <w:marLeft w:val="0"/>
      <w:marRight w:val="0"/>
      <w:marTop w:val="0"/>
      <w:marBottom w:val="0"/>
      <w:divBdr>
        <w:top w:val="none" w:sz="0" w:space="0" w:color="auto"/>
        <w:left w:val="none" w:sz="0" w:space="0" w:color="auto"/>
        <w:bottom w:val="none" w:sz="0" w:space="0" w:color="auto"/>
        <w:right w:val="none" w:sz="0" w:space="0" w:color="auto"/>
      </w:divBdr>
    </w:div>
    <w:div w:id="785857430">
      <w:bodyDiv w:val="1"/>
      <w:marLeft w:val="0"/>
      <w:marRight w:val="0"/>
      <w:marTop w:val="0"/>
      <w:marBottom w:val="0"/>
      <w:divBdr>
        <w:top w:val="none" w:sz="0" w:space="0" w:color="auto"/>
        <w:left w:val="none" w:sz="0" w:space="0" w:color="auto"/>
        <w:bottom w:val="none" w:sz="0" w:space="0" w:color="auto"/>
        <w:right w:val="none" w:sz="0" w:space="0" w:color="auto"/>
      </w:divBdr>
    </w:div>
    <w:div w:id="869798430">
      <w:bodyDiv w:val="1"/>
      <w:marLeft w:val="0"/>
      <w:marRight w:val="0"/>
      <w:marTop w:val="0"/>
      <w:marBottom w:val="0"/>
      <w:divBdr>
        <w:top w:val="none" w:sz="0" w:space="0" w:color="auto"/>
        <w:left w:val="none" w:sz="0" w:space="0" w:color="auto"/>
        <w:bottom w:val="none" w:sz="0" w:space="0" w:color="auto"/>
        <w:right w:val="none" w:sz="0" w:space="0" w:color="auto"/>
      </w:divBdr>
    </w:div>
    <w:div w:id="889193431">
      <w:bodyDiv w:val="1"/>
      <w:marLeft w:val="0"/>
      <w:marRight w:val="0"/>
      <w:marTop w:val="0"/>
      <w:marBottom w:val="0"/>
      <w:divBdr>
        <w:top w:val="none" w:sz="0" w:space="0" w:color="auto"/>
        <w:left w:val="none" w:sz="0" w:space="0" w:color="auto"/>
        <w:bottom w:val="none" w:sz="0" w:space="0" w:color="auto"/>
        <w:right w:val="none" w:sz="0" w:space="0" w:color="auto"/>
      </w:divBdr>
      <w:divsChild>
        <w:div w:id="407772213">
          <w:marLeft w:val="547"/>
          <w:marRight w:val="0"/>
          <w:marTop w:val="75"/>
          <w:marBottom w:val="0"/>
          <w:divBdr>
            <w:top w:val="none" w:sz="0" w:space="0" w:color="auto"/>
            <w:left w:val="none" w:sz="0" w:space="0" w:color="auto"/>
            <w:bottom w:val="none" w:sz="0" w:space="0" w:color="auto"/>
            <w:right w:val="none" w:sz="0" w:space="0" w:color="auto"/>
          </w:divBdr>
        </w:div>
      </w:divsChild>
    </w:div>
    <w:div w:id="1049692280">
      <w:bodyDiv w:val="1"/>
      <w:marLeft w:val="0"/>
      <w:marRight w:val="0"/>
      <w:marTop w:val="0"/>
      <w:marBottom w:val="0"/>
      <w:divBdr>
        <w:top w:val="none" w:sz="0" w:space="0" w:color="auto"/>
        <w:left w:val="none" w:sz="0" w:space="0" w:color="auto"/>
        <w:bottom w:val="none" w:sz="0" w:space="0" w:color="auto"/>
        <w:right w:val="none" w:sz="0" w:space="0" w:color="auto"/>
      </w:divBdr>
    </w:div>
    <w:div w:id="1312447280">
      <w:bodyDiv w:val="1"/>
      <w:marLeft w:val="0"/>
      <w:marRight w:val="0"/>
      <w:marTop w:val="0"/>
      <w:marBottom w:val="0"/>
      <w:divBdr>
        <w:top w:val="none" w:sz="0" w:space="0" w:color="auto"/>
        <w:left w:val="none" w:sz="0" w:space="0" w:color="auto"/>
        <w:bottom w:val="none" w:sz="0" w:space="0" w:color="auto"/>
        <w:right w:val="none" w:sz="0" w:space="0" w:color="auto"/>
      </w:divBdr>
    </w:div>
    <w:div w:id="1426073356">
      <w:bodyDiv w:val="1"/>
      <w:marLeft w:val="0"/>
      <w:marRight w:val="0"/>
      <w:marTop w:val="0"/>
      <w:marBottom w:val="0"/>
      <w:divBdr>
        <w:top w:val="none" w:sz="0" w:space="0" w:color="auto"/>
        <w:left w:val="none" w:sz="0" w:space="0" w:color="auto"/>
        <w:bottom w:val="none" w:sz="0" w:space="0" w:color="auto"/>
        <w:right w:val="none" w:sz="0" w:space="0" w:color="auto"/>
      </w:divBdr>
    </w:div>
    <w:div w:id="1452935377">
      <w:bodyDiv w:val="1"/>
      <w:marLeft w:val="0"/>
      <w:marRight w:val="0"/>
      <w:marTop w:val="0"/>
      <w:marBottom w:val="0"/>
      <w:divBdr>
        <w:top w:val="none" w:sz="0" w:space="0" w:color="auto"/>
        <w:left w:val="none" w:sz="0" w:space="0" w:color="auto"/>
        <w:bottom w:val="none" w:sz="0" w:space="0" w:color="auto"/>
        <w:right w:val="none" w:sz="0" w:space="0" w:color="auto"/>
      </w:divBdr>
    </w:div>
    <w:div w:id="1678539992">
      <w:bodyDiv w:val="1"/>
      <w:marLeft w:val="0"/>
      <w:marRight w:val="0"/>
      <w:marTop w:val="0"/>
      <w:marBottom w:val="0"/>
      <w:divBdr>
        <w:top w:val="none" w:sz="0" w:space="0" w:color="auto"/>
        <w:left w:val="none" w:sz="0" w:space="0" w:color="auto"/>
        <w:bottom w:val="none" w:sz="0" w:space="0" w:color="auto"/>
        <w:right w:val="none" w:sz="0" w:space="0" w:color="auto"/>
      </w:divBdr>
    </w:div>
    <w:div w:id="1746147682">
      <w:bodyDiv w:val="1"/>
      <w:marLeft w:val="0"/>
      <w:marRight w:val="0"/>
      <w:marTop w:val="0"/>
      <w:marBottom w:val="0"/>
      <w:divBdr>
        <w:top w:val="none" w:sz="0" w:space="0" w:color="auto"/>
        <w:left w:val="none" w:sz="0" w:space="0" w:color="auto"/>
        <w:bottom w:val="none" w:sz="0" w:space="0" w:color="auto"/>
        <w:right w:val="none" w:sz="0" w:space="0" w:color="auto"/>
      </w:divBdr>
    </w:div>
    <w:div w:id="1754088464">
      <w:bodyDiv w:val="1"/>
      <w:marLeft w:val="0"/>
      <w:marRight w:val="0"/>
      <w:marTop w:val="0"/>
      <w:marBottom w:val="0"/>
      <w:divBdr>
        <w:top w:val="none" w:sz="0" w:space="0" w:color="auto"/>
        <w:left w:val="none" w:sz="0" w:space="0" w:color="auto"/>
        <w:bottom w:val="none" w:sz="0" w:space="0" w:color="auto"/>
        <w:right w:val="none" w:sz="0" w:space="0" w:color="auto"/>
      </w:divBdr>
    </w:div>
    <w:div w:id="1808205196">
      <w:bodyDiv w:val="1"/>
      <w:marLeft w:val="0"/>
      <w:marRight w:val="0"/>
      <w:marTop w:val="0"/>
      <w:marBottom w:val="0"/>
      <w:divBdr>
        <w:top w:val="none" w:sz="0" w:space="0" w:color="auto"/>
        <w:left w:val="none" w:sz="0" w:space="0" w:color="auto"/>
        <w:bottom w:val="none" w:sz="0" w:space="0" w:color="auto"/>
        <w:right w:val="none" w:sz="0" w:space="0" w:color="auto"/>
      </w:divBdr>
    </w:div>
    <w:div w:id="20233905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105-4687-41DC-9778-92289A84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Luz, Yuda</cp:lastModifiedBy>
  <cp:revision>4</cp:revision>
  <cp:lastPrinted>2021-08-02T17:29:00Z</cp:lastPrinted>
  <dcterms:created xsi:type="dcterms:W3CDTF">2023-02-14T22:32:00Z</dcterms:created>
  <dcterms:modified xsi:type="dcterms:W3CDTF">2023-02-14T22:38:00Z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