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331E6" w14:textId="34684AD3" w:rsidR="00C26925" w:rsidRPr="00EF698B" w:rsidRDefault="00C26925" w:rsidP="00C26925">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_Toc5938268"/>
      <w:bookmarkStart w:id="1" w:name="_Toc9865820"/>
      <w:bookmarkStart w:id="2" w:name="_Toc113002747"/>
      <w:r w:rsidRPr="00EF698B">
        <w:rPr>
          <w:rFonts w:ascii="Arial" w:eastAsia="SimSun" w:hAnsi="Arial"/>
          <w:b/>
          <w:bCs/>
          <w:sz w:val="24"/>
        </w:rPr>
        <w:t>3GPP T</w:t>
      </w:r>
      <w:bookmarkStart w:id="3" w:name="_Ref452454252"/>
      <w:bookmarkEnd w:id="3"/>
      <w:r w:rsidRPr="00EF698B">
        <w:rPr>
          <w:rFonts w:ascii="Arial" w:eastAsia="SimSun" w:hAnsi="Arial"/>
          <w:b/>
          <w:bCs/>
          <w:sz w:val="24"/>
        </w:rPr>
        <w:t xml:space="preserve">SG-RAN </w:t>
      </w:r>
      <w:r w:rsidRPr="00EF698B">
        <w:rPr>
          <w:rFonts w:ascii="Arial" w:eastAsia="SimSun" w:hAnsi="Arial"/>
          <w:b/>
          <w:sz w:val="24"/>
        </w:rPr>
        <w:t>WG4 Meeting #10</w:t>
      </w:r>
      <w:r w:rsidRPr="000679ED">
        <w:rPr>
          <w:rFonts w:ascii="Arial" w:eastAsia="SimSun" w:hAnsi="Arial"/>
          <w:b/>
          <w:sz w:val="24"/>
        </w:rPr>
        <w:t>5</w:t>
      </w:r>
      <w:r w:rsidRPr="000679ED">
        <w:rPr>
          <w:rFonts w:ascii="Arial" w:eastAsia="SimSun" w:hAnsi="Arial"/>
          <w:b/>
          <w:bCs/>
          <w:sz w:val="24"/>
        </w:rPr>
        <w:tab/>
      </w:r>
      <w:bookmarkStart w:id="4" w:name="_GoBack"/>
      <w:r w:rsidRPr="000679ED">
        <w:rPr>
          <w:rFonts w:ascii="Arial" w:eastAsia="SimSun" w:hAnsi="Arial"/>
          <w:b/>
          <w:bCs/>
          <w:sz w:val="24"/>
          <w:lang w:eastAsia="ja-JP"/>
        </w:rPr>
        <w:t>R4-</w:t>
      </w:r>
      <w:r w:rsidR="000679ED" w:rsidRPr="000679ED">
        <w:rPr>
          <w:rFonts w:ascii="Arial" w:eastAsia="SimSun" w:hAnsi="Arial"/>
          <w:b/>
          <w:bCs/>
          <w:sz w:val="24"/>
          <w:lang w:eastAsia="zh-CN"/>
        </w:rPr>
        <w:t>2220280</w:t>
      </w:r>
      <w:bookmarkEnd w:id="4"/>
    </w:p>
    <w:p w14:paraId="4C7E2AD5" w14:textId="77777777" w:rsidR="00C26925" w:rsidRDefault="00C26925" w:rsidP="00C26925">
      <w:pPr>
        <w:widowControl w:val="0"/>
        <w:tabs>
          <w:tab w:val="right" w:pos="9639"/>
        </w:tabs>
        <w:overflowPunct w:val="0"/>
        <w:autoSpaceDE w:val="0"/>
        <w:autoSpaceDN w:val="0"/>
        <w:adjustRightInd w:val="0"/>
        <w:spacing w:after="0"/>
        <w:textAlignment w:val="baseline"/>
        <w:rPr>
          <w:rFonts w:ascii="Arial" w:eastAsia="SimSun" w:hAnsi="Arial"/>
          <w:b/>
          <w:sz w:val="24"/>
        </w:rPr>
      </w:pPr>
      <w:r>
        <w:rPr>
          <w:rFonts w:ascii="Arial" w:eastAsia="SimSun" w:hAnsi="Arial"/>
          <w:b/>
          <w:sz w:val="24"/>
        </w:rPr>
        <w:t>Toulouse, France</w:t>
      </w:r>
      <w:r w:rsidRPr="00EF698B">
        <w:rPr>
          <w:rFonts w:ascii="Arial" w:eastAsia="SimSun" w:hAnsi="Arial"/>
          <w:b/>
          <w:sz w:val="24"/>
        </w:rPr>
        <w:t xml:space="preserve">, </w:t>
      </w:r>
      <w:r>
        <w:rPr>
          <w:rFonts w:ascii="Arial" w:eastAsia="SimSun" w:hAnsi="Arial"/>
          <w:b/>
          <w:sz w:val="24"/>
        </w:rPr>
        <w:t>November</w:t>
      </w:r>
      <w:r w:rsidRPr="00EF698B">
        <w:rPr>
          <w:rFonts w:ascii="Arial" w:eastAsia="SimSun" w:hAnsi="Arial"/>
          <w:b/>
          <w:sz w:val="24"/>
        </w:rPr>
        <w:t xml:space="preserve"> </w:t>
      </w:r>
      <w:r>
        <w:rPr>
          <w:rFonts w:ascii="Arial" w:eastAsia="SimSun" w:hAnsi="Arial"/>
          <w:b/>
          <w:sz w:val="24"/>
        </w:rPr>
        <w:t>14</w:t>
      </w:r>
      <w:r w:rsidRPr="00EF698B">
        <w:rPr>
          <w:rFonts w:ascii="Arial" w:eastAsia="SimSun" w:hAnsi="Arial"/>
          <w:b/>
          <w:sz w:val="24"/>
        </w:rPr>
        <w:t xml:space="preserve"> –</w:t>
      </w:r>
      <w:r>
        <w:rPr>
          <w:rFonts w:ascii="Arial" w:eastAsia="SimSun" w:hAnsi="Arial"/>
          <w:b/>
          <w:sz w:val="24"/>
        </w:rPr>
        <w:t xml:space="preserve"> 18</w:t>
      </w:r>
      <w:r w:rsidRPr="00EF698B">
        <w:rPr>
          <w:rFonts w:ascii="Arial" w:eastAsia="SimSun" w:hAnsi="Arial"/>
          <w:b/>
          <w:sz w:val="24"/>
        </w:rPr>
        <w:t>, 2022</w:t>
      </w:r>
    </w:p>
    <w:p w14:paraId="385BCAF8" w14:textId="77777777" w:rsidR="005F5CBB" w:rsidRDefault="005F5CBB">
      <w:pPr>
        <w:pStyle w:val="a"/>
        <w:rPr>
          <w:rFonts w:eastAsia="SimSun"/>
          <w:color w:val="000000" w:themeColor="text1"/>
          <w:sz w:val="24"/>
          <w:lang w:eastAsia="zh-CN"/>
        </w:rPr>
      </w:pPr>
    </w:p>
    <w:p w14:paraId="385BCAF9" w14:textId="77777777" w:rsidR="005F5CBB" w:rsidRDefault="005F5CBB">
      <w:pPr>
        <w:pStyle w:val="a"/>
        <w:rPr>
          <w:rFonts w:eastAsia="SimSun"/>
          <w:color w:val="000000" w:themeColor="text1"/>
          <w:sz w:val="24"/>
          <w:lang w:eastAsia="zh-CN"/>
        </w:rPr>
      </w:pPr>
    </w:p>
    <w:p w14:paraId="385BCAFA" w14:textId="77777777" w:rsidR="005F5CBB" w:rsidRPr="005A5476" w:rsidRDefault="0055390A">
      <w:pPr>
        <w:tabs>
          <w:tab w:val="left" w:pos="1985"/>
        </w:tabs>
        <w:jc w:val="both"/>
        <w:rPr>
          <w:rFonts w:ascii="Arial" w:eastAsia="SimSun" w:hAnsi="Arial" w:cs="Arial"/>
          <w:b/>
          <w:color w:val="000000" w:themeColor="text1"/>
          <w:sz w:val="22"/>
          <w:lang w:eastAsia="zh-CN"/>
        </w:rPr>
      </w:pPr>
      <w:r>
        <w:rPr>
          <w:rFonts w:ascii="Arial" w:hAnsi="Arial" w:cs="Arial"/>
          <w:b/>
          <w:color w:val="000000" w:themeColor="text1"/>
          <w:sz w:val="22"/>
        </w:rPr>
        <w:t xml:space="preserve">Source: </w:t>
      </w:r>
      <w:r>
        <w:rPr>
          <w:rFonts w:ascii="Arial" w:hAnsi="Arial" w:cs="Arial"/>
          <w:b/>
          <w:color w:val="000000" w:themeColor="text1"/>
          <w:sz w:val="22"/>
        </w:rPr>
        <w:tab/>
      </w:r>
      <w:r>
        <w:rPr>
          <w:rFonts w:ascii="Arial" w:hAnsi="Arial" w:cs="Arial"/>
          <w:sz w:val="22"/>
        </w:rPr>
        <w:t>Huawe</w:t>
      </w:r>
      <w:r w:rsidRPr="005A5476">
        <w:rPr>
          <w:rFonts w:ascii="Arial" w:hAnsi="Arial" w:cs="Arial"/>
          <w:sz w:val="22"/>
        </w:rPr>
        <w:t>i</w:t>
      </w:r>
    </w:p>
    <w:p w14:paraId="385BCAFB" w14:textId="110495A4" w:rsidR="005F5CBB" w:rsidRPr="005A5476" w:rsidRDefault="0055390A">
      <w:pPr>
        <w:ind w:left="1985" w:hanging="1985"/>
        <w:rPr>
          <w:rFonts w:ascii="Arial" w:hAnsi="Arial" w:cs="Arial"/>
          <w:color w:val="000000" w:themeColor="text1"/>
          <w:sz w:val="22"/>
          <w:lang w:val="en-US"/>
        </w:rPr>
      </w:pPr>
      <w:r w:rsidRPr="005A5476">
        <w:rPr>
          <w:rFonts w:ascii="Arial" w:hAnsi="Arial" w:cs="Arial"/>
          <w:b/>
          <w:color w:val="000000" w:themeColor="text1"/>
          <w:sz w:val="22"/>
        </w:rPr>
        <w:t>Title:</w:t>
      </w:r>
      <w:r w:rsidRPr="005A5476">
        <w:rPr>
          <w:rFonts w:ascii="Arial" w:hAnsi="Arial" w:cs="Arial"/>
          <w:color w:val="000000" w:themeColor="text1"/>
          <w:sz w:val="22"/>
        </w:rPr>
        <w:t xml:space="preserve"> </w:t>
      </w:r>
      <w:r w:rsidRPr="005A5476">
        <w:rPr>
          <w:rFonts w:ascii="Arial" w:hAnsi="Arial" w:cs="Arial"/>
          <w:color w:val="000000" w:themeColor="text1"/>
          <w:sz w:val="22"/>
        </w:rPr>
        <w:tab/>
        <w:t xml:space="preserve">WF on </w:t>
      </w:r>
      <w:r w:rsidR="005A5476" w:rsidRPr="005A5476">
        <w:rPr>
          <w:rFonts w:ascii="Arial" w:hAnsi="Arial" w:cs="Arial"/>
          <w:color w:val="000000" w:themeColor="text1"/>
          <w:sz w:val="22"/>
        </w:rPr>
        <w:t>MU budget calculations for FR2-2 BS RF</w:t>
      </w:r>
    </w:p>
    <w:p w14:paraId="385BCAFC" w14:textId="4C0FCB24" w:rsidR="005F5CBB" w:rsidRPr="005A5476" w:rsidRDefault="0055390A">
      <w:pPr>
        <w:ind w:left="1985" w:hanging="1985"/>
        <w:rPr>
          <w:rFonts w:ascii="Arial" w:eastAsia="SimSun" w:hAnsi="Arial" w:cs="Arial"/>
          <w:color w:val="000000" w:themeColor="text1"/>
          <w:sz w:val="22"/>
          <w:lang w:eastAsia="zh-CN"/>
        </w:rPr>
      </w:pPr>
      <w:r w:rsidRPr="005A5476">
        <w:rPr>
          <w:rFonts w:ascii="Arial" w:hAnsi="Arial" w:cs="Arial"/>
          <w:b/>
          <w:color w:val="000000" w:themeColor="text1"/>
          <w:sz w:val="22"/>
        </w:rPr>
        <w:t>Agen</w:t>
      </w:r>
      <w:r w:rsidRPr="005A5476">
        <w:rPr>
          <w:rFonts w:ascii="Arial" w:eastAsia="SimSun" w:hAnsi="Arial" w:cs="Arial" w:hint="eastAsia"/>
          <w:b/>
          <w:color w:val="000000" w:themeColor="text1"/>
          <w:sz w:val="22"/>
          <w:lang w:eastAsia="zh-CN"/>
        </w:rPr>
        <w:t>d</w:t>
      </w:r>
      <w:r w:rsidRPr="005A5476">
        <w:rPr>
          <w:rFonts w:ascii="Arial" w:hAnsi="Arial" w:cs="Arial"/>
          <w:b/>
          <w:color w:val="000000" w:themeColor="text1"/>
          <w:sz w:val="22"/>
        </w:rPr>
        <w:t>a Item:</w:t>
      </w:r>
      <w:r w:rsidR="00C26925" w:rsidRPr="005A5476">
        <w:rPr>
          <w:rFonts w:ascii="Arial" w:hAnsi="Arial" w:cs="Arial"/>
          <w:color w:val="000000" w:themeColor="text1"/>
          <w:sz w:val="22"/>
        </w:rPr>
        <w:tab/>
      </w:r>
      <w:r w:rsidR="005A5476" w:rsidRPr="005A5476">
        <w:rPr>
          <w:rFonts w:ascii="Arial" w:hAnsi="Arial" w:cs="Arial"/>
          <w:color w:val="000000" w:themeColor="text1"/>
          <w:sz w:val="22"/>
        </w:rPr>
        <w:t>6.3.3.1</w:t>
      </w:r>
    </w:p>
    <w:p w14:paraId="385BCAFD" w14:textId="77777777" w:rsidR="005F5CBB" w:rsidRPr="005A5476" w:rsidRDefault="0055390A">
      <w:pPr>
        <w:tabs>
          <w:tab w:val="left" w:pos="1985"/>
        </w:tabs>
        <w:jc w:val="both"/>
        <w:rPr>
          <w:rFonts w:ascii="Arial" w:hAnsi="Arial" w:cs="Arial"/>
          <w:color w:val="000000" w:themeColor="text1"/>
          <w:sz w:val="22"/>
        </w:rPr>
      </w:pPr>
      <w:r w:rsidRPr="005A5476">
        <w:rPr>
          <w:rFonts w:ascii="Arial" w:hAnsi="Arial" w:cs="Arial"/>
          <w:b/>
          <w:color w:val="000000" w:themeColor="text1"/>
          <w:sz w:val="22"/>
        </w:rPr>
        <w:t>Document for:</w:t>
      </w:r>
      <w:r w:rsidRPr="005A5476">
        <w:rPr>
          <w:rFonts w:ascii="Arial" w:hAnsi="Arial" w:cs="Arial"/>
          <w:color w:val="000000" w:themeColor="text1"/>
          <w:sz w:val="22"/>
        </w:rPr>
        <w:tab/>
        <w:t xml:space="preserve">Approval </w:t>
      </w:r>
    </w:p>
    <w:p w14:paraId="385BCAFE" w14:textId="77777777" w:rsidR="005F5CBB" w:rsidRPr="005A5476" w:rsidRDefault="0055390A">
      <w:pPr>
        <w:pStyle w:val="Heading1"/>
        <w:numPr>
          <w:ilvl w:val="0"/>
          <w:numId w:val="1"/>
        </w:numPr>
        <w:overflowPunct w:val="0"/>
        <w:autoSpaceDE w:val="0"/>
        <w:autoSpaceDN w:val="0"/>
        <w:adjustRightInd w:val="0"/>
        <w:textAlignment w:val="baseline"/>
      </w:pPr>
      <w:r w:rsidRPr="005A5476">
        <w:t>Introduction</w:t>
      </w:r>
    </w:p>
    <w:p w14:paraId="37F615B8" w14:textId="338DB54A" w:rsidR="005D0172" w:rsidRDefault="0055390A">
      <w:pPr>
        <w:pStyle w:val="xxmsonormal"/>
        <w:rPr>
          <w:rFonts w:ascii="Times New Roman" w:hAnsi="Times New Roman" w:cs="Times New Roman"/>
          <w:sz w:val="20"/>
          <w:szCs w:val="20"/>
          <w:lang w:val="en-GB" w:eastAsia="en-US"/>
        </w:rPr>
      </w:pPr>
      <w:r w:rsidRPr="005D0172">
        <w:rPr>
          <w:rFonts w:ascii="Times New Roman" w:hAnsi="Times New Roman" w:cs="Times New Roman"/>
          <w:sz w:val="20"/>
          <w:szCs w:val="20"/>
          <w:lang w:val="en-GB" w:eastAsia="en-US"/>
        </w:rPr>
        <w:t>During RAN4#10</w:t>
      </w:r>
      <w:r w:rsidR="00674B62" w:rsidRPr="005D0172">
        <w:rPr>
          <w:rFonts w:ascii="Times New Roman" w:hAnsi="Times New Roman" w:cs="Times New Roman"/>
          <w:sz w:val="20"/>
          <w:szCs w:val="20"/>
          <w:lang w:val="en-GB" w:eastAsia="en-US"/>
        </w:rPr>
        <w:t xml:space="preserve">5 </w:t>
      </w:r>
      <w:r w:rsidRPr="005D0172">
        <w:rPr>
          <w:rFonts w:ascii="Times New Roman" w:hAnsi="Times New Roman" w:cs="Times New Roman"/>
          <w:sz w:val="20"/>
          <w:szCs w:val="20"/>
          <w:lang w:val="en-GB" w:eastAsia="en-US"/>
        </w:rPr>
        <w:t>meeting,</w:t>
      </w:r>
      <w:r w:rsidR="00674B62" w:rsidRPr="005D0172">
        <w:rPr>
          <w:rFonts w:ascii="Times New Roman" w:hAnsi="Times New Roman" w:cs="Times New Roman"/>
          <w:sz w:val="20"/>
          <w:szCs w:val="20"/>
          <w:lang w:val="en-GB" w:eastAsia="en-US"/>
        </w:rPr>
        <w:t xml:space="preserve"> </w:t>
      </w:r>
      <w:r w:rsidR="00704214" w:rsidRPr="005D0172">
        <w:rPr>
          <w:rFonts w:ascii="Times New Roman" w:hAnsi="Times New Roman" w:cs="Times New Roman"/>
          <w:sz w:val="20"/>
          <w:szCs w:val="20"/>
          <w:lang w:val="en-GB" w:eastAsia="en-US"/>
        </w:rPr>
        <w:t>contributions in [</w:t>
      </w:r>
      <w:r w:rsidR="005D0172" w:rsidRPr="005D0172">
        <w:rPr>
          <w:rFonts w:ascii="Times New Roman" w:hAnsi="Times New Roman" w:cs="Times New Roman"/>
          <w:sz w:val="20"/>
          <w:szCs w:val="20"/>
          <w:lang w:val="en-GB" w:eastAsia="en-US"/>
        </w:rPr>
        <w:t>1</w:t>
      </w:r>
      <w:r w:rsidR="00704214" w:rsidRPr="005D0172">
        <w:rPr>
          <w:rFonts w:ascii="Times New Roman" w:hAnsi="Times New Roman" w:cs="Times New Roman"/>
          <w:sz w:val="20"/>
          <w:szCs w:val="20"/>
          <w:lang w:val="en-GB" w:eastAsia="en-US"/>
        </w:rPr>
        <w:t>-</w:t>
      </w:r>
      <w:r w:rsidR="005D0172" w:rsidRPr="005D0172">
        <w:rPr>
          <w:rFonts w:ascii="Times New Roman" w:hAnsi="Times New Roman" w:cs="Times New Roman"/>
          <w:sz w:val="20"/>
          <w:szCs w:val="20"/>
          <w:lang w:val="en-GB" w:eastAsia="en-US"/>
        </w:rPr>
        <w:t>22</w:t>
      </w:r>
      <w:r w:rsidR="00704214" w:rsidRPr="005D0172">
        <w:rPr>
          <w:rFonts w:ascii="Times New Roman" w:hAnsi="Times New Roman" w:cs="Times New Roman"/>
          <w:sz w:val="20"/>
          <w:szCs w:val="20"/>
          <w:lang w:val="en-GB" w:eastAsia="en-US"/>
        </w:rPr>
        <w:t>] were submitted</w:t>
      </w:r>
      <w:r w:rsidR="005D0172">
        <w:rPr>
          <w:rFonts w:ascii="Times New Roman" w:hAnsi="Times New Roman" w:cs="Times New Roman"/>
          <w:sz w:val="20"/>
          <w:szCs w:val="20"/>
          <w:lang w:val="en-GB" w:eastAsia="en-US"/>
        </w:rPr>
        <w:t xml:space="preserve"> for the topics [306] on the</w:t>
      </w:r>
      <w:r w:rsidR="0024228B">
        <w:rPr>
          <w:rFonts w:ascii="Times New Roman" w:hAnsi="Times New Roman" w:cs="Times New Roman"/>
          <w:sz w:val="20"/>
          <w:szCs w:val="20"/>
          <w:lang w:val="en-GB" w:eastAsia="en-US"/>
        </w:rPr>
        <w:t xml:space="preserve"> </w:t>
      </w:r>
      <w:r w:rsidR="0024228B" w:rsidRPr="0024228B">
        <w:rPr>
          <w:rFonts w:ascii="Times New Roman" w:hAnsi="Times New Roman" w:cs="Times New Roman"/>
          <w:sz w:val="20"/>
          <w:szCs w:val="20"/>
          <w:lang w:val="en-GB" w:eastAsia="en-US"/>
        </w:rPr>
        <w:t>BS RF conformance</w:t>
      </w:r>
      <w:r w:rsidR="0024228B">
        <w:rPr>
          <w:rFonts w:ascii="Times New Roman" w:hAnsi="Times New Roman" w:cs="Times New Roman"/>
          <w:sz w:val="20"/>
          <w:szCs w:val="20"/>
          <w:lang w:val="en-GB" w:eastAsia="en-US"/>
        </w:rPr>
        <w:t xml:space="preserve"> for the NR extension operation to 71 GHz</w:t>
      </w:r>
      <w:r w:rsidR="005D0172">
        <w:rPr>
          <w:rFonts w:ascii="Times New Roman" w:hAnsi="Times New Roman" w:cs="Times New Roman"/>
          <w:sz w:val="20"/>
          <w:szCs w:val="20"/>
          <w:lang w:val="en-GB" w:eastAsia="en-US"/>
        </w:rPr>
        <w:t xml:space="preserve">. </w:t>
      </w:r>
    </w:p>
    <w:p w14:paraId="385BCB00" w14:textId="268E9469" w:rsidR="005F5CBB" w:rsidRPr="00704214" w:rsidRDefault="005D0172">
      <w:pPr>
        <w:pStyle w:val="xxmsonormal"/>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 </w:t>
      </w:r>
      <w:r w:rsidRPr="005D0172">
        <w:rPr>
          <w:rFonts w:ascii="Times New Roman" w:hAnsi="Times New Roman" w:cs="Times New Roman"/>
          <w:sz w:val="20"/>
          <w:szCs w:val="20"/>
          <w:lang w:val="en-GB" w:eastAsia="en-US"/>
        </w:rPr>
        <w:t>topic</w:t>
      </w:r>
      <w:r>
        <w:rPr>
          <w:rFonts w:ascii="Times New Roman" w:hAnsi="Times New Roman" w:cs="Times New Roman"/>
          <w:sz w:val="20"/>
          <w:szCs w:val="20"/>
          <w:lang w:val="en-GB" w:eastAsia="en-US"/>
        </w:rPr>
        <w:t>’s</w:t>
      </w:r>
      <w:r w:rsidRPr="005D0172">
        <w:rPr>
          <w:rFonts w:ascii="Times New Roman" w:hAnsi="Times New Roman" w:cs="Times New Roman"/>
          <w:sz w:val="20"/>
          <w:szCs w:val="20"/>
          <w:lang w:val="en-GB" w:eastAsia="en-US"/>
        </w:rPr>
        <w:t xml:space="preserve"> summary </w:t>
      </w:r>
      <w:r>
        <w:rPr>
          <w:rFonts w:ascii="Times New Roman" w:hAnsi="Times New Roman" w:cs="Times New Roman"/>
          <w:sz w:val="20"/>
          <w:szCs w:val="20"/>
          <w:lang w:val="en-GB" w:eastAsia="en-US"/>
        </w:rPr>
        <w:t xml:space="preserve">was </w:t>
      </w:r>
      <w:r w:rsidR="001001A7">
        <w:rPr>
          <w:rFonts w:ascii="Times New Roman" w:hAnsi="Times New Roman" w:cs="Times New Roman"/>
          <w:sz w:val="20"/>
          <w:szCs w:val="20"/>
          <w:lang w:val="en-GB" w:eastAsia="en-US"/>
        </w:rPr>
        <w:t xml:space="preserve">provided in </w:t>
      </w:r>
      <w:r w:rsidRPr="005D0172">
        <w:rPr>
          <w:rFonts w:ascii="Times New Roman" w:hAnsi="Times New Roman" w:cs="Times New Roman"/>
          <w:sz w:val="20"/>
          <w:szCs w:val="20"/>
          <w:lang w:val="en-GB" w:eastAsia="en-US"/>
        </w:rPr>
        <w:t>[10]</w:t>
      </w:r>
      <w:r w:rsidR="00704214" w:rsidRPr="005D0172">
        <w:rPr>
          <w:rFonts w:ascii="Times New Roman" w:hAnsi="Times New Roman" w:cs="Times New Roman"/>
          <w:sz w:val="20"/>
          <w:szCs w:val="20"/>
          <w:lang w:val="en-GB" w:eastAsia="en-US"/>
        </w:rPr>
        <w:t>. Based on online and offline discussion, the following</w:t>
      </w:r>
      <w:r w:rsidR="00704214">
        <w:rPr>
          <w:rFonts w:ascii="Times New Roman" w:hAnsi="Times New Roman" w:cs="Times New Roman"/>
          <w:sz w:val="20"/>
          <w:szCs w:val="20"/>
          <w:lang w:val="en-GB" w:eastAsia="en-US"/>
        </w:rPr>
        <w:t xml:space="preserve"> </w:t>
      </w:r>
      <w:r w:rsidR="001001A7">
        <w:rPr>
          <w:rFonts w:ascii="Times New Roman" w:hAnsi="Times New Roman" w:cs="Times New Roman"/>
          <w:sz w:val="20"/>
          <w:szCs w:val="20"/>
          <w:lang w:val="en-GB" w:eastAsia="en-US"/>
        </w:rPr>
        <w:t>WF was formulated.</w:t>
      </w:r>
    </w:p>
    <w:bookmarkEnd w:id="0"/>
    <w:bookmarkEnd w:id="1"/>
    <w:p w14:paraId="385BCB01" w14:textId="400F7938" w:rsidR="005F5CBB" w:rsidRPr="00704214" w:rsidRDefault="001001A7">
      <w:pPr>
        <w:pStyle w:val="Heading1"/>
        <w:numPr>
          <w:ilvl w:val="0"/>
          <w:numId w:val="1"/>
        </w:numPr>
        <w:overflowPunct w:val="0"/>
        <w:autoSpaceDE w:val="0"/>
        <w:autoSpaceDN w:val="0"/>
        <w:adjustRightInd w:val="0"/>
        <w:textAlignment w:val="baseline"/>
        <w:rPr>
          <w:color w:val="000000" w:themeColor="text1"/>
        </w:rPr>
      </w:pPr>
      <w:r>
        <w:rPr>
          <w:color w:val="000000" w:themeColor="text1"/>
        </w:rPr>
        <w:t>W</w:t>
      </w:r>
      <w:r w:rsidR="00A66129">
        <w:rPr>
          <w:color w:val="000000" w:themeColor="text1"/>
        </w:rPr>
        <w:t xml:space="preserve">ay </w:t>
      </w:r>
      <w:r>
        <w:rPr>
          <w:color w:val="000000" w:themeColor="text1"/>
        </w:rPr>
        <w:t>F</w:t>
      </w:r>
      <w:r w:rsidR="00A66129">
        <w:rPr>
          <w:color w:val="000000" w:themeColor="text1"/>
        </w:rPr>
        <w:t>orward</w:t>
      </w:r>
    </w:p>
    <w:p w14:paraId="385BCB02" w14:textId="4D79B2E2" w:rsidR="005F5CBB" w:rsidRPr="002E2F5E" w:rsidRDefault="0055390A">
      <w:pPr>
        <w:rPr>
          <w:color w:val="000000" w:themeColor="text1"/>
          <w:lang w:val="en-US"/>
        </w:rPr>
      </w:pPr>
      <w:r w:rsidRPr="002E2F5E">
        <w:rPr>
          <w:color w:val="000000" w:themeColor="text1"/>
          <w:lang w:val="en-US"/>
        </w:rPr>
        <w:t xml:space="preserve">The following </w:t>
      </w:r>
      <w:r w:rsidR="001001A7" w:rsidRPr="002E2F5E">
        <w:rPr>
          <w:color w:val="000000" w:themeColor="text1"/>
          <w:lang w:val="en-US"/>
        </w:rPr>
        <w:t xml:space="preserve">WF is provided for Approval. </w:t>
      </w:r>
    </w:p>
    <w:p w14:paraId="11CF8BEF" w14:textId="05F1161A" w:rsidR="009C7D4E" w:rsidRPr="001D27B2" w:rsidRDefault="009C7D4E" w:rsidP="004A0B47">
      <w:pPr>
        <w:pStyle w:val="Heading1"/>
        <w:numPr>
          <w:ilvl w:val="1"/>
          <w:numId w:val="1"/>
        </w:numPr>
        <w:overflowPunct w:val="0"/>
        <w:autoSpaceDE w:val="0"/>
        <w:autoSpaceDN w:val="0"/>
        <w:adjustRightInd w:val="0"/>
        <w:textAlignment w:val="baseline"/>
        <w:rPr>
          <w:color w:val="000000" w:themeColor="text1"/>
        </w:rPr>
      </w:pPr>
      <w:r w:rsidRPr="001D27B2">
        <w:t xml:space="preserve">Agreement from online sessions </w:t>
      </w:r>
    </w:p>
    <w:p w14:paraId="3952707F" w14:textId="43148771" w:rsidR="009C7D4E" w:rsidRPr="001D27B2" w:rsidRDefault="009C7D4E" w:rsidP="001D27B2">
      <w:pPr>
        <w:pStyle w:val="ListParagraph"/>
        <w:numPr>
          <w:ilvl w:val="0"/>
          <w:numId w:val="10"/>
        </w:numPr>
        <w:rPr>
          <w:rFonts w:ascii="Times New Roman" w:hAnsi="Times New Roman"/>
          <w:b/>
          <w:bCs/>
          <w:u w:val="single"/>
        </w:rPr>
      </w:pPr>
      <w:r w:rsidRPr="001D27B2">
        <w:rPr>
          <w:rFonts w:ascii="Times New Roman" w:hAnsi="Times New Roman"/>
          <w:b/>
          <w:bCs/>
          <w:u w:val="single"/>
        </w:rPr>
        <w:t>Sub-topic 1-1 Consideration of the composite test equipment and additional calibration</w:t>
      </w:r>
    </w:p>
    <w:p w14:paraId="1BE04A20" w14:textId="059CE594" w:rsidR="009C7D4E" w:rsidRPr="001D27B2" w:rsidRDefault="009C7D4E" w:rsidP="009C7D4E">
      <w:r w:rsidRPr="001D27B2">
        <w:t>Consider both approaches case by case (per requirement) to verify when the power meter is usable and focused on final MU introduction for each requirement.</w:t>
      </w:r>
    </w:p>
    <w:p w14:paraId="71FE416B" w14:textId="77777777" w:rsidR="009C7D4E" w:rsidRPr="001D27B2" w:rsidRDefault="009C7D4E" w:rsidP="001D27B2">
      <w:pPr>
        <w:pStyle w:val="ListParagraph"/>
        <w:numPr>
          <w:ilvl w:val="0"/>
          <w:numId w:val="10"/>
        </w:numPr>
        <w:rPr>
          <w:rFonts w:ascii="Times New Roman" w:hAnsi="Times New Roman"/>
          <w:b/>
          <w:bCs/>
          <w:u w:val="single"/>
        </w:rPr>
      </w:pPr>
      <w:r w:rsidRPr="001D27B2">
        <w:rPr>
          <w:rFonts w:ascii="Times New Roman" w:hAnsi="Times New Roman"/>
          <w:b/>
          <w:bCs/>
          <w:u w:val="single"/>
        </w:rPr>
        <w:t>Sub-topic 2-1 Consideration of the OTA chambers for the FR2-2 OTA test procedures</w:t>
      </w:r>
    </w:p>
    <w:p w14:paraId="6FBE1146" w14:textId="77777777" w:rsidR="009C7D4E" w:rsidRPr="001D27B2" w:rsidRDefault="009C7D4E" w:rsidP="009C7D4E">
      <w:r w:rsidRPr="001D27B2">
        <w:t xml:space="preserve">Further work on MU budget for both CATR and RC. </w:t>
      </w:r>
    </w:p>
    <w:p w14:paraId="3BA34023" w14:textId="0A383A17" w:rsidR="009C7D4E" w:rsidRPr="001D27B2" w:rsidRDefault="009C7D4E" w:rsidP="009C7D4E">
      <w:pPr>
        <w:pStyle w:val="NO"/>
      </w:pPr>
      <w:r w:rsidRPr="001D27B2">
        <w:t>Note:</w:t>
      </w:r>
      <w:r w:rsidRPr="001D27B2">
        <w:tab/>
        <w:t>Other chambers not precluded with contribution driven in future RAN4 meeting.</w:t>
      </w:r>
    </w:p>
    <w:p w14:paraId="11F04F31" w14:textId="6F2004FA" w:rsidR="009C7D4E" w:rsidRPr="001D27B2" w:rsidRDefault="009C7D4E" w:rsidP="001D27B2">
      <w:pPr>
        <w:pStyle w:val="ListParagraph"/>
        <w:numPr>
          <w:ilvl w:val="0"/>
          <w:numId w:val="10"/>
        </w:numPr>
        <w:rPr>
          <w:rFonts w:ascii="Times New Roman" w:hAnsi="Times New Roman"/>
          <w:b/>
          <w:bCs/>
          <w:u w:val="single"/>
        </w:rPr>
      </w:pPr>
      <w:r w:rsidRPr="001D27B2">
        <w:rPr>
          <w:rFonts w:ascii="Times New Roman" w:hAnsi="Times New Roman"/>
          <w:b/>
          <w:bCs/>
          <w:u w:val="single"/>
        </w:rPr>
        <w:t>Sub-topic 4-1: Occupied bandwid</w:t>
      </w:r>
      <w:r w:rsidR="00600108">
        <w:rPr>
          <w:rFonts w:ascii="Times New Roman" w:hAnsi="Times New Roman"/>
          <w:b/>
          <w:bCs/>
          <w:u w:val="single"/>
        </w:rPr>
        <w:t>t</w:t>
      </w:r>
      <w:r w:rsidRPr="001D27B2">
        <w:rPr>
          <w:rFonts w:ascii="Times New Roman" w:hAnsi="Times New Roman"/>
          <w:b/>
          <w:bCs/>
          <w:u w:val="single"/>
        </w:rPr>
        <w:t>h test requirement</w:t>
      </w:r>
    </w:p>
    <w:p w14:paraId="750E26AC" w14:textId="514A7317" w:rsidR="009C7D4E" w:rsidRPr="001D27B2" w:rsidRDefault="009C7D4E" w:rsidP="009C7D4E">
      <w:r w:rsidRPr="001D27B2">
        <w:t>Option 1 agreed, i.e. Span for OBW measurement shall be twice of channel bandwidth for FR2-2.</w:t>
      </w:r>
    </w:p>
    <w:p w14:paraId="3B55A785" w14:textId="77777777" w:rsidR="00A154DA" w:rsidRPr="001D27B2" w:rsidRDefault="00A154DA" w:rsidP="001D27B2">
      <w:pPr>
        <w:pStyle w:val="ListParagraph"/>
        <w:numPr>
          <w:ilvl w:val="0"/>
          <w:numId w:val="10"/>
        </w:numPr>
        <w:rPr>
          <w:rFonts w:ascii="Times New Roman" w:hAnsi="Times New Roman"/>
          <w:b/>
          <w:u w:val="single"/>
        </w:rPr>
      </w:pPr>
      <w:r w:rsidRPr="001D27B2">
        <w:rPr>
          <w:rFonts w:ascii="Times New Roman" w:hAnsi="Times New Roman"/>
          <w:b/>
          <w:u w:val="single"/>
        </w:rPr>
        <w:t>Issue 4-1-2: Min number of OBW measurement points for 100 MHz and 400 MHz CHBW</w:t>
      </w:r>
    </w:p>
    <w:p w14:paraId="3AEE7BA9" w14:textId="570D6EFB" w:rsidR="009C7D4E" w:rsidRPr="001D27B2" w:rsidRDefault="00A154DA" w:rsidP="00A154DA">
      <w:r w:rsidRPr="001D27B2">
        <w:t xml:space="preserve">Option 1 agreed, i.e. </w:t>
      </w:r>
      <w:r w:rsidR="0077454D" w:rsidRPr="001D27B2">
        <w:rPr>
          <w:lang w:eastAsia="ja-JP"/>
        </w:rPr>
        <w:t xml:space="preserve">Minimum number of measurement points for OBW measurement shall be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200 kHz</m:t>
                </m:r>
              </m:den>
            </m:f>
          </m:e>
        </m:d>
        <m:r>
          <w:rPr>
            <w:rFonts w:ascii="Cambria Math" w:hAnsi="Cambria Math"/>
            <w:sz w:val="24"/>
          </w:rPr>
          <m:t xml:space="preserve"> </m:t>
        </m:r>
      </m:oMath>
      <w:r w:rsidR="0077454D" w:rsidRPr="001D27B2">
        <w:rPr>
          <w:lang w:eastAsia="ja-JP"/>
        </w:rPr>
        <w:t xml:space="preserve"> for 100 MHz and 400 MHz channel bandwidth for FR2-2</w:t>
      </w:r>
    </w:p>
    <w:p w14:paraId="4844B335" w14:textId="77777777" w:rsidR="00A154DA" w:rsidRPr="001D27B2" w:rsidRDefault="00A154DA" w:rsidP="001D27B2">
      <w:pPr>
        <w:pStyle w:val="ListParagraph"/>
        <w:numPr>
          <w:ilvl w:val="0"/>
          <w:numId w:val="10"/>
        </w:numPr>
        <w:rPr>
          <w:rFonts w:ascii="Times New Roman" w:hAnsi="Times New Roman"/>
          <w:b/>
          <w:u w:val="single"/>
        </w:rPr>
      </w:pPr>
      <w:r w:rsidRPr="001D27B2">
        <w:rPr>
          <w:rFonts w:ascii="Times New Roman" w:hAnsi="Times New Roman"/>
          <w:b/>
          <w:u w:val="single"/>
        </w:rPr>
        <w:t>Issue 4-1-3: Min number of OBW measurement points for 800 MHz, 1600 MHz, and 2000 MHz CHBW</w:t>
      </w:r>
    </w:p>
    <w:p w14:paraId="6A0AE0E0" w14:textId="1A87302B" w:rsidR="009C7D4E" w:rsidRDefault="00A154DA" w:rsidP="009C7D4E">
      <w:pPr>
        <w:rPr>
          <w:lang w:eastAsia="ja-JP"/>
        </w:rPr>
      </w:pPr>
      <w:r w:rsidRPr="001D27B2">
        <w:rPr>
          <w:iCs/>
        </w:rPr>
        <w:t xml:space="preserve">Option 1 agreed, i.e. </w:t>
      </w:r>
      <w:r w:rsidRPr="001D27B2">
        <w:rPr>
          <w:lang w:eastAsia="ja-JP"/>
        </w:rPr>
        <w:t xml:space="preserve">Minimum number of measurement points for OBW measurement shall be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800 kHz</m:t>
                </m:r>
              </m:den>
            </m:f>
          </m:e>
        </m:d>
        <m:r>
          <w:rPr>
            <w:rFonts w:ascii="Cambria Math" w:hAnsi="Cambria Math"/>
            <w:sz w:val="24"/>
          </w:rPr>
          <m:t xml:space="preserve"> </m:t>
        </m:r>
      </m:oMath>
      <w:r w:rsidRPr="001D27B2">
        <w:rPr>
          <w:lang w:eastAsia="ja-JP"/>
        </w:rPr>
        <w:t xml:space="preserve"> for 800 MHz, 1600 MHz, and 2000 MHz channel bandwidth for FR2-2</w:t>
      </w:r>
    </w:p>
    <w:p w14:paraId="0FD34FEF" w14:textId="77777777" w:rsidR="0077454D" w:rsidRPr="001D27B2" w:rsidRDefault="0077454D" w:rsidP="001D27B2">
      <w:pPr>
        <w:pStyle w:val="ListParagraph"/>
        <w:numPr>
          <w:ilvl w:val="0"/>
          <w:numId w:val="10"/>
        </w:numPr>
        <w:rPr>
          <w:rFonts w:ascii="Times New Roman" w:hAnsi="Times New Roman"/>
          <w:b/>
          <w:u w:val="single"/>
        </w:rPr>
      </w:pPr>
      <w:r w:rsidRPr="001D27B2">
        <w:rPr>
          <w:rFonts w:ascii="Times New Roman" w:hAnsi="Times New Roman"/>
          <w:b/>
          <w:u w:val="single"/>
        </w:rPr>
        <w:t>Issue 4-2-1: EVM test requirement</w:t>
      </w:r>
    </w:p>
    <w:p w14:paraId="2E85AD21" w14:textId="4CC28202" w:rsidR="0077454D" w:rsidRPr="001D27B2" w:rsidRDefault="0077454D" w:rsidP="0077454D">
      <w:pPr>
        <w:spacing w:after="120"/>
        <w:rPr>
          <w:highlight w:val="yellow"/>
        </w:rPr>
      </w:pPr>
      <w:r w:rsidRPr="00A66129">
        <w:t>Option 1, i.e. increase of</w:t>
      </w:r>
      <w:r w:rsidRPr="001D27B2">
        <w:t xml:space="preserve"> EVM MU for FR2-2 is 0.1% to propose </w:t>
      </w:r>
      <w:r w:rsidR="00251FEA">
        <w:t>[</w:t>
      </w:r>
      <w:r w:rsidRPr="001D27B2">
        <w:t>1.1%</w:t>
      </w:r>
      <w:r w:rsidR="00251FEA">
        <w:t>]</w:t>
      </w:r>
    </w:p>
    <w:p w14:paraId="756CA95F" w14:textId="77777777" w:rsidR="00CD4B69" w:rsidRPr="001D27B2" w:rsidRDefault="00CD4B69" w:rsidP="001D27B2">
      <w:pPr>
        <w:pStyle w:val="ListParagraph"/>
        <w:numPr>
          <w:ilvl w:val="0"/>
          <w:numId w:val="10"/>
        </w:numPr>
        <w:rPr>
          <w:rFonts w:ascii="Times New Roman" w:hAnsi="Times New Roman"/>
          <w:b/>
          <w:bCs/>
          <w:u w:val="single"/>
        </w:rPr>
      </w:pPr>
      <w:r w:rsidRPr="001D27B2">
        <w:rPr>
          <w:rFonts w:ascii="Times New Roman" w:hAnsi="Times New Roman"/>
          <w:b/>
          <w:bCs/>
          <w:u w:val="single"/>
        </w:rPr>
        <w:t>Sub-topic 4-1: Spurious emission within 380 MHz – 26 GHz</w:t>
      </w:r>
    </w:p>
    <w:p w14:paraId="309FFEB1" w14:textId="487CFE5C" w:rsidR="00CD4B69" w:rsidRPr="001D27B2" w:rsidRDefault="00CD4B69" w:rsidP="00CD4B69">
      <w:pPr>
        <w:textAlignment w:val="baseline"/>
        <w:rPr>
          <w:iCs/>
          <w:color w:val="0070C0"/>
        </w:rPr>
      </w:pPr>
      <w:r w:rsidRPr="001D27B2">
        <w:rPr>
          <w:iCs/>
        </w:rPr>
        <w:t xml:space="preserve">Option 1 agreed, i.e. </w:t>
      </w:r>
      <w:r w:rsidRPr="001D27B2">
        <w:t>For MU relevant for spurious emission within 380 MHz – 26 GHz measured in RC, re-use MU evaluation for FR2-1 also for FR2-2.</w:t>
      </w:r>
    </w:p>
    <w:p w14:paraId="5AA79DF2" w14:textId="77777777" w:rsidR="00CD4B69" w:rsidRPr="001D27B2" w:rsidRDefault="00CD4B69" w:rsidP="001D27B2">
      <w:pPr>
        <w:pStyle w:val="ListParagraph"/>
        <w:numPr>
          <w:ilvl w:val="0"/>
          <w:numId w:val="10"/>
        </w:numPr>
        <w:rPr>
          <w:rFonts w:ascii="Times New Roman" w:hAnsi="Times New Roman"/>
          <w:b/>
          <w:bCs/>
          <w:u w:val="single"/>
        </w:rPr>
      </w:pPr>
      <w:r w:rsidRPr="001D27B2">
        <w:rPr>
          <w:rFonts w:ascii="Times New Roman" w:hAnsi="Times New Roman"/>
          <w:b/>
          <w:bCs/>
          <w:u w:val="single"/>
        </w:rPr>
        <w:t>Sub-topic 4-2: Consideration of the frequency sub-ranges for MU</w:t>
      </w:r>
    </w:p>
    <w:p w14:paraId="5A86F599" w14:textId="46BF7A80" w:rsidR="00CD4B69" w:rsidRPr="001D27B2" w:rsidRDefault="00CD4B69" w:rsidP="00CD4B69">
      <w:pPr>
        <w:spacing w:after="120"/>
      </w:pPr>
      <w:r w:rsidRPr="001D27B2">
        <w:t>For spurious measurement:110</w:t>
      </w:r>
      <w:r w:rsidR="003B155D">
        <w:t xml:space="preserve"> </w:t>
      </w:r>
      <w:r w:rsidRPr="001D27B2">
        <w:t>GHz as breaking point.</w:t>
      </w:r>
    </w:p>
    <w:p w14:paraId="56E6278B" w14:textId="77777777" w:rsidR="0077454D" w:rsidRDefault="0077454D" w:rsidP="009C7D4E"/>
    <w:p w14:paraId="03582DA6" w14:textId="77777777" w:rsidR="004A0B47" w:rsidRPr="001D27B2" w:rsidRDefault="004A0B47" w:rsidP="004A0B47">
      <w:pPr>
        <w:pStyle w:val="Heading1"/>
        <w:numPr>
          <w:ilvl w:val="1"/>
          <w:numId w:val="1"/>
        </w:numPr>
        <w:overflowPunct w:val="0"/>
        <w:autoSpaceDE w:val="0"/>
        <w:autoSpaceDN w:val="0"/>
        <w:adjustRightInd w:val="0"/>
        <w:textAlignment w:val="baseline"/>
        <w:rPr>
          <w:color w:val="000000" w:themeColor="text1"/>
        </w:rPr>
      </w:pPr>
      <w:r w:rsidRPr="002E2F5E">
        <w:rPr>
          <w:color w:val="000000" w:themeColor="text1"/>
        </w:rPr>
        <w:t xml:space="preserve">Open issues for TE </w:t>
      </w:r>
      <w:r w:rsidRPr="001D27B2">
        <w:rPr>
          <w:color w:val="000000" w:themeColor="text1"/>
        </w:rPr>
        <w:t>equipment</w:t>
      </w:r>
    </w:p>
    <w:p w14:paraId="3000AB96" w14:textId="31C2610D" w:rsidR="00674B62" w:rsidRPr="004E091B" w:rsidRDefault="002E2F5E" w:rsidP="00674B62">
      <w:pPr>
        <w:rPr>
          <w:color w:val="000000" w:themeColor="text1"/>
        </w:rPr>
      </w:pPr>
      <w:r w:rsidRPr="005C20AC">
        <w:rPr>
          <w:color w:val="000000" w:themeColor="text1"/>
        </w:rPr>
        <w:t>T</w:t>
      </w:r>
      <w:r w:rsidR="00704214" w:rsidRPr="005C20AC">
        <w:rPr>
          <w:color w:val="000000" w:themeColor="text1"/>
        </w:rPr>
        <w:t xml:space="preserve">he following open issues </w:t>
      </w:r>
      <w:r w:rsidRPr="005C20AC">
        <w:rPr>
          <w:color w:val="000000" w:themeColor="text1"/>
        </w:rPr>
        <w:t xml:space="preserve">were identified for further discussion </w:t>
      </w:r>
      <w:r w:rsidRPr="004E091B">
        <w:rPr>
          <w:color w:val="000000" w:themeColor="text1"/>
        </w:rPr>
        <w:t xml:space="preserve">next meeting. Interested companies are encouraged to provide related inputs next meeting:  </w:t>
      </w:r>
    </w:p>
    <w:p w14:paraId="143AB6EE" w14:textId="2C3F69AF" w:rsidR="004E091B" w:rsidRPr="004E091B" w:rsidRDefault="004E091B" w:rsidP="004E091B">
      <w:pPr>
        <w:pStyle w:val="ListParagraph"/>
        <w:numPr>
          <w:ilvl w:val="0"/>
          <w:numId w:val="6"/>
        </w:numPr>
        <w:rPr>
          <w:rFonts w:ascii="Times New Roman" w:hAnsi="Times New Roman"/>
          <w:color w:val="000000" w:themeColor="text1"/>
        </w:rPr>
      </w:pPr>
      <w:r w:rsidRPr="004E091B">
        <w:rPr>
          <w:rFonts w:ascii="Times New Roman" w:hAnsi="Times New Roman"/>
          <w:color w:val="000000" w:themeColor="text1"/>
        </w:rPr>
        <w:t xml:space="preserve">Consider division of the </w:t>
      </w:r>
      <w:r w:rsidR="00674B62" w:rsidRPr="004E091B">
        <w:rPr>
          <w:rFonts w:ascii="Times New Roman" w:hAnsi="Times New Roman"/>
          <w:color w:val="000000" w:themeColor="text1"/>
        </w:rPr>
        <w:t>TE</w:t>
      </w:r>
      <w:r w:rsidRPr="004E091B">
        <w:rPr>
          <w:rFonts w:ascii="Times New Roman" w:hAnsi="Times New Roman"/>
          <w:color w:val="000000" w:themeColor="text1"/>
        </w:rPr>
        <w:t xml:space="preserve"> MU for in-band and out-of-band categories with different MU values: </w:t>
      </w:r>
    </w:p>
    <w:p w14:paraId="6EFC566B" w14:textId="0DAEA2E3" w:rsidR="004E091B" w:rsidRPr="004E091B" w:rsidRDefault="00674B62" w:rsidP="004E091B">
      <w:pPr>
        <w:pStyle w:val="ListParagraph"/>
        <w:numPr>
          <w:ilvl w:val="1"/>
          <w:numId w:val="6"/>
        </w:numPr>
        <w:rPr>
          <w:rFonts w:ascii="Times New Roman" w:hAnsi="Times New Roman"/>
          <w:color w:val="000000" w:themeColor="text1"/>
        </w:rPr>
      </w:pPr>
      <w:r w:rsidRPr="004E091B">
        <w:rPr>
          <w:rFonts w:ascii="Times New Roman" w:hAnsi="Times New Roman"/>
          <w:color w:val="000000" w:themeColor="text1"/>
        </w:rPr>
        <w:t>In-band</w:t>
      </w:r>
      <w:r w:rsidR="004E091B" w:rsidRPr="004E091B">
        <w:rPr>
          <w:rFonts w:ascii="Times New Roman" w:hAnsi="Times New Roman"/>
          <w:color w:val="000000" w:themeColor="text1"/>
        </w:rPr>
        <w:t xml:space="preserve">: approach </w:t>
      </w:r>
      <w:r w:rsidRPr="004E091B">
        <w:rPr>
          <w:rFonts w:ascii="Times New Roman" w:hAnsi="Times New Roman"/>
          <w:color w:val="000000" w:themeColor="text1"/>
        </w:rPr>
        <w:t xml:space="preserve">without mixers </w:t>
      </w:r>
      <w:r w:rsidR="004E091B" w:rsidRPr="004E091B">
        <w:rPr>
          <w:rFonts w:ascii="Times New Roman" w:hAnsi="Times New Roman"/>
          <w:color w:val="000000" w:themeColor="text1"/>
        </w:rPr>
        <w:t xml:space="preserve">as baseline, </w:t>
      </w:r>
      <w:r w:rsidR="00251FEA">
        <w:rPr>
          <w:rFonts w:ascii="Times New Roman" w:hAnsi="Times New Roman"/>
          <w:color w:val="000000" w:themeColor="text1"/>
        </w:rPr>
        <w:tab/>
      </w:r>
    </w:p>
    <w:p w14:paraId="2B71857C" w14:textId="1E314F2D" w:rsidR="00674B62" w:rsidRPr="004E091B" w:rsidRDefault="00674B62" w:rsidP="004E091B">
      <w:pPr>
        <w:pStyle w:val="ListParagraph"/>
        <w:numPr>
          <w:ilvl w:val="1"/>
          <w:numId w:val="6"/>
        </w:numPr>
        <w:rPr>
          <w:rFonts w:ascii="Times New Roman" w:hAnsi="Times New Roman"/>
          <w:color w:val="000000" w:themeColor="text1"/>
        </w:rPr>
      </w:pPr>
      <w:r w:rsidRPr="004E091B">
        <w:rPr>
          <w:rFonts w:ascii="Times New Roman" w:hAnsi="Times New Roman"/>
          <w:color w:val="000000" w:themeColor="text1"/>
        </w:rPr>
        <w:t>out-of-band</w:t>
      </w:r>
      <w:r w:rsidR="004E091B" w:rsidRPr="004E091B">
        <w:rPr>
          <w:rFonts w:ascii="Times New Roman" w:hAnsi="Times New Roman"/>
          <w:color w:val="000000" w:themeColor="text1"/>
        </w:rPr>
        <w:t>:</w:t>
      </w:r>
      <w:r w:rsidRPr="004E091B">
        <w:rPr>
          <w:rFonts w:ascii="Times New Roman" w:hAnsi="Times New Roman"/>
          <w:color w:val="000000" w:themeColor="text1"/>
        </w:rPr>
        <w:t xml:space="preserve"> </w:t>
      </w:r>
      <w:r w:rsidR="004E091B" w:rsidRPr="004E091B">
        <w:rPr>
          <w:rFonts w:ascii="Times New Roman" w:hAnsi="Times New Roman"/>
          <w:color w:val="000000" w:themeColor="text1"/>
        </w:rPr>
        <w:t xml:space="preserve">approach with mixers as baseline, </w:t>
      </w:r>
    </w:p>
    <w:p w14:paraId="6545E9D6" w14:textId="15804A76" w:rsidR="00D66477" w:rsidRPr="001D6F34" w:rsidRDefault="00D66477" w:rsidP="005C20AC">
      <w:pPr>
        <w:pStyle w:val="ListParagraph"/>
        <w:numPr>
          <w:ilvl w:val="0"/>
          <w:numId w:val="6"/>
        </w:numPr>
        <w:rPr>
          <w:rFonts w:ascii="Times New Roman" w:hAnsi="Times New Roman"/>
          <w:color w:val="000000" w:themeColor="text1"/>
        </w:rPr>
      </w:pPr>
      <w:r w:rsidRPr="00D66477">
        <w:rPr>
          <w:rFonts w:ascii="Times New Roman" w:hAnsi="Times New Roman"/>
          <w:color w:val="000000" w:themeColor="text1"/>
        </w:rPr>
        <w:t xml:space="preserve">Consider adding </w:t>
      </w:r>
      <w:r w:rsidR="00674B62" w:rsidRPr="001D6F34">
        <w:rPr>
          <w:rFonts w:ascii="Times New Roman" w:hAnsi="Times New Roman"/>
          <w:color w:val="000000" w:themeColor="text1"/>
        </w:rPr>
        <w:t>separate MU contribution for power meter</w:t>
      </w:r>
      <w:r w:rsidRPr="001D6F34">
        <w:rPr>
          <w:rFonts w:ascii="Times New Roman" w:hAnsi="Times New Roman"/>
          <w:color w:val="000000" w:themeColor="text1"/>
        </w:rPr>
        <w:t xml:space="preserve"> and for spectrum analyser.</w:t>
      </w:r>
    </w:p>
    <w:p w14:paraId="461DBAB0" w14:textId="6551CAD2" w:rsidR="00674B62" w:rsidRPr="000679ED" w:rsidRDefault="00674B62" w:rsidP="005C20AC">
      <w:pPr>
        <w:pStyle w:val="ListParagraph"/>
        <w:numPr>
          <w:ilvl w:val="0"/>
          <w:numId w:val="6"/>
        </w:numPr>
        <w:rPr>
          <w:rFonts w:ascii="Times New Roman" w:hAnsi="Times New Roman"/>
          <w:color w:val="000000" w:themeColor="text1"/>
        </w:rPr>
      </w:pPr>
      <w:r w:rsidRPr="001D6F34">
        <w:rPr>
          <w:rFonts w:ascii="Times New Roman" w:hAnsi="Times New Roman"/>
          <w:color w:val="000000" w:themeColor="text1"/>
        </w:rPr>
        <w:t xml:space="preserve">For EIS and EIRP requirements with sufficient link budget add an additional calibration to improve absolute power MU. For other requirements the additional calibration is not applicable, since the signal will </w:t>
      </w:r>
      <w:r w:rsidR="00600108">
        <w:rPr>
          <w:rFonts w:ascii="Times New Roman" w:hAnsi="Times New Roman"/>
          <w:color w:val="000000" w:themeColor="text1"/>
        </w:rPr>
        <w:t xml:space="preserve">be </w:t>
      </w:r>
      <w:r w:rsidRPr="001D6F34">
        <w:rPr>
          <w:rFonts w:ascii="Times New Roman" w:hAnsi="Times New Roman"/>
          <w:color w:val="000000" w:themeColor="text1"/>
        </w:rPr>
        <w:t>to</w:t>
      </w:r>
      <w:r w:rsidR="00600108">
        <w:rPr>
          <w:rFonts w:ascii="Times New Roman" w:hAnsi="Times New Roman"/>
          <w:color w:val="000000" w:themeColor="text1"/>
        </w:rPr>
        <w:t>o</w:t>
      </w:r>
      <w:r w:rsidRPr="001D6F34">
        <w:rPr>
          <w:rFonts w:ascii="Times New Roman" w:hAnsi="Times New Roman"/>
          <w:color w:val="000000" w:themeColor="text1"/>
        </w:rPr>
        <w:t xml:space="preserve"> weak for the power meter. The </w:t>
      </w:r>
      <w:r w:rsidRPr="000679ED">
        <w:rPr>
          <w:rFonts w:ascii="Times New Roman" w:hAnsi="Times New Roman"/>
          <w:color w:val="000000" w:themeColor="text1"/>
        </w:rPr>
        <w:t>calibration needs to be captured in TR 37.941 for specific requirements.</w:t>
      </w:r>
    </w:p>
    <w:p w14:paraId="6195D0C7" w14:textId="4E3736E1" w:rsidR="00C26925" w:rsidRPr="000679ED" w:rsidRDefault="00C26925" w:rsidP="005C20AC">
      <w:pPr>
        <w:pStyle w:val="ListParagraph"/>
        <w:numPr>
          <w:ilvl w:val="0"/>
          <w:numId w:val="6"/>
        </w:numPr>
        <w:rPr>
          <w:rFonts w:ascii="Times New Roman" w:eastAsia="DengXian" w:hAnsi="Times New Roman"/>
          <w:color w:val="000000" w:themeColor="text1"/>
        </w:rPr>
      </w:pPr>
      <w:r w:rsidRPr="000679ED">
        <w:rPr>
          <w:rFonts w:ascii="Times New Roman" w:hAnsi="Times New Roman"/>
          <w:color w:val="000000" w:themeColor="text1"/>
          <w:lang w:val="en-US" w:eastAsia="zh-CN"/>
        </w:rPr>
        <w:t>Consideration of the LNA for high power measurements</w:t>
      </w:r>
      <w:r w:rsidR="000E1B45" w:rsidRPr="000679ED">
        <w:rPr>
          <w:rFonts w:ascii="Times New Roman" w:hAnsi="Times New Roman"/>
          <w:color w:val="000000" w:themeColor="text1"/>
          <w:lang w:val="en-US" w:eastAsia="zh-CN"/>
        </w:rPr>
        <w:t xml:space="preserve"> to be further analyzed</w:t>
      </w:r>
      <w:r w:rsidRPr="000679ED">
        <w:rPr>
          <w:rFonts w:ascii="Times New Roman" w:hAnsi="Times New Roman"/>
          <w:color w:val="000000" w:themeColor="text1"/>
          <w:lang w:val="en-US" w:eastAsia="zh-CN"/>
        </w:rPr>
        <w:t>.</w:t>
      </w:r>
      <w:r w:rsidR="000E1B45" w:rsidRPr="000679ED">
        <w:rPr>
          <w:rFonts w:ascii="Times New Roman" w:hAnsi="Times New Roman"/>
          <w:color w:val="000000" w:themeColor="text1"/>
          <w:lang w:val="en-US" w:eastAsia="zh-CN"/>
        </w:rPr>
        <w:t xml:space="preserve"> Further motivation to be provided. </w:t>
      </w:r>
    </w:p>
    <w:p w14:paraId="2AC121B7" w14:textId="00D8B6D7" w:rsidR="000E1B45" w:rsidRPr="000679ED" w:rsidRDefault="000E1B45" w:rsidP="000E1B45">
      <w:pPr>
        <w:pStyle w:val="NO"/>
      </w:pPr>
      <w:r w:rsidRPr="000679ED">
        <w:rPr>
          <w:lang w:val="en-US" w:eastAsia="zh-CN"/>
        </w:rPr>
        <w:t>NOTE:</w:t>
      </w:r>
      <w:r w:rsidRPr="000679ED">
        <w:rPr>
          <w:lang w:val="en-US" w:eastAsia="zh-CN"/>
        </w:rPr>
        <w:tab/>
        <w:t xml:space="preserve">MU contributors for the above LNA are to be kept in [] in the MU budget Excel spreadsheets. </w:t>
      </w:r>
    </w:p>
    <w:p w14:paraId="5B9CE78D" w14:textId="77777777" w:rsidR="00674B62" w:rsidRPr="000679ED" w:rsidRDefault="00674B62" w:rsidP="00674B62">
      <w:pPr>
        <w:spacing w:after="0"/>
        <w:rPr>
          <w:rFonts w:ascii="Calibri" w:eastAsia="Times New Roman" w:hAnsi="Calibri" w:cs="Calibri"/>
          <w:color w:val="FF0000"/>
          <w:sz w:val="22"/>
          <w:szCs w:val="22"/>
          <w:lang w:val="en-US" w:eastAsia="zh-CN"/>
        </w:rPr>
      </w:pPr>
    </w:p>
    <w:p w14:paraId="03F57F91" w14:textId="2FAE485B" w:rsidR="00251FEA" w:rsidRPr="000679ED" w:rsidRDefault="00251FEA" w:rsidP="00674B62">
      <w:pPr>
        <w:pStyle w:val="Heading1"/>
        <w:numPr>
          <w:ilvl w:val="1"/>
          <w:numId w:val="1"/>
        </w:numPr>
        <w:overflowPunct w:val="0"/>
        <w:autoSpaceDE w:val="0"/>
        <w:autoSpaceDN w:val="0"/>
        <w:adjustRightInd w:val="0"/>
        <w:textAlignment w:val="baseline"/>
        <w:rPr>
          <w:color w:val="000000" w:themeColor="text1"/>
        </w:rPr>
      </w:pPr>
      <w:r w:rsidRPr="000679ED">
        <w:rPr>
          <w:color w:val="000000" w:themeColor="text1"/>
        </w:rPr>
        <w:t>OBW MU</w:t>
      </w:r>
    </w:p>
    <w:p w14:paraId="4C1AA366" w14:textId="2805F72F" w:rsidR="00251FEA" w:rsidRPr="001D27B2" w:rsidRDefault="00251FEA" w:rsidP="000679ED">
      <w:pPr>
        <w:tabs>
          <w:tab w:val="left" w:pos="397"/>
        </w:tabs>
        <w:rPr>
          <w:lang w:eastAsia="ja-JP"/>
        </w:rPr>
      </w:pPr>
      <w:r w:rsidRPr="000679ED">
        <w:rPr>
          <w:lang w:eastAsia="ja-JP"/>
        </w:rPr>
        <w:t xml:space="preserve">With measurement points resolution increased to 800 kHz, OBW MU to be increased to </w:t>
      </w:r>
      <w:r w:rsidR="00676E97" w:rsidRPr="000679ED">
        <w:rPr>
          <w:lang w:eastAsia="ja-JP"/>
        </w:rPr>
        <w:t>[</w:t>
      </w:r>
      <w:r w:rsidRPr="000679ED">
        <w:rPr>
          <w:lang w:eastAsia="ja-JP"/>
        </w:rPr>
        <w:t>2400 kHz</w:t>
      </w:r>
      <w:r w:rsidR="00676E97" w:rsidRPr="000679ED">
        <w:rPr>
          <w:lang w:eastAsia="ja-JP"/>
        </w:rPr>
        <w:t>]</w:t>
      </w:r>
      <w:r w:rsidRPr="000679ED">
        <w:rPr>
          <w:lang w:eastAsia="ja-JP"/>
        </w:rPr>
        <w:t xml:space="preserve"> for those CHBW</w:t>
      </w:r>
      <w:r w:rsidR="00676E97" w:rsidRPr="000679ED">
        <w:rPr>
          <w:lang w:eastAsia="ja-JP"/>
        </w:rPr>
        <w:t>.</w:t>
      </w:r>
    </w:p>
    <w:p w14:paraId="7C2B998A" w14:textId="77777777" w:rsidR="00251FEA" w:rsidRPr="000679ED" w:rsidRDefault="00251FEA" w:rsidP="000679ED"/>
    <w:p w14:paraId="4C0D7EA0" w14:textId="09F236AF" w:rsidR="00674B62" w:rsidRPr="001D6F34" w:rsidRDefault="00674B62" w:rsidP="00674B62">
      <w:pPr>
        <w:pStyle w:val="Heading1"/>
        <w:numPr>
          <w:ilvl w:val="1"/>
          <w:numId w:val="1"/>
        </w:numPr>
        <w:overflowPunct w:val="0"/>
        <w:autoSpaceDE w:val="0"/>
        <w:autoSpaceDN w:val="0"/>
        <w:adjustRightInd w:val="0"/>
        <w:textAlignment w:val="baseline"/>
        <w:rPr>
          <w:color w:val="000000" w:themeColor="text1"/>
        </w:rPr>
      </w:pPr>
      <w:r w:rsidRPr="00AD7B34">
        <w:rPr>
          <w:color w:val="000000" w:themeColor="text1"/>
        </w:rPr>
        <w:t>MU values for T</w:t>
      </w:r>
      <w:r w:rsidRPr="001D6F34">
        <w:rPr>
          <w:color w:val="000000" w:themeColor="text1"/>
        </w:rPr>
        <w:t>E equipment</w:t>
      </w:r>
    </w:p>
    <w:p w14:paraId="00CAFE1C" w14:textId="7D15E1AF" w:rsidR="006C228C" w:rsidRDefault="00AD7B34" w:rsidP="00AD7B34">
      <w:r w:rsidRPr="001D6F34">
        <w:t>Based on inputs submitted in [</w:t>
      </w:r>
      <w:r w:rsidR="001D6F34" w:rsidRPr="001D6F34">
        <w:t>1, 3-9</w:t>
      </w:r>
      <w:r w:rsidRPr="001D6F34">
        <w:t>], the</w:t>
      </w:r>
      <w:r>
        <w:t xml:space="preserve"> following </w:t>
      </w:r>
      <w:r w:rsidR="000B2634">
        <w:t xml:space="preserve">ranges </w:t>
      </w:r>
      <w:r w:rsidR="00600108">
        <w:t xml:space="preserve">are provisionally </w:t>
      </w:r>
      <w:r>
        <w:t>agreed for</w:t>
      </w:r>
      <w:r w:rsidR="000B2634">
        <w:t xml:space="preserve"> </w:t>
      </w:r>
      <w:r>
        <w:t>t</w:t>
      </w:r>
      <w:r w:rsidR="000B2634">
        <w:t>he</w:t>
      </w:r>
      <w:r>
        <w:t xml:space="preserve"> Test Equipment MU values</w:t>
      </w:r>
      <w:r w:rsidR="00600108">
        <w:t xml:space="preserve"> and will be further discussed to arrive the final MU values</w:t>
      </w:r>
      <w:r>
        <w:t>:</w:t>
      </w:r>
    </w:p>
    <w:p w14:paraId="083ED21D" w14:textId="38B82338" w:rsidR="006C228C" w:rsidRDefault="00E12A5D" w:rsidP="00E12A5D">
      <w:pPr>
        <w:pStyle w:val="TH"/>
      </w:pPr>
      <w:r>
        <w:t>Table 1: TE MU values for in-band</w:t>
      </w:r>
      <w:r w:rsidR="00AD7B34">
        <w:t xml:space="preserve"> </w:t>
      </w:r>
      <w:r>
        <w:t>measurements</w:t>
      </w:r>
    </w:p>
    <w:tbl>
      <w:tblPr>
        <w:tblW w:w="5000" w:type="pct"/>
        <w:tblLook w:val="04A0" w:firstRow="1" w:lastRow="0" w:firstColumn="1" w:lastColumn="0" w:noHBand="0" w:noVBand="1"/>
      </w:tblPr>
      <w:tblGrid>
        <w:gridCol w:w="1114"/>
        <w:gridCol w:w="5459"/>
        <w:gridCol w:w="2777"/>
      </w:tblGrid>
      <w:tr w:rsidR="00AD7B34" w:rsidRPr="00AD7B34" w14:paraId="6540EAE2" w14:textId="77777777" w:rsidTr="00AD7B34">
        <w:trPr>
          <w:trHeight w:val="300"/>
        </w:trPr>
        <w:tc>
          <w:tcPr>
            <w:tcW w:w="59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1A9BC14" w14:textId="77777777" w:rsidR="00AD7B34" w:rsidRPr="00AD7B34" w:rsidRDefault="00AD7B34" w:rsidP="009679E0">
            <w:pPr>
              <w:spacing w:after="0"/>
              <w:jc w:val="center"/>
              <w:rPr>
                <w:rFonts w:ascii="Arial" w:eastAsia="Times New Roman" w:hAnsi="Arial" w:cs="Arial"/>
                <w:b/>
                <w:bCs/>
                <w:color w:val="000000"/>
                <w:sz w:val="16"/>
                <w:szCs w:val="16"/>
                <w:lang w:val="en-US" w:eastAsia="zh-CN"/>
              </w:rPr>
            </w:pPr>
            <w:r w:rsidRPr="00AD7B34">
              <w:rPr>
                <w:rFonts w:ascii="Arial" w:eastAsia="Times New Roman" w:hAnsi="Arial" w:cs="Arial"/>
                <w:b/>
                <w:bCs/>
                <w:color w:val="000000"/>
                <w:sz w:val="16"/>
                <w:szCs w:val="16"/>
                <w:lang w:val="en-US" w:eastAsia="zh-CN"/>
              </w:rPr>
              <w:t>UID</w:t>
            </w:r>
          </w:p>
        </w:tc>
        <w:tc>
          <w:tcPr>
            <w:tcW w:w="2919" w:type="pct"/>
            <w:tcBorders>
              <w:top w:val="single" w:sz="4" w:space="0" w:color="auto"/>
              <w:left w:val="nil"/>
              <w:bottom w:val="single" w:sz="4" w:space="0" w:color="auto"/>
              <w:right w:val="single" w:sz="4" w:space="0" w:color="auto"/>
            </w:tcBorders>
            <w:shd w:val="clear" w:color="000000" w:fill="D9D9D9"/>
            <w:vAlign w:val="center"/>
            <w:hideMark/>
          </w:tcPr>
          <w:p w14:paraId="67A0ED5B" w14:textId="77777777" w:rsidR="00AD7B34" w:rsidRPr="00AD7B34" w:rsidRDefault="00AD7B34" w:rsidP="009679E0">
            <w:pPr>
              <w:spacing w:after="0"/>
              <w:jc w:val="center"/>
              <w:rPr>
                <w:rFonts w:ascii="Arial" w:eastAsia="Times New Roman" w:hAnsi="Arial" w:cs="Arial"/>
                <w:b/>
                <w:bCs/>
                <w:color w:val="000000"/>
                <w:sz w:val="16"/>
                <w:szCs w:val="16"/>
                <w:lang w:val="en-US" w:eastAsia="zh-CN"/>
              </w:rPr>
            </w:pPr>
            <w:r w:rsidRPr="00AD7B34">
              <w:rPr>
                <w:rFonts w:ascii="Arial" w:eastAsia="Times New Roman" w:hAnsi="Arial" w:cs="Arial"/>
                <w:b/>
                <w:bCs/>
                <w:color w:val="000000"/>
                <w:sz w:val="16"/>
                <w:szCs w:val="16"/>
                <w:lang w:val="en-US" w:eastAsia="zh-CN"/>
              </w:rPr>
              <w:t>Uncertainty source</w:t>
            </w:r>
          </w:p>
        </w:tc>
        <w:tc>
          <w:tcPr>
            <w:tcW w:w="1486" w:type="pct"/>
            <w:tcBorders>
              <w:top w:val="single" w:sz="4" w:space="0" w:color="auto"/>
              <w:left w:val="nil"/>
              <w:bottom w:val="single" w:sz="4" w:space="0" w:color="auto"/>
              <w:right w:val="single" w:sz="4" w:space="0" w:color="auto"/>
            </w:tcBorders>
            <w:shd w:val="clear" w:color="000000" w:fill="D9D9D9"/>
            <w:vAlign w:val="center"/>
            <w:hideMark/>
          </w:tcPr>
          <w:p w14:paraId="284BB877" w14:textId="50A3A6F3" w:rsidR="009679E0" w:rsidRDefault="009679E0" w:rsidP="009679E0">
            <w:pPr>
              <w:spacing w:after="0"/>
              <w:jc w:val="center"/>
              <w:rPr>
                <w:rFonts w:ascii="Arial" w:eastAsia="Times New Roman" w:hAnsi="Arial" w:cs="Arial"/>
                <w:b/>
                <w:bCs/>
                <w:color w:val="000000"/>
                <w:sz w:val="16"/>
                <w:szCs w:val="16"/>
                <w:lang w:val="en-US" w:eastAsia="zh-CN"/>
              </w:rPr>
            </w:pPr>
            <w:r>
              <w:rPr>
                <w:rFonts w:ascii="Arial" w:eastAsia="Times New Roman" w:hAnsi="Arial" w:cs="Arial"/>
                <w:b/>
                <w:bCs/>
                <w:color w:val="000000"/>
                <w:sz w:val="16"/>
                <w:szCs w:val="16"/>
                <w:lang w:val="en-US" w:eastAsia="zh-CN"/>
              </w:rPr>
              <w:t>Standard uncertainty values,</w:t>
            </w:r>
          </w:p>
          <w:p w14:paraId="4FF0BB76" w14:textId="7BF066C6" w:rsidR="00AD7B34" w:rsidRDefault="00AD7B34" w:rsidP="009679E0">
            <w:pPr>
              <w:spacing w:after="0"/>
              <w:jc w:val="center"/>
              <w:rPr>
                <w:rFonts w:ascii="Arial" w:eastAsia="Times New Roman" w:hAnsi="Arial" w:cs="Arial"/>
                <w:b/>
                <w:bCs/>
                <w:color w:val="000000"/>
                <w:sz w:val="16"/>
                <w:szCs w:val="16"/>
                <w:lang w:val="en-US" w:eastAsia="zh-CN"/>
              </w:rPr>
            </w:pPr>
            <w:r w:rsidRPr="00AD7B34">
              <w:rPr>
                <w:rFonts w:ascii="Arial" w:eastAsia="Times New Roman" w:hAnsi="Arial" w:cs="Arial"/>
                <w:b/>
                <w:bCs/>
                <w:color w:val="000000"/>
                <w:sz w:val="16"/>
                <w:szCs w:val="16"/>
                <w:lang w:val="en-US" w:eastAsia="zh-CN"/>
              </w:rPr>
              <w:t>52.6 &lt; f ≤ 71 GHz</w:t>
            </w:r>
          </w:p>
          <w:p w14:paraId="23BEAEB4" w14:textId="61547B00" w:rsidR="00AD7B34" w:rsidRPr="00AD7B34" w:rsidRDefault="00AD7B34" w:rsidP="009679E0">
            <w:pPr>
              <w:spacing w:after="0"/>
              <w:jc w:val="center"/>
              <w:rPr>
                <w:rFonts w:ascii="Arial" w:eastAsia="Times New Roman" w:hAnsi="Arial" w:cs="Arial"/>
                <w:b/>
                <w:bCs/>
                <w:color w:val="000000"/>
                <w:sz w:val="16"/>
                <w:szCs w:val="16"/>
                <w:lang w:val="en-US" w:eastAsia="zh-CN"/>
              </w:rPr>
            </w:pPr>
            <w:r>
              <w:rPr>
                <w:rFonts w:ascii="Arial" w:eastAsia="Times New Roman" w:hAnsi="Arial" w:cs="Arial"/>
                <w:b/>
                <w:bCs/>
                <w:color w:val="000000"/>
                <w:sz w:val="16"/>
                <w:szCs w:val="16"/>
                <w:lang w:val="en-US" w:eastAsia="zh-CN"/>
              </w:rPr>
              <w:t>[dB]</w:t>
            </w:r>
          </w:p>
        </w:tc>
      </w:tr>
      <w:tr w:rsidR="00AD7B34" w:rsidRPr="00AD7B34" w14:paraId="458EDC7F" w14:textId="77777777" w:rsidTr="00AD7B34">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067FC27C" w14:textId="77777777"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C1-1</w:t>
            </w:r>
          </w:p>
        </w:tc>
        <w:tc>
          <w:tcPr>
            <w:tcW w:w="2919" w:type="pct"/>
            <w:tcBorders>
              <w:top w:val="nil"/>
              <w:left w:val="nil"/>
              <w:bottom w:val="single" w:sz="4" w:space="0" w:color="auto"/>
              <w:right w:val="single" w:sz="4" w:space="0" w:color="auto"/>
            </w:tcBorders>
            <w:shd w:val="clear" w:color="auto" w:fill="auto"/>
            <w:vAlign w:val="center"/>
            <w:hideMark/>
          </w:tcPr>
          <w:p w14:paraId="6E54D57A" w14:textId="77777777" w:rsidR="00AD7B34" w:rsidRPr="00AD7B34" w:rsidRDefault="00AD7B34" w:rsidP="00AD7B34">
            <w:pPr>
              <w:spacing w:after="0"/>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Uncertainty of the RF power measurement equipment (e.g. spectrum analyzer, power meter) - high power (EIRP, TRP)</w:t>
            </w:r>
          </w:p>
        </w:tc>
        <w:tc>
          <w:tcPr>
            <w:tcW w:w="1486" w:type="pct"/>
            <w:tcBorders>
              <w:top w:val="nil"/>
              <w:left w:val="nil"/>
              <w:bottom w:val="single" w:sz="4" w:space="0" w:color="auto"/>
              <w:right w:val="single" w:sz="4" w:space="0" w:color="auto"/>
            </w:tcBorders>
            <w:shd w:val="clear" w:color="auto" w:fill="auto"/>
            <w:noWrap/>
            <w:vAlign w:val="center"/>
            <w:hideMark/>
          </w:tcPr>
          <w:p w14:paraId="478E9FA2" w14:textId="723C04D1"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[0.3</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2.36]</w:t>
            </w:r>
          </w:p>
        </w:tc>
      </w:tr>
      <w:tr w:rsidR="00AD7B34" w:rsidRPr="00AD7B34" w14:paraId="51E7A5C7" w14:textId="77777777" w:rsidTr="00AD7B34">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14ADDB64" w14:textId="77777777"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C1-7</w:t>
            </w:r>
          </w:p>
        </w:tc>
        <w:tc>
          <w:tcPr>
            <w:tcW w:w="2919" w:type="pct"/>
            <w:tcBorders>
              <w:top w:val="nil"/>
              <w:left w:val="nil"/>
              <w:bottom w:val="single" w:sz="4" w:space="0" w:color="auto"/>
              <w:right w:val="single" w:sz="4" w:space="0" w:color="auto"/>
            </w:tcBorders>
            <w:shd w:val="clear" w:color="auto" w:fill="auto"/>
            <w:vAlign w:val="center"/>
            <w:hideMark/>
          </w:tcPr>
          <w:p w14:paraId="6CC64A57" w14:textId="77777777" w:rsidR="00AD7B34" w:rsidRPr="00AD7B34" w:rsidRDefault="00AD7B34" w:rsidP="00AD7B34">
            <w:pPr>
              <w:spacing w:after="0"/>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RF power measurement equipment (e.g. spectrum analyzer, power meter) - low power (UEM, absolute ACLR)</w:t>
            </w:r>
          </w:p>
        </w:tc>
        <w:tc>
          <w:tcPr>
            <w:tcW w:w="1486" w:type="pct"/>
            <w:tcBorders>
              <w:top w:val="nil"/>
              <w:left w:val="nil"/>
              <w:bottom w:val="single" w:sz="4" w:space="0" w:color="auto"/>
              <w:right w:val="single" w:sz="4" w:space="0" w:color="auto"/>
            </w:tcBorders>
            <w:shd w:val="clear" w:color="auto" w:fill="auto"/>
            <w:noWrap/>
            <w:vAlign w:val="center"/>
            <w:hideMark/>
          </w:tcPr>
          <w:p w14:paraId="0E1EE298" w14:textId="0665A00A"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[0.7</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2.36]</w:t>
            </w:r>
          </w:p>
        </w:tc>
      </w:tr>
      <w:tr w:rsidR="00AD7B34" w:rsidRPr="00AD7B34" w14:paraId="31B82226" w14:textId="77777777" w:rsidTr="00AD7B34">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3ECFA4DA" w14:textId="77777777"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C1-8</w:t>
            </w:r>
          </w:p>
        </w:tc>
        <w:tc>
          <w:tcPr>
            <w:tcW w:w="2919" w:type="pct"/>
            <w:tcBorders>
              <w:top w:val="nil"/>
              <w:left w:val="nil"/>
              <w:bottom w:val="single" w:sz="4" w:space="0" w:color="auto"/>
              <w:right w:val="single" w:sz="4" w:space="0" w:color="auto"/>
            </w:tcBorders>
            <w:shd w:val="clear" w:color="auto" w:fill="auto"/>
            <w:vAlign w:val="center"/>
            <w:hideMark/>
          </w:tcPr>
          <w:p w14:paraId="3EF405B4" w14:textId="77777777" w:rsidR="00AD7B34" w:rsidRPr="00AD7B34" w:rsidRDefault="00AD7B34" w:rsidP="00AD7B34">
            <w:pPr>
              <w:spacing w:after="0"/>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RF power measurement equipment (e.g. spectrum analyzer, power meter) - relative (ACLR)</w:t>
            </w:r>
          </w:p>
        </w:tc>
        <w:tc>
          <w:tcPr>
            <w:tcW w:w="1486" w:type="pct"/>
            <w:tcBorders>
              <w:top w:val="nil"/>
              <w:left w:val="nil"/>
              <w:bottom w:val="single" w:sz="4" w:space="0" w:color="auto"/>
              <w:right w:val="single" w:sz="4" w:space="0" w:color="auto"/>
            </w:tcBorders>
            <w:shd w:val="clear" w:color="auto" w:fill="auto"/>
            <w:noWrap/>
            <w:vAlign w:val="center"/>
            <w:hideMark/>
          </w:tcPr>
          <w:p w14:paraId="328BA14F" w14:textId="7591238B"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[0.7</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2.36]</w:t>
            </w:r>
          </w:p>
        </w:tc>
      </w:tr>
      <w:tr w:rsidR="00AD7B34" w:rsidRPr="00AD7B34" w14:paraId="48C4301C" w14:textId="77777777" w:rsidTr="00AD7B34">
        <w:trPr>
          <w:trHeight w:val="45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0002EC77" w14:textId="77777777"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C1-9</w:t>
            </w:r>
          </w:p>
        </w:tc>
        <w:tc>
          <w:tcPr>
            <w:tcW w:w="2919" w:type="pct"/>
            <w:tcBorders>
              <w:top w:val="nil"/>
              <w:left w:val="nil"/>
              <w:bottom w:val="single" w:sz="4" w:space="0" w:color="auto"/>
              <w:right w:val="single" w:sz="4" w:space="0" w:color="auto"/>
            </w:tcBorders>
            <w:shd w:val="clear" w:color="auto" w:fill="auto"/>
            <w:vAlign w:val="center"/>
            <w:hideMark/>
          </w:tcPr>
          <w:p w14:paraId="0B3650D9" w14:textId="77777777" w:rsidR="00AD7B34" w:rsidRPr="00AD7B34" w:rsidRDefault="00AD7B34" w:rsidP="00AD7B34">
            <w:pPr>
              <w:spacing w:after="0"/>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RF power measurement equipment standard uncertainty σ (dB) of the absolute level for a time domain wideband measurement for FR2</w:t>
            </w:r>
          </w:p>
        </w:tc>
        <w:tc>
          <w:tcPr>
            <w:tcW w:w="1486" w:type="pct"/>
            <w:tcBorders>
              <w:top w:val="nil"/>
              <w:left w:val="nil"/>
              <w:bottom w:val="single" w:sz="4" w:space="0" w:color="auto"/>
              <w:right w:val="single" w:sz="4" w:space="0" w:color="auto"/>
            </w:tcBorders>
            <w:shd w:val="clear" w:color="auto" w:fill="auto"/>
            <w:noWrap/>
            <w:vAlign w:val="center"/>
            <w:hideMark/>
          </w:tcPr>
          <w:p w14:paraId="3DC8507A" w14:textId="0BDDE492"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[1.65</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2.61]</w:t>
            </w:r>
          </w:p>
        </w:tc>
      </w:tr>
      <w:tr w:rsidR="00AD7B34" w:rsidRPr="00AD7B34" w14:paraId="04732F6C" w14:textId="77777777" w:rsidTr="00AD7B34">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29767019" w14:textId="77777777"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C1-2</w:t>
            </w:r>
          </w:p>
        </w:tc>
        <w:tc>
          <w:tcPr>
            <w:tcW w:w="2919" w:type="pct"/>
            <w:tcBorders>
              <w:top w:val="nil"/>
              <w:left w:val="nil"/>
              <w:bottom w:val="single" w:sz="4" w:space="0" w:color="auto"/>
              <w:right w:val="single" w:sz="4" w:space="0" w:color="auto"/>
            </w:tcBorders>
            <w:shd w:val="clear" w:color="auto" w:fill="auto"/>
            <w:vAlign w:val="center"/>
            <w:hideMark/>
          </w:tcPr>
          <w:p w14:paraId="3FB74553" w14:textId="77777777" w:rsidR="00AD7B34" w:rsidRPr="00AD7B34" w:rsidRDefault="00AD7B34" w:rsidP="00AD7B34">
            <w:pPr>
              <w:spacing w:after="0"/>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RF signal generator</w:t>
            </w:r>
          </w:p>
        </w:tc>
        <w:tc>
          <w:tcPr>
            <w:tcW w:w="1486" w:type="pct"/>
            <w:tcBorders>
              <w:top w:val="nil"/>
              <w:left w:val="nil"/>
              <w:bottom w:val="single" w:sz="4" w:space="0" w:color="auto"/>
              <w:right w:val="single" w:sz="4" w:space="0" w:color="auto"/>
            </w:tcBorders>
            <w:shd w:val="clear" w:color="auto" w:fill="auto"/>
            <w:noWrap/>
            <w:vAlign w:val="center"/>
            <w:hideMark/>
          </w:tcPr>
          <w:p w14:paraId="74EB5D9C" w14:textId="5A3F5E94"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[0.3</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2.37]</w:t>
            </w:r>
          </w:p>
        </w:tc>
      </w:tr>
      <w:tr w:rsidR="00AD7B34" w:rsidRPr="00AD7B34" w14:paraId="31FD3015" w14:textId="77777777" w:rsidTr="00AD7B34">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51EEFE8D" w14:textId="77777777"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C1-3</w:t>
            </w:r>
          </w:p>
        </w:tc>
        <w:tc>
          <w:tcPr>
            <w:tcW w:w="2919" w:type="pct"/>
            <w:tcBorders>
              <w:top w:val="nil"/>
              <w:left w:val="nil"/>
              <w:bottom w:val="single" w:sz="4" w:space="0" w:color="auto"/>
              <w:right w:val="single" w:sz="4" w:space="0" w:color="auto"/>
            </w:tcBorders>
            <w:shd w:val="clear" w:color="auto" w:fill="auto"/>
            <w:vAlign w:val="center"/>
            <w:hideMark/>
          </w:tcPr>
          <w:p w14:paraId="58A84987" w14:textId="77777777" w:rsidR="00AD7B34" w:rsidRPr="00AD7B34" w:rsidRDefault="00AD7B34" w:rsidP="00AD7B34">
            <w:pPr>
              <w:spacing w:after="0"/>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Uncertainty of the network analyzer</w:t>
            </w:r>
          </w:p>
        </w:tc>
        <w:tc>
          <w:tcPr>
            <w:tcW w:w="1486" w:type="pct"/>
            <w:tcBorders>
              <w:top w:val="nil"/>
              <w:left w:val="nil"/>
              <w:bottom w:val="single" w:sz="4" w:space="0" w:color="auto"/>
              <w:right w:val="single" w:sz="4" w:space="0" w:color="auto"/>
            </w:tcBorders>
            <w:shd w:val="clear" w:color="auto" w:fill="auto"/>
            <w:noWrap/>
            <w:vAlign w:val="center"/>
            <w:hideMark/>
          </w:tcPr>
          <w:p w14:paraId="4B19A5DF" w14:textId="6F594D20"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[0.4</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w:t>
            </w:r>
            <w:r>
              <w:rPr>
                <w:rFonts w:ascii="Arial" w:eastAsia="Times New Roman" w:hAnsi="Arial" w:cs="Arial"/>
                <w:color w:val="000000"/>
                <w:sz w:val="16"/>
                <w:szCs w:val="16"/>
                <w:lang w:val="en-US" w:eastAsia="zh-CN"/>
              </w:rPr>
              <w:t xml:space="preserve"> </w:t>
            </w:r>
            <w:r w:rsidRPr="00AD7B34">
              <w:rPr>
                <w:rFonts w:ascii="Arial" w:eastAsia="Times New Roman" w:hAnsi="Arial" w:cs="Arial"/>
                <w:color w:val="000000"/>
                <w:sz w:val="16"/>
                <w:szCs w:val="16"/>
                <w:lang w:val="en-US" w:eastAsia="zh-CN"/>
              </w:rPr>
              <w:t>0.87]</w:t>
            </w:r>
          </w:p>
        </w:tc>
      </w:tr>
      <w:tr w:rsidR="00AD7B34" w:rsidRPr="00AD7B34" w14:paraId="6A973442" w14:textId="77777777" w:rsidTr="00AD7B34">
        <w:trPr>
          <w:trHeight w:val="300"/>
        </w:trPr>
        <w:tc>
          <w:tcPr>
            <w:tcW w:w="596" w:type="pct"/>
            <w:tcBorders>
              <w:top w:val="nil"/>
              <w:left w:val="single" w:sz="4" w:space="0" w:color="auto"/>
              <w:bottom w:val="single" w:sz="4" w:space="0" w:color="auto"/>
              <w:right w:val="single" w:sz="4" w:space="0" w:color="auto"/>
            </w:tcBorders>
            <w:shd w:val="clear" w:color="auto" w:fill="auto"/>
            <w:noWrap/>
            <w:vAlign w:val="center"/>
            <w:hideMark/>
          </w:tcPr>
          <w:p w14:paraId="592A67D3" w14:textId="77777777"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C1-4</w:t>
            </w:r>
          </w:p>
        </w:tc>
        <w:tc>
          <w:tcPr>
            <w:tcW w:w="2919" w:type="pct"/>
            <w:tcBorders>
              <w:top w:val="nil"/>
              <w:left w:val="nil"/>
              <w:bottom w:val="single" w:sz="4" w:space="0" w:color="auto"/>
              <w:right w:val="single" w:sz="4" w:space="0" w:color="auto"/>
            </w:tcBorders>
            <w:shd w:val="clear" w:color="auto" w:fill="auto"/>
            <w:vAlign w:val="center"/>
            <w:hideMark/>
          </w:tcPr>
          <w:p w14:paraId="4ADDED75" w14:textId="77777777" w:rsidR="00AD7B34" w:rsidRPr="00AD7B34" w:rsidRDefault="00AD7B34" w:rsidP="00AD7B34">
            <w:pPr>
              <w:spacing w:after="0"/>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Uncertainty of the absolute gain of the reference antenna</w:t>
            </w:r>
          </w:p>
        </w:tc>
        <w:tc>
          <w:tcPr>
            <w:tcW w:w="1486" w:type="pct"/>
            <w:tcBorders>
              <w:top w:val="nil"/>
              <w:left w:val="nil"/>
              <w:bottom w:val="single" w:sz="4" w:space="0" w:color="auto"/>
              <w:right w:val="single" w:sz="4" w:space="0" w:color="auto"/>
            </w:tcBorders>
            <w:shd w:val="clear" w:color="auto" w:fill="auto"/>
            <w:noWrap/>
            <w:vAlign w:val="center"/>
            <w:hideMark/>
          </w:tcPr>
          <w:p w14:paraId="3EEB793F" w14:textId="77777777" w:rsidR="00AD7B34" w:rsidRPr="00AD7B34" w:rsidRDefault="00AD7B34" w:rsidP="00AD7B34">
            <w:pPr>
              <w:spacing w:after="0"/>
              <w:jc w:val="center"/>
              <w:rPr>
                <w:rFonts w:ascii="Arial" w:eastAsia="Times New Roman" w:hAnsi="Arial" w:cs="Arial"/>
                <w:color w:val="000000"/>
                <w:sz w:val="16"/>
                <w:szCs w:val="16"/>
                <w:lang w:val="en-US" w:eastAsia="zh-CN"/>
              </w:rPr>
            </w:pPr>
            <w:r w:rsidRPr="00AD7B34">
              <w:rPr>
                <w:rFonts w:ascii="Arial" w:eastAsia="Times New Roman" w:hAnsi="Arial" w:cs="Arial"/>
                <w:color w:val="000000"/>
                <w:sz w:val="16"/>
                <w:szCs w:val="16"/>
                <w:lang w:val="en-US" w:eastAsia="zh-CN"/>
              </w:rPr>
              <w:t>0.30</w:t>
            </w:r>
          </w:p>
        </w:tc>
      </w:tr>
    </w:tbl>
    <w:p w14:paraId="4B773F34" w14:textId="50630C70" w:rsidR="00C26925" w:rsidRDefault="00C26925" w:rsidP="00AD7B34"/>
    <w:p w14:paraId="1E1C24B0" w14:textId="17B59D9E" w:rsidR="00E12A5D" w:rsidRDefault="00E12A5D" w:rsidP="00E12A5D">
      <w:pPr>
        <w:pStyle w:val="TH"/>
      </w:pPr>
      <w:r>
        <w:t xml:space="preserve">Table </w:t>
      </w:r>
      <w:r w:rsidR="00A22C2A">
        <w:t>2</w:t>
      </w:r>
      <w:r>
        <w:t>: TE MU values for out-of-band measurements</w:t>
      </w:r>
    </w:p>
    <w:tbl>
      <w:tblPr>
        <w:tblW w:w="5000" w:type="pct"/>
        <w:tblLook w:val="04A0" w:firstRow="1" w:lastRow="0" w:firstColumn="1" w:lastColumn="0" w:noHBand="0" w:noVBand="1"/>
      </w:tblPr>
      <w:tblGrid>
        <w:gridCol w:w="563"/>
        <w:gridCol w:w="5859"/>
        <w:gridCol w:w="2928"/>
      </w:tblGrid>
      <w:tr w:rsidR="006C228C" w:rsidRPr="006C228C" w14:paraId="7388D82D" w14:textId="77777777" w:rsidTr="00251FEA">
        <w:trPr>
          <w:trHeight w:val="300"/>
        </w:trPr>
        <w:tc>
          <w:tcPr>
            <w:tcW w:w="301"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19FA6FD" w14:textId="77777777" w:rsidR="006C228C" w:rsidRPr="006C228C" w:rsidRDefault="006C228C" w:rsidP="006C228C">
            <w:pPr>
              <w:spacing w:after="0"/>
              <w:jc w:val="center"/>
              <w:rPr>
                <w:rFonts w:ascii="Arial" w:eastAsia="Times New Roman" w:hAnsi="Arial" w:cs="Arial"/>
                <w:b/>
                <w:bCs/>
                <w:color w:val="000000"/>
                <w:sz w:val="16"/>
                <w:szCs w:val="16"/>
                <w:lang w:val="en-US" w:eastAsia="zh-CN"/>
              </w:rPr>
            </w:pPr>
            <w:r w:rsidRPr="006C228C">
              <w:rPr>
                <w:rFonts w:ascii="Arial" w:eastAsia="Times New Roman" w:hAnsi="Arial" w:cs="Arial"/>
                <w:b/>
                <w:bCs/>
                <w:color w:val="000000"/>
                <w:sz w:val="16"/>
                <w:szCs w:val="16"/>
                <w:lang w:val="en-US" w:eastAsia="zh-CN"/>
              </w:rPr>
              <w:t>UID</w:t>
            </w:r>
          </w:p>
        </w:tc>
        <w:tc>
          <w:tcPr>
            <w:tcW w:w="3133" w:type="pct"/>
            <w:tcBorders>
              <w:top w:val="single" w:sz="4" w:space="0" w:color="auto"/>
              <w:left w:val="nil"/>
              <w:bottom w:val="single" w:sz="4" w:space="0" w:color="auto"/>
              <w:right w:val="single" w:sz="4" w:space="0" w:color="auto"/>
            </w:tcBorders>
            <w:shd w:val="clear" w:color="000000" w:fill="D9D9D9"/>
            <w:vAlign w:val="center"/>
            <w:hideMark/>
          </w:tcPr>
          <w:p w14:paraId="14D63425" w14:textId="77777777" w:rsidR="006C228C" w:rsidRPr="006C228C" w:rsidRDefault="006C228C" w:rsidP="006C228C">
            <w:pPr>
              <w:spacing w:after="0"/>
              <w:jc w:val="center"/>
              <w:rPr>
                <w:rFonts w:ascii="Arial" w:eastAsia="Times New Roman" w:hAnsi="Arial" w:cs="Arial"/>
                <w:b/>
                <w:bCs/>
                <w:color w:val="000000"/>
                <w:sz w:val="16"/>
                <w:szCs w:val="16"/>
                <w:lang w:val="en-US" w:eastAsia="zh-CN"/>
              </w:rPr>
            </w:pPr>
            <w:r w:rsidRPr="006C228C">
              <w:rPr>
                <w:rFonts w:ascii="Arial" w:eastAsia="Times New Roman" w:hAnsi="Arial" w:cs="Arial"/>
                <w:b/>
                <w:bCs/>
                <w:color w:val="000000"/>
                <w:sz w:val="16"/>
                <w:szCs w:val="16"/>
                <w:lang w:val="en-US" w:eastAsia="zh-CN"/>
              </w:rPr>
              <w:t>Uncertainty source</w:t>
            </w:r>
          </w:p>
        </w:tc>
        <w:tc>
          <w:tcPr>
            <w:tcW w:w="1566" w:type="pct"/>
            <w:tcBorders>
              <w:top w:val="single" w:sz="4" w:space="0" w:color="auto"/>
              <w:left w:val="nil"/>
              <w:bottom w:val="single" w:sz="4" w:space="0" w:color="auto"/>
              <w:right w:val="single" w:sz="4" w:space="0" w:color="auto"/>
            </w:tcBorders>
            <w:shd w:val="clear" w:color="000000" w:fill="D9D9D9"/>
            <w:vAlign w:val="center"/>
            <w:hideMark/>
          </w:tcPr>
          <w:p w14:paraId="6209DA2F" w14:textId="77777777" w:rsidR="006C228C" w:rsidRDefault="006C228C" w:rsidP="006C228C">
            <w:pPr>
              <w:spacing w:after="0"/>
              <w:jc w:val="center"/>
              <w:rPr>
                <w:rFonts w:ascii="Arial" w:eastAsia="Times New Roman" w:hAnsi="Arial" w:cs="Arial"/>
                <w:b/>
                <w:bCs/>
                <w:color w:val="000000"/>
                <w:sz w:val="16"/>
                <w:szCs w:val="16"/>
                <w:lang w:val="en-US" w:eastAsia="zh-CN"/>
              </w:rPr>
            </w:pPr>
            <w:r w:rsidRPr="006C228C">
              <w:rPr>
                <w:rFonts w:ascii="Arial" w:eastAsia="Times New Roman" w:hAnsi="Arial" w:cs="Arial"/>
                <w:b/>
                <w:bCs/>
                <w:color w:val="000000"/>
                <w:sz w:val="16"/>
                <w:szCs w:val="16"/>
                <w:lang w:val="en-US" w:eastAsia="zh-CN"/>
              </w:rPr>
              <w:t>Standard uncertainty values</w:t>
            </w:r>
            <w:r>
              <w:rPr>
                <w:rFonts w:ascii="Arial" w:eastAsia="Times New Roman" w:hAnsi="Arial" w:cs="Arial"/>
                <w:b/>
                <w:bCs/>
                <w:color w:val="000000"/>
                <w:sz w:val="16"/>
                <w:szCs w:val="16"/>
                <w:lang w:val="en-US" w:eastAsia="zh-CN"/>
              </w:rPr>
              <w:t xml:space="preserve">, </w:t>
            </w:r>
          </w:p>
          <w:p w14:paraId="4B502C62" w14:textId="77777777" w:rsidR="006C228C" w:rsidRDefault="006C228C" w:rsidP="006C228C">
            <w:pPr>
              <w:spacing w:after="0"/>
              <w:jc w:val="center"/>
              <w:rPr>
                <w:rFonts w:ascii="Arial" w:eastAsia="Times New Roman" w:hAnsi="Arial" w:cs="Arial"/>
                <w:b/>
                <w:bCs/>
                <w:color w:val="000000"/>
                <w:sz w:val="16"/>
                <w:szCs w:val="16"/>
                <w:lang w:val="en-US" w:eastAsia="zh-CN"/>
              </w:rPr>
            </w:pPr>
            <w:r w:rsidRPr="006C228C">
              <w:rPr>
                <w:rFonts w:ascii="Arial" w:eastAsia="Times New Roman" w:hAnsi="Arial" w:cs="Arial"/>
                <w:b/>
                <w:bCs/>
                <w:color w:val="000000"/>
                <w:sz w:val="16"/>
                <w:szCs w:val="16"/>
                <w:lang w:val="en-US" w:eastAsia="zh-CN"/>
              </w:rPr>
              <w:t>71 &lt; f ≤ 142 GHz</w:t>
            </w:r>
          </w:p>
          <w:p w14:paraId="789B2935" w14:textId="33A631E9" w:rsidR="006C228C" w:rsidRPr="006C228C" w:rsidRDefault="006C228C" w:rsidP="006C228C">
            <w:pPr>
              <w:spacing w:after="0"/>
              <w:jc w:val="center"/>
              <w:rPr>
                <w:rFonts w:ascii="Arial" w:eastAsia="Times New Roman" w:hAnsi="Arial" w:cs="Arial"/>
                <w:b/>
                <w:bCs/>
                <w:color w:val="000000"/>
                <w:sz w:val="16"/>
                <w:szCs w:val="16"/>
                <w:lang w:val="en-US" w:eastAsia="zh-CN"/>
              </w:rPr>
            </w:pPr>
            <w:r>
              <w:rPr>
                <w:rFonts w:ascii="Arial" w:eastAsia="Times New Roman" w:hAnsi="Arial" w:cs="Arial"/>
                <w:b/>
                <w:bCs/>
                <w:color w:val="000000"/>
                <w:sz w:val="16"/>
                <w:szCs w:val="16"/>
                <w:lang w:val="en-US" w:eastAsia="zh-CN"/>
              </w:rPr>
              <w:t>[dB]</w:t>
            </w:r>
          </w:p>
        </w:tc>
      </w:tr>
      <w:tr w:rsidR="006C228C" w:rsidRPr="006C228C" w14:paraId="0FC6DB01" w14:textId="77777777" w:rsidTr="000679ED">
        <w:trPr>
          <w:trHeight w:val="300"/>
        </w:trPr>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63DA3559" w14:textId="77777777" w:rsidR="006C228C" w:rsidRPr="006C228C" w:rsidRDefault="006C228C" w:rsidP="006C228C">
            <w:pPr>
              <w:spacing w:after="0"/>
              <w:jc w:val="center"/>
              <w:rPr>
                <w:rFonts w:ascii="Arial" w:eastAsia="Times New Roman" w:hAnsi="Arial" w:cs="Arial"/>
                <w:color w:val="000000"/>
                <w:sz w:val="16"/>
                <w:szCs w:val="16"/>
                <w:lang w:val="en-US" w:eastAsia="zh-CN"/>
              </w:rPr>
            </w:pPr>
            <w:r w:rsidRPr="006C228C">
              <w:rPr>
                <w:rFonts w:ascii="Arial" w:eastAsia="Times New Roman" w:hAnsi="Arial" w:cs="Arial"/>
                <w:color w:val="000000"/>
                <w:sz w:val="16"/>
                <w:szCs w:val="16"/>
                <w:lang w:val="en-US" w:eastAsia="zh-CN"/>
              </w:rPr>
              <w:t>C1-7</w:t>
            </w:r>
          </w:p>
        </w:tc>
        <w:tc>
          <w:tcPr>
            <w:tcW w:w="3133" w:type="pct"/>
            <w:tcBorders>
              <w:top w:val="nil"/>
              <w:left w:val="nil"/>
              <w:bottom w:val="single" w:sz="4" w:space="0" w:color="auto"/>
              <w:right w:val="single" w:sz="4" w:space="0" w:color="auto"/>
            </w:tcBorders>
            <w:shd w:val="clear" w:color="auto" w:fill="auto"/>
            <w:vAlign w:val="center"/>
            <w:hideMark/>
          </w:tcPr>
          <w:p w14:paraId="453D930A" w14:textId="77777777" w:rsidR="006C228C" w:rsidRPr="006C228C" w:rsidRDefault="006C228C" w:rsidP="006C228C">
            <w:pPr>
              <w:spacing w:after="0"/>
              <w:rPr>
                <w:rFonts w:ascii="Arial" w:eastAsia="Times New Roman" w:hAnsi="Arial" w:cs="Arial"/>
                <w:color w:val="000000"/>
                <w:sz w:val="16"/>
                <w:szCs w:val="16"/>
                <w:lang w:val="en-US" w:eastAsia="zh-CN"/>
              </w:rPr>
            </w:pPr>
            <w:r w:rsidRPr="006C228C">
              <w:rPr>
                <w:rFonts w:ascii="Arial" w:eastAsia="Times New Roman" w:hAnsi="Arial" w:cs="Arial"/>
                <w:color w:val="000000"/>
                <w:sz w:val="16"/>
                <w:szCs w:val="16"/>
                <w:lang w:val="en-US" w:eastAsia="zh-CN"/>
              </w:rPr>
              <w:t>Uncertainty of the RF power measurement equipment (e.g. spectrum analyzer, power meter) - low power (UEM, absolute ACLR)</w:t>
            </w:r>
          </w:p>
        </w:tc>
        <w:tc>
          <w:tcPr>
            <w:tcW w:w="1566" w:type="pct"/>
            <w:tcBorders>
              <w:top w:val="nil"/>
              <w:left w:val="nil"/>
              <w:bottom w:val="single" w:sz="4" w:space="0" w:color="auto"/>
              <w:right w:val="single" w:sz="4" w:space="0" w:color="auto"/>
            </w:tcBorders>
            <w:shd w:val="clear" w:color="auto" w:fill="auto"/>
            <w:noWrap/>
            <w:vAlign w:val="center"/>
            <w:hideMark/>
          </w:tcPr>
          <w:p w14:paraId="663EBC33" w14:textId="279A1B01" w:rsidR="006C228C" w:rsidRPr="006C228C" w:rsidRDefault="006C228C" w:rsidP="006C228C">
            <w:pPr>
              <w:spacing w:after="0"/>
              <w:jc w:val="center"/>
              <w:rPr>
                <w:rFonts w:ascii="Arial" w:eastAsia="Times New Roman" w:hAnsi="Arial" w:cs="Arial"/>
                <w:color w:val="000000"/>
                <w:sz w:val="16"/>
                <w:szCs w:val="16"/>
                <w:lang w:val="en-US" w:eastAsia="zh-CN"/>
              </w:rPr>
            </w:pPr>
            <w:r w:rsidRPr="006C228C">
              <w:rPr>
                <w:rFonts w:ascii="Arial" w:eastAsia="Times New Roman" w:hAnsi="Arial" w:cs="Arial"/>
                <w:color w:val="000000"/>
                <w:sz w:val="16"/>
                <w:szCs w:val="16"/>
                <w:lang w:val="en-US" w:eastAsia="zh-CN"/>
              </w:rPr>
              <w:t>[0.6</w:t>
            </w:r>
            <w:r>
              <w:rPr>
                <w:rFonts w:ascii="Arial" w:eastAsia="Times New Roman" w:hAnsi="Arial" w:cs="Arial"/>
                <w:color w:val="000000"/>
                <w:sz w:val="16"/>
                <w:szCs w:val="16"/>
                <w:lang w:val="en-US" w:eastAsia="zh-CN"/>
              </w:rPr>
              <w:t xml:space="preserve"> </w:t>
            </w:r>
            <w:r w:rsidRPr="006C228C">
              <w:rPr>
                <w:rFonts w:ascii="Arial" w:eastAsia="Times New Roman" w:hAnsi="Arial" w:cs="Arial"/>
                <w:color w:val="000000"/>
                <w:sz w:val="16"/>
                <w:szCs w:val="16"/>
                <w:lang w:val="en-US" w:eastAsia="zh-CN"/>
              </w:rPr>
              <w:t>-2.49]</w:t>
            </w:r>
          </w:p>
        </w:tc>
      </w:tr>
      <w:tr w:rsidR="006C228C" w:rsidRPr="006C228C" w14:paraId="07461B83" w14:textId="77777777" w:rsidTr="000679ED">
        <w:trPr>
          <w:trHeight w:val="300"/>
        </w:trPr>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C6D1C" w14:textId="77777777" w:rsidR="006C228C" w:rsidRPr="006C228C" w:rsidRDefault="006C228C" w:rsidP="006C228C">
            <w:pPr>
              <w:spacing w:after="0"/>
              <w:jc w:val="center"/>
              <w:rPr>
                <w:rFonts w:ascii="Arial" w:eastAsia="Times New Roman" w:hAnsi="Arial" w:cs="Arial"/>
                <w:color w:val="000000"/>
                <w:sz w:val="16"/>
                <w:szCs w:val="16"/>
                <w:lang w:val="en-US" w:eastAsia="zh-CN"/>
              </w:rPr>
            </w:pPr>
            <w:r w:rsidRPr="006C228C">
              <w:rPr>
                <w:rFonts w:ascii="Arial" w:eastAsia="Times New Roman" w:hAnsi="Arial" w:cs="Arial"/>
                <w:color w:val="000000"/>
                <w:sz w:val="16"/>
                <w:szCs w:val="16"/>
                <w:lang w:val="en-US" w:eastAsia="zh-CN"/>
              </w:rPr>
              <w:t>C1-3</w:t>
            </w:r>
          </w:p>
        </w:tc>
        <w:tc>
          <w:tcPr>
            <w:tcW w:w="3133" w:type="pct"/>
            <w:tcBorders>
              <w:top w:val="single" w:sz="4" w:space="0" w:color="auto"/>
              <w:left w:val="nil"/>
              <w:bottom w:val="single" w:sz="4" w:space="0" w:color="auto"/>
              <w:right w:val="single" w:sz="4" w:space="0" w:color="auto"/>
            </w:tcBorders>
            <w:shd w:val="clear" w:color="auto" w:fill="auto"/>
            <w:vAlign w:val="center"/>
            <w:hideMark/>
          </w:tcPr>
          <w:p w14:paraId="6F82AA67" w14:textId="77777777" w:rsidR="006C228C" w:rsidRPr="006C228C" w:rsidRDefault="006C228C" w:rsidP="006C228C">
            <w:pPr>
              <w:spacing w:after="0"/>
              <w:rPr>
                <w:rFonts w:ascii="Arial" w:eastAsia="Times New Roman" w:hAnsi="Arial" w:cs="Arial"/>
                <w:color w:val="000000"/>
                <w:sz w:val="16"/>
                <w:szCs w:val="16"/>
                <w:lang w:val="en-US" w:eastAsia="zh-CN"/>
              </w:rPr>
            </w:pPr>
            <w:r w:rsidRPr="006C228C">
              <w:rPr>
                <w:rFonts w:ascii="Arial" w:eastAsia="Times New Roman" w:hAnsi="Arial" w:cs="Arial"/>
                <w:color w:val="000000"/>
                <w:sz w:val="16"/>
                <w:szCs w:val="16"/>
                <w:lang w:val="en-US" w:eastAsia="zh-CN"/>
              </w:rPr>
              <w:t>Uncertainty of the network analyzer</w:t>
            </w:r>
          </w:p>
        </w:tc>
        <w:tc>
          <w:tcPr>
            <w:tcW w:w="1566" w:type="pct"/>
            <w:tcBorders>
              <w:top w:val="single" w:sz="4" w:space="0" w:color="auto"/>
              <w:left w:val="nil"/>
              <w:bottom w:val="single" w:sz="4" w:space="0" w:color="auto"/>
              <w:right w:val="single" w:sz="4" w:space="0" w:color="auto"/>
            </w:tcBorders>
            <w:shd w:val="clear" w:color="auto" w:fill="auto"/>
            <w:noWrap/>
            <w:vAlign w:val="center"/>
            <w:hideMark/>
          </w:tcPr>
          <w:p w14:paraId="02D02C74" w14:textId="2C2ACD74" w:rsidR="006C228C" w:rsidRPr="006C228C" w:rsidRDefault="006C228C" w:rsidP="006C228C">
            <w:pPr>
              <w:spacing w:after="0"/>
              <w:jc w:val="center"/>
              <w:rPr>
                <w:rFonts w:ascii="Arial" w:eastAsia="Times New Roman" w:hAnsi="Arial" w:cs="Arial"/>
                <w:color w:val="000000"/>
                <w:sz w:val="16"/>
                <w:szCs w:val="16"/>
                <w:lang w:val="en-US" w:eastAsia="zh-CN"/>
              </w:rPr>
            </w:pPr>
            <w:r w:rsidRPr="006C228C">
              <w:rPr>
                <w:rFonts w:ascii="Arial" w:eastAsia="Times New Roman" w:hAnsi="Arial" w:cs="Arial"/>
                <w:color w:val="000000"/>
                <w:sz w:val="16"/>
                <w:szCs w:val="16"/>
                <w:lang w:val="en-US" w:eastAsia="zh-CN"/>
              </w:rPr>
              <w:t>[0.3</w:t>
            </w:r>
            <w:r>
              <w:rPr>
                <w:rFonts w:ascii="Arial" w:eastAsia="Times New Roman" w:hAnsi="Arial" w:cs="Arial"/>
                <w:color w:val="000000"/>
                <w:sz w:val="16"/>
                <w:szCs w:val="16"/>
                <w:lang w:val="en-US" w:eastAsia="zh-CN"/>
              </w:rPr>
              <w:t xml:space="preserve"> </w:t>
            </w:r>
            <w:r w:rsidRPr="006C228C">
              <w:rPr>
                <w:rFonts w:ascii="Arial" w:eastAsia="Times New Roman" w:hAnsi="Arial" w:cs="Arial"/>
                <w:color w:val="000000"/>
                <w:sz w:val="16"/>
                <w:szCs w:val="16"/>
                <w:lang w:val="en-US" w:eastAsia="zh-CN"/>
              </w:rPr>
              <w:t>-</w:t>
            </w:r>
            <w:r>
              <w:rPr>
                <w:rFonts w:ascii="Arial" w:eastAsia="Times New Roman" w:hAnsi="Arial" w:cs="Arial"/>
                <w:color w:val="000000"/>
                <w:sz w:val="16"/>
                <w:szCs w:val="16"/>
                <w:lang w:val="en-US" w:eastAsia="zh-CN"/>
              </w:rPr>
              <w:t xml:space="preserve"> </w:t>
            </w:r>
            <w:r w:rsidRPr="006C228C">
              <w:rPr>
                <w:rFonts w:ascii="Arial" w:eastAsia="Times New Roman" w:hAnsi="Arial" w:cs="Arial"/>
                <w:color w:val="000000"/>
                <w:sz w:val="16"/>
                <w:szCs w:val="16"/>
                <w:lang w:val="en-US" w:eastAsia="zh-CN"/>
              </w:rPr>
              <w:t>1]</w:t>
            </w:r>
          </w:p>
        </w:tc>
      </w:tr>
      <w:tr w:rsidR="00251FEA" w:rsidRPr="006C228C" w14:paraId="743417F8" w14:textId="77777777" w:rsidTr="000679ED">
        <w:trPr>
          <w:trHeight w:val="300"/>
        </w:trPr>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3BACBE" w14:textId="742111E1" w:rsidR="00251FEA" w:rsidRPr="000679ED" w:rsidRDefault="00251FEA" w:rsidP="00251FEA">
            <w:pPr>
              <w:spacing w:after="0"/>
              <w:jc w:val="center"/>
              <w:rPr>
                <w:rFonts w:ascii="Arial" w:eastAsia="Times New Roman" w:hAnsi="Arial" w:cs="Arial"/>
                <w:color w:val="000000"/>
                <w:sz w:val="16"/>
                <w:szCs w:val="16"/>
                <w:highlight w:val="cyan"/>
                <w:lang w:val="en-US" w:eastAsia="zh-CN"/>
              </w:rPr>
            </w:pPr>
            <w:r w:rsidRPr="000679ED">
              <w:rPr>
                <w:rFonts w:ascii="Arial" w:eastAsia="Times New Roman" w:hAnsi="Arial" w:cs="Arial"/>
                <w:color w:val="000000"/>
                <w:sz w:val="16"/>
                <w:szCs w:val="16"/>
                <w:highlight w:val="cyan"/>
                <w:lang w:val="en-US" w:eastAsia="zh-CN"/>
              </w:rPr>
              <w:t>C1-4</w:t>
            </w:r>
          </w:p>
        </w:tc>
        <w:tc>
          <w:tcPr>
            <w:tcW w:w="3133" w:type="pct"/>
            <w:tcBorders>
              <w:top w:val="single" w:sz="4" w:space="0" w:color="auto"/>
              <w:left w:val="nil"/>
              <w:bottom w:val="single" w:sz="4" w:space="0" w:color="auto"/>
              <w:right w:val="single" w:sz="4" w:space="0" w:color="auto"/>
            </w:tcBorders>
            <w:shd w:val="clear" w:color="auto" w:fill="auto"/>
            <w:vAlign w:val="center"/>
          </w:tcPr>
          <w:p w14:paraId="315EF0BB" w14:textId="33B7EC5C" w:rsidR="00251FEA" w:rsidRPr="000679ED" w:rsidRDefault="00251FEA" w:rsidP="00251FEA">
            <w:pPr>
              <w:spacing w:after="0"/>
              <w:rPr>
                <w:rFonts w:ascii="Arial" w:eastAsia="Times New Roman" w:hAnsi="Arial" w:cs="Arial"/>
                <w:color w:val="000000"/>
                <w:sz w:val="16"/>
                <w:szCs w:val="16"/>
                <w:highlight w:val="cyan"/>
                <w:lang w:val="en-US" w:eastAsia="zh-CN"/>
              </w:rPr>
            </w:pPr>
            <w:r w:rsidRPr="000679ED">
              <w:rPr>
                <w:rFonts w:ascii="Arial" w:eastAsia="Times New Roman" w:hAnsi="Arial" w:cs="Arial"/>
                <w:color w:val="000000"/>
                <w:sz w:val="16"/>
                <w:szCs w:val="16"/>
                <w:highlight w:val="cyan"/>
                <w:lang w:val="en-US" w:eastAsia="zh-CN"/>
              </w:rPr>
              <w:t>Uncertainty of the absolute gain of the reference antenna</w:t>
            </w:r>
          </w:p>
        </w:tc>
        <w:tc>
          <w:tcPr>
            <w:tcW w:w="1566" w:type="pct"/>
            <w:tcBorders>
              <w:top w:val="single" w:sz="4" w:space="0" w:color="auto"/>
              <w:left w:val="nil"/>
              <w:bottom w:val="single" w:sz="4" w:space="0" w:color="auto"/>
              <w:right w:val="single" w:sz="4" w:space="0" w:color="auto"/>
            </w:tcBorders>
            <w:shd w:val="clear" w:color="auto" w:fill="auto"/>
            <w:noWrap/>
            <w:vAlign w:val="center"/>
          </w:tcPr>
          <w:p w14:paraId="22460B81" w14:textId="31F35692" w:rsidR="00251FEA" w:rsidRPr="000679ED" w:rsidRDefault="00251FEA" w:rsidP="00251FEA">
            <w:pPr>
              <w:spacing w:after="0"/>
              <w:jc w:val="center"/>
              <w:rPr>
                <w:rFonts w:ascii="Arial" w:eastAsia="Times New Roman" w:hAnsi="Arial" w:cs="Arial"/>
                <w:color w:val="000000"/>
                <w:sz w:val="16"/>
                <w:szCs w:val="16"/>
                <w:highlight w:val="cyan"/>
                <w:lang w:val="en-US" w:eastAsia="zh-CN"/>
              </w:rPr>
            </w:pPr>
            <w:r w:rsidRPr="000679ED">
              <w:rPr>
                <w:rFonts w:ascii="Arial" w:eastAsia="Times New Roman" w:hAnsi="Arial" w:cs="Arial"/>
                <w:color w:val="000000"/>
                <w:sz w:val="16"/>
                <w:szCs w:val="16"/>
                <w:highlight w:val="cyan"/>
                <w:lang w:val="en-US" w:eastAsia="zh-CN"/>
              </w:rPr>
              <w:t>0.30</w:t>
            </w:r>
          </w:p>
        </w:tc>
      </w:tr>
    </w:tbl>
    <w:p w14:paraId="45BCC807" w14:textId="29146372" w:rsidR="00AD7B34" w:rsidRDefault="00AD7B34" w:rsidP="00AD7B34">
      <w:r>
        <w:t xml:space="preserve">NOTE: the above </w:t>
      </w:r>
      <w:r w:rsidR="008E5C58">
        <w:t xml:space="preserve">out-of-band frequency range may be further sub-divided, depending on the conclusions on the </w:t>
      </w:r>
      <w:r w:rsidR="00A22C2A">
        <w:t>final MU values for the OoB range.</w:t>
      </w:r>
    </w:p>
    <w:p w14:paraId="33DE3172" w14:textId="6BE5D405" w:rsidR="004B2104" w:rsidRDefault="00674B62" w:rsidP="004B2104">
      <w:pPr>
        <w:pStyle w:val="Heading1"/>
        <w:numPr>
          <w:ilvl w:val="1"/>
          <w:numId w:val="1"/>
        </w:numPr>
        <w:overflowPunct w:val="0"/>
        <w:autoSpaceDE w:val="0"/>
        <w:autoSpaceDN w:val="0"/>
        <w:adjustRightInd w:val="0"/>
        <w:textAlignment w:val="baseline"/>
        <w:rPr>
          <w:color w:val="000000" w:themeColor="text1"/>
        </w:rPr>
      </w:pPr>
      <w:r>
        <w:rPr>
          <w:color w:val="000000" w:themeColor="text1"/>
        </w:rPr>
        <w:t>MU budget Excel spreadsheets</w:t>
      </w:r>
    </w:p>
    <w:p w14:paraId="6B03BEB2" w14:textId="62200DD3" w:rsidR="004B2104" w:rsidRDefault="00A35D93" w:rsidP="004B2104">
      <w:r w:rsidRPr="00EF5A8F">
        <w:t xml:space="preserve">Tx and Rx Excel spreadsheets </w:t>
      </w:r>
      <w:r w:rsidR="00EF5A8F">
        <w:t xml:space="preserve">based on </w:t>
      </w:r>
      <w:r w:rsidRPr="00EF5A8F">
        <w:t>TR 37.941 were updated for the CATR and Reverberation chamber MU contributors. Related requirement specific</w:t>
      </w:r>
      <w:r>
        <w:t xml:space="preserve"> MU calculations were updated accordingly. </w:t>
      </w:r>
    </w:p>
    <w:p w14:paraId="7190506A" w14:textId="50C6C0E6" w:rsidR="00933437" w:rsidRDefault="00933437" w:rsidP="004B2104">
      <w:r w:rsidRPr="00933437">
        <w:rPr>
          <w:highlight w:val="yellow"/>
        </w:rPr>
        <w:t>[</w:t>
      </w:r>
      <w:r>
        <w:rPr>
          <w:highlight w:val="yellow"/>
        </w:rPr>
        <w:t xml:space="preserve">Updated </w:t>
      </w:r>
      <w:r w:rsidRPr="00933437">
        <w:rPr>
          <w:highlight w:val="yellow"/>
        </w:rPr>
        <w:t>Tx and Rx Excel spreadsheets to be attached to the final version of the WF].</w:t>
      </w:r>
    </w:p>
    <w:p w14:paraId="73E326BF" w14:textId="7DD7498D" w:rsidR="00A35D93" w:rsidRPr="004B2104" w:rsidRDefault="00A35D93" w:rsidP="004B2104">
      <w:r>
        <w:t xml:space="preserve">The attached Excel </w:t>
      </w:r>
      <w:r w:rsidR="00EF5A8F">
        <w:t>spreadsheets</w:t>
      </w:r>
      <w:r>
        <w:t xml:space="preserve"> to be used as baseline for further updates for TE MU, with the goal to capture the final expanded MU values for FR2-2.</w:t>
      </w:r>
    </w:p>
    <w:p w14:paraId="03456620" w14:textId="3268313D" w:rsidR="004B2104" w:rsidRDefault="004B2104" w:rsidP="004B2104">
      <w:pPr>
        <w:pStyle w:val="Heading1"/>
        <w:numPr>
          <w:ilvl w:val="1"/>
          <w:numId w:val="1"/>
        </w:numPr>
        <w:overflowPunct w:val="0"/>
        <w:autoSpaceDE w:val="0"/>
        <w:autoSpaceDN w:val="0"/>
        <w:adjustRightInd w:val="0"/>
        <w:textAlignment w:val="baseline"/>
        <w:rPr>
          <w:color w:val="000000" w:themeColor="text1"/>
        </w:rPr>
      </w:pPr>
      <w:r>
        <w:rPr>
          <w:color w:val="000000" w:themeColor="text1"/>
        </w:rPr>
        <w:t>Draft CRs</w:t>
      </w:r>
      <w:r w:rsidR="004B7342">
        <w:rPr>
          <w:color w:val="000000" w:themeColor="text1"/>
        </w:rPr>
        <w:t xml:space="preserve"> handling</w:t>
      </w:r>
      <w:r w:rsidR="00B11EDA">
        <w:rPr>
          <w:color w:val="000000" w:themeColor="text1"/>
        </w:rPr>
        <w:t xml:space="preserve"> to TS 38.141-2</w:t>
      </w:r>
    </w:p>
    <w:p w14:paraId="7F9CCCC6" w14:textId="408E693D" w:rsidR="004B7342" w:rsidRDefault="004A6A52" w:rsidP="004A6A52">
      <w:r>
        <w:t>D</w:t>
      </w:r>
      <w:r w:rsidR="004B2104">
        <w:t xml:space="preserve">raft CRs </w:t>
      </w:r>
      <w:r w:rsidR="00EF5A8F">
        <w:t xml:space="preserve">to TS 38.141-2 </w:t>
      </w:r>
      <w:r>
        <w:t>in [11-</w:t>
      </w:r>
      <w:r w:rsidR="00B11EDA">
        <w:t>13, 16-18, 21, 22</w:t>
      </w:r>
      <w:r>
        <w:t xml:space="preserve">] </w:t>
      </w:r>
      <w:r w:rsidR="00EF5A8F">
        <w:t xml:space="preserve">to be revised with the goal to be Endorsed during this meeting, and further captured in the big Draft CR. </w:t>
      </w:r>
    </w:p>
    <w:p w14:paraId="78CDB9CE" w14:textId="4333AD8F" w:rsidR="00B11EDA" w:rsidRPr="0073457B" w:rsidRDefault="00B11EDA" w:rsidP="00B11EDA">
      <w:pPr>
        <w:pStyle w:val="Heading1"/>
        <w:numPr>
          <w:ilvl w:val="1"/>
          <w:numId w:val="1"/>
        </w:numPr>
        <w:overflowPunct w:val="0"/>
        <w:autoSpaceDE w:val="0"/>
        <w:autoSpaceDN w:val="0"/>
        <w:adjustRightInd w:val="0"/>
        <w:textAlignment w:val="baseline"/>
        <w:rPr>
          <w:color w:val="000000" w:themeColor="text1"/>
        </w:rPr>
      </w:pPr>
      <w:r>
        <w:rPr>
          <w:color w:val="000000" w:themeColor="text1"/>
        </w:rPr>
        <w:t xml:space="preserve">Draft CRs handling </w:t>
      </w:r>
      <w:r w:rsidRPr="0073457B">
        <w:rPr>
          <w:color w:val="000000" w:themeColor="text1"/>
        </w:rPr>
        <w:t>to TR 37.941</w:t>
      </w:r>
    </w:p>
    <w:p w14:paraId="66B1E949" w14:textId="080FCC21" w:rsidR="00B11EDA" w:rsidRDefault="00B11EDA">
      <w:pPr>
        <w:spacing w:after="160" w:line="259" w:lineRule="auto"/>
      </w:pPr>
      <w:r w:rsidRPr="0073457B">
        <w:t xml:space="preserve">Draft CRs to TR 37.941 in [14, 15, 19, 20] </w:t>
      </w:r>
      <w:r w:rsidR="0073457B" w:rsidRPr="0073457B">
        <w:t>to be Noted, in order not to collide with the ongoing discussion on the MU budget.</w:t>
      </w:r>
      <w:r w:rsidR="0073457B">
        <w:t xml:space="preserve"> </w:t>
      </w:r>
    </w:p>
    <w:p w14:paraId="385BCB92" w14:textId="5B3B76BE" w:rsidR="005F5CBB" w:rsidRDefault="0055390A">
      <w:pPr>
        <w:pStyle w:val="Heading1"/>
        <w:overflowPunct w:val="0"/>
        <w:autoSpaceDE w:val="0"/>
        <w:autoSpaceDN w:val="0"/>
        <w:adjustRightInd w:val="0"/>
        <w:textAlignment w:val="baseline"/>
      </w:pPr>
      <w:r w:rsidRPr="004B2104">
        <w:t>References</w:t>
      </w:r>
    </w:p>
    <w:p w14:paraId="4D47E22C" w14:textId="778442CD" w:rsidR="005D0172" w:rsidRDefault="005D0172" w:rsidP="005D0172">
      <w:r>
        <w:t>[1]</w:t>
      </w:r>
      <w:r>
        <w:tab/>
        <w:t>R4-2219843</w:t>
      </w:r>
      <w:r>
        <w:tab/>
        <w:t xml:space="preserve">FR2-2 BS conformance test consideration </w:t>
      </w:r>
      <w:r>
        <w:tab/>
        <w:t>Keysight Technologies UK Ltd</w:t>
      </w:r>
    </w:p>
    <w:p w14:paraId="59BC9902" w14:textId="28039CA6" w:rsidR="005D0172" w:rsidRDefault="005D0172" w:rsidP="005D0172">
      <w:r>
        <w:t>[2]</w:t>
      </w:r>
      <w:r>
        <w:tab/>
        <w:t>R4-2218908</w:t>
      </w:r>
      <w:r>
        <w:tab/>
        <w:t>Discussion on OBW measurements for FR2-2</w:t>
      </w:r>
      <w:r>
        <w:tab/>
        <w:t>NEC</w:t>
      </w:r>
    </w:p>
    <w:p w14:paraId="46D7B058" w14:textId="2D9D5A28" w:rsidR="005D0172" w:rsidRDefault="005D0172" w:rsidP="005D0172">
      <w:r>
        <w:t>[3]</w:t>
      </w:r>
      <w:r>
        <w:tab/>
        <w:t>R4-2218834</w:t>
      </w:r>
      <w:r>
        <w:tab/>
        <w:t>On general aspects relevant for FR2-2 conformance testing</w:t>
      </w:r>
      <w:r>
        <w:tab/>
        <w:t>Ericsson</w:t>
      </w:r>
    </w:p>
    <w:p w14:paraId="5B9506EB" w14:textId="08987FCF" w:rsidR="005D0172" w:rsidRDefault="005D0172" w:rsidP="005D0172">
      <w:r>
        <w:t>[4]</w:t>
      </w:r>
      <w:r>
        <w:tab/>
        <w:t>R4-2219449</w:t>
      </w:r>
      <w:r>
        <w:tab/>
        <w:t>FR2-2 Power measurement equipment MU with Mixer for BS conformance testing</w:t>
      </w:r>
      <w:r>
        <w:tab/>
        <w:t>Keysight Technologies UK Ltd</w:t>
      </w:r>
    </w:p>
    <w:p w14:paraId="7F37553C" w14:textId="5D6BE26B" w:rsidR="005D0172" w:rsidRDefault="005D0172" w:rsidP="005D0172">
      <w:r>
        <w:t>[5]</w:t>
      </w:r>
      <w:r>
        <w:tab/>
        <w:t>R4-2219450</w:t>
      </w:r>
      <w:r>
        <w:tab/>
        <w:t>FR2-2 Test equipment MU for BS conformance testing</w:t>
      </w:r>
      <w:r>
        <w:tab/>
        <w:t>Keysight Technologies UK Ltd</w:t>
      </w:r>
    </w:p>
    <w:p w14:paraId="08CDE645" w14:textId="0EDA01E2" w:rsidR="005D0172" w:rsidRDefault="005D0172" w:rsidP="005D0172">
      <w:r>
        <w:t>[6]</w:t>
      </w:r>
      <w:r>
        <w:tab/>
        <w:t>R4-2218321</w:t>
      </w:r>
      <w:r>
        <w:tab/>
        <w:t>Proposals on measurement uncertainty of BS OTA transmitter requirements for extending current NR operation to 71 GHz</w:t>
      </w:r>
      <w:r>
        <w:tab/>
        <w:t>Nokia, Nokia Shanghai Bell</w:t>
      </w:r>
    </w:p>
    <w:p w14:paraId="5E07A820" w14:textId="5C86FADD" w:rsidR="005D0172" w:rsidRDefault="005D0172" w:rsidP="005D0172">
      <w:r>
        <w:t>[7]</w:t>
      </w:r>
      <w:r>
        <w:tab/>
        <w:t>R4-2218835</w:t>
      </w:r>
      <w:r>
        <w:tab/>
        <w:t>On aspects related to FR2-2 transmitter conformance testing</w:t>
      </w:r>
      <w:r>
        <w:tab/>
        <w:t>Ericsson</w:t>
      </w:r>
    </w:p>
    <w:p w14:paraId="66C9C344" w14:textId="4152E03A" w:rsidR="005D0172" w:rsidRDefault="005D0172" w:rsidP="005D0172">
      <w:r>
        <w:t>[8]</w:t>
      </w:r>
      <w:r>
        <w:tab/>
        <w:t>R4-2218322</w:t>
      </w:r>
      <w:r>
        <w:tab/>
        <w:t>Proposals on measurement uncertainty of BS OTA receiver requirements for extending current NR operation to 71 GHz</w:t>
      </w:r>
      <w:r>
        <w:tab/>
        <w:t>Nokia, Nokia Shanghai Bell</w:t>
      </w:r>
    </w:p>
    <w:p w14:paraId="6554FA44" w14:textId="2370F926" w:rsidR="005D0172" w:rsidRDefault="005D0172" w:rsidP="005D0172">
      <w:r>
        <w:t>[9]</w:t>
      </w:r>
      <w:r>
        <w:tab/>
        <w:t>R4-2218836</w:t>
      </w:r>
      <w:r>
        <w:tab/>
        <w:t>On aspects related to FR2-2 receiver conformance testing</w:t>
      </w:r>
      <w:r>
        <w:tab/>
        <w:t>Ericsson</w:t>
      </w:r>
    </w:p>
    <w:p w14:paraId="36F8754F" w14:textId="4012E5BF" w:rsidR="005D0172" w:rsidRDefault="005D0172" w:rsidP="005D0172">
      <w:r>
        <w:t>[10]</w:t>
      </w:r>
      <w:r>
        <w:tab/>
        <w:t>R4-2220132</w:t>
      </w:r>
      <w:r>
        <w:tab/>
        <w:t>Summary for [105][306] NR_exto71GHz_BSRF</w:t>
      </w:r>
      <w:r>
        <w:tab/>
        <w:t>Moderator (Huawei)</w:t>
      </w:r>
    </w:p>
    <w:p w14:paraId="4068D775" w14:textId="30049A0B" w:rsidR="005D0172" w:rsidRDefault="005D0172" w:rsidP="005D0172">
      <w:r>
        <w:t>[11]</w:t>
      </w:r>
      <w:r>
        <w:tab/>
        <w:t>R4-2218909</w:t>
      </w:r>
      <w:r>
        <w:tab/>
        <w:t>CR to 38.141-2: OTA OBW requirements for FR2-2</w:t>
      </w:r>
      <w:r>
        <w:tab/>
        <w:t>NEC</w:t>
      </w:r>
    </w:p>
    <w:p w14:paraId="111E7F4B" w14:textId="4CA5E284" w:rsidR="005D0172" w:rsidRDefault="005D0172" w:rsidP="005D0172">
      <w:r>
        <w:t>[12]</w:t>
      </w:r>
      <w:r>
        <w:tab/>
        <w:t>R4-2218320</w:t>
      </w:r>
      <w:r>
        <w:tab/>
        <w:t>Draft CR to TS 38.141-2 in clauses 6.3 to 6.5 for extending current NR operation to 71GHz</w:t>
      </w:r>
      <w:r>
        <w:tab/>
        <w:t>Nokia, Nokia Shanghai Bell</w:t>
      </w:r>
    </w:p>
    <w:p w14:paraId="5A062747" w14:textId="12EFB281" w:rsidR="005D0172" w:rsidRDefault="005D0172" w:rsidP="005D0172">
      <w:r>
        <w:t>[13]</w:t>
      </w:r>
      <w:r>
        <w:tab/>
        <w:t>R4-2218837</w:t>
      </w:r>
      <w:r>
        <w:tab/>
        <w:t>Draft CR to TS 38.141-2: Addition of FR2-2 aspects in clause 4</w:t>
      </w:r>
      <w:r>
        <w:tab/>
        <w:t>Ericsson</w:t>
      </w:r>
    </w:p>
    <w:p w14:paraId="391DB020" w14:textId="109FBC75" w:rsidR="005D0172" w:rsidRDefault="005D0172" w:rsidP="005D0172">
      <w:r>
        <w:t>[14]</w:t>
      </w:r>
      <w:r>
        <w:tab/>
        <w:t>R4-2219451</w:t>
      </w:r>
      <w:r>
        <w:tab/>
        <w:t>DraftCR to 37.941: 71 GHz Extension TE MU update</w:t>
      </w:r>
      <w:r>
        <w:tab/>
        <w:t>Keysight Technologies UK Ltd</w:t>
      </w:r>
    </w:p>
    <w:p w14:paraId="42FA9397" w14:textId="5B0D93D1" w:rsidR="005D0172" w:rsidRDefault="005D0172" w:rsidP="005D0172">
      <w:r>
        <w:t>[15]</w:t>
      </w:r>
      <w:r>
        <w:tab/>
        <w:t>R4-2218833</w:t>
      </w:r>
      <w:r>
        <w:tab/>
        <w:t>Draft CR to TR 37.941: Addition of aspects related to EIRP measurement in CATR relevant for FR2-2 in sub-clause 7.3, 8.3, 9.2.3 and 9.2.7</w:t>
      </w:r>
      <w:r>
        <w:tab/>
        <w:t>Ericsson</w:t>
      </w:r>
    </w:p>
    <w:p w14:paraId="21FCEB23" w14:textId="32ECA56C" w:rsidR="005D0172" w:rsidRDefault="005D0172" w:rsidP="005D0172">
      <w:r>
        <w:t>[16]</w:t>
      </w:r>
      <w:r>
        <w:tab/>
        <w:t>R4-2219452</w:t>
      </w:r>
      <w:r>
        <w:tab/>
        <w:t>draftCR to 38.141-2: 71 GHz Extension BS EVM Clause 6.6 and Annex L (6.6, L)</w:t>
      </w:r>
      <w:r>
        <w:tab/>
        <w:t>Keysight Technologies UK Ltd</w:t>
      </w:r>
    </w:p>
    <w:p w14:paraId="7ED56B0A" w14:textId="3B92FAAC" w:rsidR="005D0172" w:rsidRDefault="005D0172" w:rsidP="005D0172">
      <w:r>
        <w:t>[17]</w:t>
      </w:r>
      <w:r>
        <w:tab/>
        <w:t>R4-2219970</w:t>
      </w:r>
      <w:r>
        <w:tab/>
        <w:t>draft CR to TS 38.141-2 on FR2-2 implementation (sections 1,2,3,6.7.1, 6.7.2, 6.7.3, 6.7.4, 7.6)</w:t>
      </w:r>
      <w:r>
        <w:tab/>
        <w:t>Huawei, HiSilicon</w:t>
      </w:r>
    </w:p>
    <w:p w14:paraId="5C7849DB" w14:textId="10A77B8B" w:rsidR="005D0172" w:rsidRDefault="005D0172" w:rsidP="005D0172">
      <w:r>
        <w:t>[18]</w:t>
      </w:r>
      <w:r>
        <w:tab/>
        <w:t>R4-2218463</w:t>
      </w:r>
      <w:r>
        <w:tab/>
        <w:t>Draft CR for 38.141-2, On FR2-2 BS RF conformance testings in clauses 7.1-7.5 and respective MU and TT</w:t>
      </w:r>
      <w:r>
        <w:tab/>
        <w:t>CATT</w:t>
      </w:r>
    </w:p>
    <w:p w14:paraId="0DB62DB4" w14:textId="043B3BEC" w:rsidR="005D0172" w:rsidRDefault="005D0172" w:rsidP="005D0172">
      <w:r>
        <w:t>[19]</w:t>
      </w:r>
      <w:r>
        <w:tab/>
        <w:t>R4-2218464</w:t>
      </w:r>
      <w:r>
        <w:tab/>
        <w:t>Draft CR for 37.941, On FR2-2 RX directional requirements in clauses 10.1-10.5 and respective MU and TT summary</w:t>
      </w:r>
      <w:r>
        <w:tab/>
        <w:t>CATT</w:t>
      </w:r>
    </w:p>
    <w:p w14:paraId="21040F62" w14:textId="6F767797" w:rsidR="005D0172" w:rsidRDefault="005D0172" w:rsidP="005D0172">
      <w:r>
        <w:t>[20]</w:t>
      </w:r>
      <w:r>
        <w:tab/>
        <w:t>R4-2218838</w:t>
      </w:r>
      <w:r>
        <w:tab/>
        <w:t>Draft CR to TR 37.941: Addition of aspects related to EIS measurement in CATR relevant for FR2-2 in sub-clause 10.2.3 and sub-clause 10.2.7</w:t>
      </w:r>
      <w:r>
        <w:tab/>
        <w:t>Ericsson</w:t>
      </w:r>
    </w:p>
    <w:p w14:paraId="33CEF6E6" w14:textId="2ED6D82A" w:rsidR="005D0172" w:rsidRDefault="005D0172" w:rsidP="005D0172">
      <w:r>
        <w:t>[21]</w:t>
      </w:r>
      <w:r>
        <w:tab/>
        <w:t>R4-2219345</w:t>
      </w:r>
      <w:r>
        <w:tab/>
        <w:t>draft CR to TS38.141-2  Clause 7.7, 7.8</w:t>
      </w:r>
      <w:r>
        <w:tab/>
        <w:t>ZTE Corporation</w:t>
      </w:r>
    </w:p>
    <w:p w14:paraId="3C9D522B" w14:textId="50E4C535" w:rsidR="005D0172" w:rsidRDefault="005D0172" w:rsidP="005D0172">
      <w:r>
        <w:t>[22]</w:t>
      </w:r>
      <w:r>
        <w:tab/>
        <w:t>R4-2219346</w:t>
      </w:r>
      <w:r>
        <w:tab/>
        <w:t>draft CR to TS38.141-2  Clause 7.9</w:t>
      </w:r>
      <w:r>
        <w:tab/>
        <w:t>ZTE Corporation</w:t>
      </w:r>
      <w:bookmarkEnd w:id="2"/>
    </w:p>
    <w:sectPr w:rsidR="005D0172">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781C" w16cex:dateUtc="2022-11-17T08:06:00Z"/>
  <w16cex:commentExtensible w16cex:durableId="27209200" w16cex:dateUtc="2022-11-17T10:57:00Z"/>
  <w16cex:commentExtensible w16cex:durableId="2720A665" w16cex:dateUtc="2022-11-17T11:24:00Z"/>
  <w16cex:commentExtensible w16cex:durableId="27209271" w16cex:dateUtc="2022-11-17T10:58:00Z"/>
  <w16cex:commentExtensible w16cex:durableId="2720A5A8" w16cex:dateUtc="2022-11-17T11:20:00Z"/>
  <w16cex:commentExtensible w16cex:durableId="27208F26" w16cex:dateUtc="2022-11-17T10:44:00Z"/>
  <w16cex:commentExtensible w16cex:durableId="272078F1" w16cex:dateUtc="2022-11-17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9943CD" w16cid:durableId="27208D76"/>
  <w16cid:commentId w16cid:paraId="5640436D" w16cid:durableId="2720781C"/>
  <w16cid:commentId w16cid:paraId="2F7BB207" w16cid:durableId="27209200"/>
  <w16cid:commentId w16cid:paraId="4086265A" w16cid:durableId="2720A665"/>
  <w16cid:commentId w16cid:paraId="244EE1BB" w16cid:durableId="27209271"/>
  <w16cid:commentId w16cid:paraId="51F26B7F" w16cid:durableId="2720A5A8"/>
  <w16cid:commentId w16cid:paraId="72197907" w16cid:durableId="27208F26"/>
  <w16cid:commentId w16cid:paraId="50FBB77B" w16cid:durableId="272078F1"/>
  <w16cid:commentId w16cid:paraId="2553D42A" w16cid:durableId="27208D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16BFD" w14:textId="77777777" w:rsidR="00186E85" w:rsidRDefault="00186E85" w:rsidP="002971D9">
      <w:pPr>
        <w:spacing w:after="0"/>
      </w:pPr>
      <w:r>
        <w:separator/>
      </w:r>
    </w:p>
  </w:endnote>
  <w:endnote w:type="continuationSeparator" w:id="0">
    <w:p w14:paraId="6124C8A1" w14:textId="77777777" w:rsidR="00186E85" w:rsidRDefault="00186E85" w:rsidP="002971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2C41D" w14:textId="77777777" w:rsidR="00186E85" w:rsidRDefault="00186E85" w:rsidP="002971D9">
      <w:pPr>
        <w:spacing w:after="0"/>
      </w:pPr>
      <w:r>
        <w:separator/>
      </w:r>
    </w:p>
  </w:footnote>
  <w:footnote w:type="continuationSeparator" w:id="0">
    <w:p w14:paraId="62EF753E" w14:textId="77777777" w:rsidR="00186E85" w:rsidRDefault="00186E85" w:rsidP="002971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5F099E"/>
    <w:multiLevelType w:val="hybridMultilevel"/>
    <w:tmpl w:val="348E7CBE"/>
    <w:lvl w:ilvl="0" w:tplc="0409000F">
      <w:start w:val="1"/>
      <w:numFmt w:val="decimal"/>
      <w:lvlText w:val="%1."/>
      <w:lvlJc w:val="left"/>
      <w:pPr>
        <w:ind w:left="360" w:hanging="360"/>
      </w:pPr>
      <w:rPr>
        <w:rFont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3DBC1A8F"/>
    <w:multiLevelType w:val="hybridMultilevel"/>
    <w:tmpl w:val="F9EEB14A"/>
    <w:lvl w:ilvl="0" w:tplc="D60E762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415C1D7B"/>
    <w:multiLevelType w:val="multilevel"/>
    <w:tmpl w:val="3FECA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8B73482"/>
    <w:multiLevelType w:val="hybridMultilevel"/>
    <w:tmpl w:val="935E068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6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CD35E2C"/>
    <w:multiLevelType w:val="hybridMultilevel"/>
    <w:tmpl w:val="3034CA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DD96053"/>
    <w:multiLevelType w:val="hybridMultilevel"/>
    <w:tmpl w:val="B6403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F64A2D"/>
    <w:multiLevelType w:val="hybridMultilevel"/>
    <w:tmpl w:val="20DAA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3"/>
  </w:num>
  <w:num w:numId="5">
    <w:abstractNumId w:val="2"/>
  </w:num>
  <w:num w:numId="6">
    <w:abstractNumId w:val="6"/>
  </w:num>
  <w:num w:numId="7">
    <w:abstractNumId w:val="8"/>
  </w:num>
  <w:num w:numId="8">
    <w:abstractNumId w:val="1"/>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12073"/>
    <w:rsid w:val="00021B53"/>
    <w:rsid w:val="00021BA6"/>
    <w:rsid w:val="00022E07"/>
    <w:rsid w:val="0002658C"/>
    <w:rsid w:val="00026A09"/>
    <w:rsid w:val="000355F6"/>
    <w:rsid w:val="00036DC8"/>
    <w:rsid w:val="0004187F"/>
    <w:rsid w:val="00041FE8"/>
    <w:rsid w:val="00043F4B"/>
    <w:rsid w:val="00045377"/>
    <w:rsid w:val="000454A2"/>
    <w:rsid w:val="0004714A"/>
    <w:rsid w:val="00047FCC"/>
    <w:rsid w:val="00053EC4"/>
    <w:rsid w:val="00055A23"/>
    <w:rsid w:val="000564F1"/>
    <w:rsid w:val="0005729F"/>
    <w:rsid w:val="000679AE"/>
    <w:rsid w:val="000679ED"/>
    <w:rsid w:val="0007156E"/>
    <w:rsid w:val="00073CCD"/>
    <w:rsid w:val="0007557F"/>
    <w:rsid w:val="0008173A"/>
    <w:rsid w:val="000873A4"/>
    <w:rsid w:val="0009129F"/>
    <w:rsid w:val="00093417"/>
    <w:rsid w:val="00095B0B"/>
    <w:rsid w:val="00096617"/>
    <w:rsid w:val="000A168E"/>
    <w:rsid w:val="000A2213"/>
    <w:rsid w:val="000A23FE"/>
    <w:rsid w:val="000A33AF"/>
    <w:rsid w:val="000A531B"/>
    <w:rsid w:val="000B0B47"/>
    <w:rsid w:val="000B0D41"/>
    <w:rsid w:val="000B1E3B"/>
    <w:rsid w:val="000B2634"/>
    <w:rsid w:val="000B4688"/>
    <w:rsid w:val="000B4FA7"/>
    <w:rsid w:val="000C3FFC"/>
    <w:rsid w:val="000C53E8"/>
    <w:rsid w:val="000C5E7D"/>
    <w:rsid w:val="000C7E5B"/>
    <w:rsid w:val="000D26FE"/>
    <w:rsid w:val="000D30FA"/>
    <w:rsid w:val="000D3F49"/>
    <w:rsid w:val="000E0D04"/>
    <w:rsid w:val="000E1B45"/>
    <w:rsid w:val="000E31BD"/>
    <w:rsid w:val="000E4829"/>
    <w:rsid w:val="000E73CA"/>
    <w:rsid w:val="000E75C3"/>
    <w:rsid w:val="000E77C6"/>
    <w:rsid w:val="000F1FBB"/>
    <w:rsid w:val="000F250B"/>
    <w:rsid w:val="000F4B07"/>
    <w:rsid w:val="000F50BF"/>
    <w:rsid w:val="000F542C"/>
    <w:rsid w:val="000F68A5"/>
    <w:rsid w:val="001001A7"/>
    <w:rsid w:val="00100D1A"/>
    <w:rsid w:val="00104EFE"/>
    <w:rsid w:val="00105C0E"/>
    <w:rsid w:val="00106434"/>
    <w:rsid w:val="00107F07"/>
    <w:rsid w:val="00113821"/>
    <w:rsid w:val="00122CFA"/>
    <w:rsid w:val="0012647B"/>
    <w:rsid w:val="001329AA"/>
    <w:rsid w:val="00132F95"/>
    <w:rsid w:val="00142333"/>
    <w:rsid w:val="0014330D"/>
    <w:rsid w:val="00144660"/>
    <w:rsid w:val="00154F93"/>
    <w:rsid w:val="00155E84"/>
    <w:rsid w:val="00157AD9"/>
    <w:rsid w:val="00163E25"/>
    <w:rsid w:val="0016720E"/>
    <w:rsid w:val="00167B19"/>
    <w:rsid w:val="00173251"/>
    <w:rsid w:val="0017392A"/>
    <w:rsid w:val="00173D10"/>
    <w:rsid w:val="001760B1"/>
    <w:rsid w:val="00176807"/>
    <w:rsid w:val="00177994"/>
    <w:rsid w:val="00181210"/>
    <w:rsid w:val="00184106"/>
    <w:rsid w:val="00185489"/>
    <w:rsid w:val="00185DD8"/>
    <w:rsid w:val="00186E85"/>
    <w:rsid w:val="0019372F"/>
    <w:rsid w:val="00193A73"/>
    <w:rsid w:val="00193BB8"/>
    <w:rsid w:val="00195649"/>
    <w:rsid w:val="00195719"/>
    <w:rsid w:val="0019603B"/>
    <w:rsid w:val="0019665A"/>
    <w:rsid w:val="00197B3D"/>
    <w:rsid w:val="001A47A8"/>
    <w:rsid w:val="001A6885"/>
    <w:rsid w:val="001A7DAF"/>
    <w:rsid w:val="001B2C4A"/>
    <w:rsid w:val="001B3690"/>
    <w:rsid w:val="001C45B3"/>
    <w:rsid w:val="001C487D"/>
    <w:rsid w:val="001C7DF5"/>
    <w:rsid w:val="001D0D9B"/>
    <w:rsid w:val="001D11E7"/>
    <w:rsid w:val="001D1F32"/>
    <w:rsid w:val="001D27B2"/>
    <w:rsid w:val="001D4BAD"/>
    <w:rsid w:val="001D6015"/>
    <w:rsid w:val="001D6F34"/>
    <w:rsid w:val="001D73E2"/>
    <w:rsid w:val="001E2113"/>
    <w:rsid w:val="001E2729"/>
    <w:rsid w:val="001E46FB"/>
    <w:rsid w:val="001E6688"/>
    <w:rsid w:val="001E7033"/>
    <w:rsid w:val="001F1676"/>
    <w:rsid w:val="001F2C0E"/>
    <w:rsid w:val="001F768F"/>
    <w:rsid w:val="001F7900"/>
    <w:rsid w:val="00201929"/>
    <w:rsid w:val="00205891"/>
    <w:rsid w:val="00210475"/>
    <w:rsid w:val="00212D72"/>
    <w:rsid w:val="00213D93"/>
    <w:rsid w:val="002169F5"/>
    <w:rsid w:val="002230EB"/>
    <w:rsid w:val="002239B7"/>
    <w:rsid w:val="00230205"/>
    <w:rsid w:val="002354FD"/>
    <w:rsid w:val="0024228B"/>
    <w:rsid w:val="0024567D"/>
    <w:rsid w:val="00245CC2"/>
    <w:rsid w:val="00251346"/>
    <w:rsid w:val="00251FEA"/>
    <w:rsid w:val="0025389B"/>
    <w:rsid w:val="00254AC8"/>
    <w:rsid w:val="00257C1F"/>
    <w:rsid w:val="002609FE"/>
    <w:rsid w:val="002663D2"/>
    <w:rsid w:val="00274B29"/>
    <w:rsid w:val="00274C0A"/>
    <w:rsid w:val="002757FC"/>
    <w:rsid w:val="002817DE"/>
    <w:rsid w:val="00281A0C"/>
    <w:rsid w:val="00284B67"/>
    <w:rsid w:val="002877BF"/>
    <w:rsid w:val="00291AF2"/>
    <w:rsid w:val="00293944"/>
    <w:rsid w:val="00294427"/>
    <w:rsid w:val="0029665F"/>
    <w:rsid w:val="002971D9"/>
    <w:rsid w:val="002A0531"/>
    <w:rsid w:val="002B61CF"/>
    <w:rsid w:val="002B68D9"/>
    <w:rsid w:val="002B6961"/>
    <w:rsid w:val="002B6CDF"/>
    <w:rsid w:val="002B6D12"/>
    <w:rsid w:val="002C50B5"/>
    <w:rsid w:val="002D1E36"/>
    <w:rsid w:val="002D2AE8"/>
    <w:rsid w:val="002D3C35"/>
    <w:rsid w:val="002D4742"/>
    <w:rsid w:val="002D4C73"/>
    <w:rsid w:val="002E1EA6"/>
    <w:rsid w:val="002E261D"/>
    <w:rsid w:val="002E2F5E"/>
    <w:rsid w:val="002E4404"/>
    <w:rsid w:val="002E5DCA"/>
    <w:rsid w:val="002F316C"/>
    <w:rsid w:val="002F457B"/>
    <w:rsid w:val="002F7C19"/>
    <w:rsid w:val="003035B9"/>
    <w:rsid w:val="00304CCE"/>
    <w:rsid w:val="003052CC"/>
    <w:rsid w:val="00307E52"/>
    <w:rsid w:val="003118C3"/>
    <w:rsid w:val="00313C88"/>
    <w:rsid w:val="003168EE"/>
    <w:rsid w:val="00326FE4"/>
    <w:rsid w:val="003303C4"/>
    <w:rsid w:val="00335E70"/>
    <w:rsid w:val="003407F2"/>
    <w:rsid w:val="003441FB"/>
    <w:rsid w:val="00352CFD"/>
    <w:rsid w:val="00355D94"/>
    <w:rsid w:val="003605C0"/>
    <w:rsid w:val="0036098D"/>
    <w:rsid w:val="00360D09"/>
    <w:rsid w:val="00360DF2"/>
    <w:rsid w:val="00364011"/>
    <w:rsid w:val="0037110F"/>
    <w:rsid w:val="0037690F"/>
    <w:rsid w:val="0037713C"/>
    <w:rsid w:val="003869F2"/>
    <w:rsid w:val="00387EDD"/>
    <w:rsid w:val="0039248D"/>
    <w:rsid w:val="00393499"/>
    <w:rsid w:val="00395450"/>
    <w:rsid w:val="003964BA"/>
    <w:rsid w:val="003A0029"/>
    <w:rsid w:val="003A091A"/>
    <w:rsid w:val="003A1828"/>
    <w:rsid w:val="003A1A61"/>
    <w:rsid w:val="003A7BEE"/>
    <w:rsid w:val="003B155D"/>
    <w:rsid w:val="003B3B93"/>
    <w:rsid w:val="003B3CEA"/>
    <w:rsid w:val="003B43CC"/>
    <w:rsid w:val="003C10DD"/>
    <w:rsid w:val="003C153B"/>
    <w:rsid w:val="003C1824"/>
    <w:rsid w:val="003C6223"/>
    <w:rsid w:val="003D1372"/>
    <w:rsid w:val="003D1562"/>
    <w:rsid w:val="003D1902"/>
    <w:rsid w:val="003D3350"/>
    <w:rsid w:val="003D7CD2"/>
    <w:rsid w:val="003E31C2"/>
    <w:rsid w:val="003F4205"/>
    <w:rsid w:val="003F53AF"/>
    <w:rsid w:val="003F5E24"/>
    <w:rsid w:val="003F73D8"/>
    <w:rsid w:val="00400424"/>
    <w:rsid w:val="00405EF8"/>
    <w:rsid w:val="00407B26"/>
    <w:rsid w:val="00415C30"/>
    <w:rsid w:val="00420A04"/>
    <w:rsid w:val="00421776"/>
    <w:rsid w:val="004250A5"/>
    <w:rsid w:val="00425B43"/>
    <w:rsid w:val="004304E4"/>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50CD"/>
    <w:rsid w:val="00476F7C"/>
    <w:rsid w:val="0048078F"/>
    <w:rsid w:val="00494285"/>
    <w:rsid w:val="004947BD"/>
    <w:rsid w:val="00495EB2"/>
    <w:rsid w:val="00497E3E"/>
    <w:rsid w:val="004A016B"/>
    <w:rsid w:val="004A0B47"/>
    <w:rsid w:val="004A2035"/>
    <w:rsid w:val="004A2200"/>
    <w:rsid w:val="004A6A52"/>
    <w:rsid w:val="004B2104"/>
    <w:rsid w:val="004B4EAA"/>
    <w:rsid w:val="004B5940"/>
    <w:rsid w:val="004B7342"/>
    <w:rsid w:val="004C09B4"/>
    <w:rsid w:val="004C79DB"/>
    <w:rsid w:val="004D0150"/>
    <w:rsid w:val="004D340B"/>
    <w:rsid w:val="004D70FC"/>
    <w:rsid w:val="004E091B"/>
    <w:rsid w:val="004E0AE7"/>
    <w:rsid w:val="004E0D44"/>
    <w:rsid w:val="004E30A8"/>
    <w:rsid w:val="004E6D7A"/>
    <w:rsid w:val="004F01C1"/>
    <w:rsid w:val="004F0B90"/>
    <w:rsid w:val="004F0C6C"/>
    <w:rsid w:val="004F0D8D"/>
    <w:rsid w:val="004F422A"/>
    <w:rsid w:val="004F4B8C"/>
    <w:rsid w:val="004F600C"/>
    <w:rsid w:val="004F797F"/>
    <w:rsid w:val="004F7EB5"/>
    <w:rsid w:val="00500B3F"/>
    <w:rsid w:val="00502E87"/>
    <w:rsid w:val="005103AA"/>
    <w:rsid w:val="00522C9E"/>
    <w:rsid w:val="00525CC3"/>
    <w:rsid w:val="005276B9"/>
    <w:rsid w:val="00530A72"/>
    <w:rsid w:val="00532E5B"/>
    <w:rsid w:val="00537591"/>
    <w:rsid w:val="00537E1C"/>
    <w:rsid w:val="00540731"/>
    <w:rsid w:val="00540EB7"/>
    <w:rsid w:val="00541326"/>
    <w:rsid w:val="0055390A"/>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A5476"/>
    <w:rsid w:val="005B0EEB"/>
    <w:rsid w:val="005B68ED"/>
    <w:rsid w:val="005B6931"/>
    <w:rsid w:val="005C1976"/>
    <w:rsid w:val="005C1CBD"/>
    <w:rsid w:val="005C20AC"/>
    <w:rsid w:val="005C64D6"/>
    <w:rsid w:val="005D0172"/>
    <w:rsid w:val="005E138F"/>
    <w:rsid w:val="005E3ABF"/>
    <w:rsid w:val="005E5150"/>
    <w:rsid w:val="005E79DF"/>
    <w:rsid w:val="005E7FB0"/>
    <w:rsid w:val="005F2C80"/>
    <w:rsid w:val="005F58E3"/>
    <w:rsid w:val="005F5CBB"/>
    <w:rsid w:val="00600108"/>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3B3C"/>
    <w:rsid w:val="00635047"/>
    <w:rsid w:val="00636255"/>
    <w:rsid w:val="0063628A"/>
    <w:rsid w:val="00642379"/>
    <w:rsid w:val="006456EA"/>
    <w:rsid w:val="00646B7D"/>
    <w:rsid w:val="00647AF4"/>
    <w:rsid w:val="00657B4B"/>
    <w:rsid w:val="0067135C"/>
    <w:rsid w:val="00674B62"/>
    <w:rsid w:val="00676E97"/>
    <w:rsid w:val="00677046"/>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228C"/>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214"/>
    <w:rsid w:val="00706467"/>
    <w:rsid w:val="00707312"/>
    <w:rsid w:val="00712F45"/>
    <w:rsid w:val="00714230"/>
    <w:rsid w:val="007148CA"/>
    <w:rsid w:val="00715E99"/>
    <w:rsid w:val="00720454"/>
    <w:rsid w:val="00721B5D"/>
    <w:rsid w:val="00723C8C"/>
    <w:rsid w:val="00723ED4"/>
    <w:rsid w:val="00724A1B"/>
    <w:rsid w:val="00724BE2"/>
    <w:rsid w:val="007304D1"/>
    <w:rsid w:val="00733ECB"/>
    <w:rsid w:val="0073457B"/>
    <w:rsid w:val="007377C1"/>
    <w:rsid w:val="0074412A"/>
    <w:rsid w:val="007475BE"/>
    <w:rsid w:val="00751DDA"/>
    <w:rsid w:val="00762C2A"/>
    <w:rsid w:val="00770F2A"/>
    <w:rsid w:val="0077216A"/>
    <w:rsid w:val="0077395A"/>
    <w:rsid w:val="0077454D"/>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3734"/>
    <w:rsid w:val="007C40C8"/>
    <w:rsid w:val="007D0F46"/>
    <w:rsid w:val="007D3570"/>
    <w:rsid w:val="007E0302"/>
    <w:rsid w:val="007E2628"/>
    <w:rsid w:val="007E3D12"/>
    <w:rsid w:val="007E52F2"/>
    <w:rsid w:val="007E6696"/>
    <w:rsid w:val="007E6A30"/>
    <w:rsid w:val="007F1520"/>
    <w:rsid w:val="007F2EF1"/>
    <w:rsid w:val="007F65D9"/>
    <w:rsid w:val="007F7251"/>
    <w:rsid w:val="00802D69"/>
    <w:rsid w:val="0080437A"/>
    <w:rsid w:val="00810DDA"/>
    <w:rsid w:val="008116D7"/>
    <w:rsid w:val="00814F1C"/>
    <w:rsid w:val="00814F82"/>
    <w:rsid w:val="00815446"/>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1C9F"/>
    <w:rsid w:val="00857332"/>
    <w:rsid w:val="0085773A"/>
    <w:rsid w:val="00857BDC"/>
    <w:rsid w:val="00860467"/>
    <w:rsid w:val="00860BAC"/>
    <w:rsid w:val="00860F1A"/>
    <w:rsid w:val="00861254"/>
    <w:rsid w:val="008706E7"/>
    <w:rsid w:val="0087158B"/>
    <w:rsid w:val="008740D3"/>
    <w:rsid w:val="00874919"/>
    <w:rsid w:val="00875D1C"/>
    <w:rsid w:val="00880D75"/>
    <w:rsid w:val="00882253"/>
    <w:rsid w:val="0088358D"/>
    <w:rsid w:val="00886625"/>
    <w:rsid w:val="008900D8"/>
    <w:rsid w:val="0089158A"/>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2504"/>
    <w:rsid w:val="008E34C4"/>
    <w:rsid w:val="008E4F2D"/>
    <w:rsid w:val="008E5A94"/>
    <w:rsid w:val="008E5C58"/>
    <w:rsid w:val="00900E89"/>
    <w:rsid w:val="00901EEB"/>
    <w:rsid w:val="009034B4"/>
    <w:rsid w:val="00905A4A"/>
    <w:rsid w:val="00906D02"/>
    <w:rsid w:val="00907218"/>
    <w:rsid w:val="00907488"/>
    <w:rsid w:val="009100F3"/>
    <w:rsid w:val="00912376"/>
    <w:rsid w:val="00912756"/>
    <w:rsid w:val="009139AD"/>
    <w:rsid w:val="00923F9A"/>
    <w:rsid w:val="00926F67"/>
    <w:rsid w:val="00933437"/>
    <w:rsid w:val="009342BD"/>
    <w:rsid w:val="00941B11"/>
    <w:rsid w:val="00944059"/>
    <w:rsid w:val="009470D7"/>
    <w:rsid w:val="00954147"/>
    <w:rsid w:val="009548A1"/>
    <w:rsid w:val="00960D8F"/>
    <w:rsid w:val="00961C76"/>
    <w:rsid w:val="0096374C"/>
    <w:rsid w:val="009637B0"/>
    <w:rsid w:val="00963D55"/>
    <w:rsid w:val="00965279"/>
    <w:rsid w:val="009679E0"/>
    <w:rsid w:val="00970261"/>
    <w:rsid w:val="00976BB6"/>
    <w:rsid w:val="00981F55"/>
    <w:rsid w:val="009910AC"/>
    <w:rsid w:val="00995343"/>
    <w:rsid w:val="009A13B1"/>
    <w:rsid w:val="009A3C73"/>
    <w:rsid w:val="009A7BC4"/>
    <w:rsid w:val="009A7FB8"/>
    <w:rsid w:val="009B0E98"/>
    <w:rsid w:val="009B75E4"/>
    <w:rsid w:val="009C03AC"/>
    <w:rsid w:val="009C145B"/>
    <w:rsid w:val="009C1FCC"/>
    <w:rsid w:val="009C2D14"/>
    <w:rsid w:val="009C4123"/>
    <w:rsid w:val="009C4A25"/>
    <w:rsid w:val="009C7250"/>
    <w:rsid w:val="009C7D4E"/>
    <w:rsid w:val="009D23B0"/>
    <w:rsid w:val="009D3EED"/>
    <w:rsid w:val="009D53A2"/>
    <w:rsid w:val="009E0FD3"/>
    <w:rsid w:val="009E34BF"/>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54DA"/>
    <w:rsid w:val="00A16687"/>
    <w:rsid w:val="00A16797"/>
    <w:rsid w:val="00A21F89"/>
    <w:rsid w:val="00A22C2A"/>
    <w:rsid w:val="00A25132"/>
    <w:rsid w:val="00A26967"/>
    <w:rsid w:val="00A27925"/>
    <w:rsid w:val="00A3237C"/>
    <w:rsid w:val="00A327A3"/>
    <w:rsid w:val="00A32B49"/>
    <w:rsid w:val="00A33271"/>
    <w:rsid w:val="00A35D93"/>
    <w:rsid w:val="00A41094"/>
    <w:rsid w:val="00A47C2F"/>
    <w:rsid w:val="00A555F2"/>
    <w:rsid w:val="00A56D6A"/>
    <w:rsid w:val="00A5746E"/>
    <w:rsid w:val="00A57EC8"/>
    <w:rsid w:val="00A60263"/>
    <w:rsid w:val="00A6121C"/>
    <w:rsid w:val="00A62108"/>
    <w:rsid w:val="00A64794"/>
    <w:rsid w:val="00A66129"/>
    <w:rsid w:val="00A66E5D"/>
    <w:rsid w:val="00A67EB7"/>
    <w:rsid w:val="00A72760"/>
    <w:rsid w:val="00A72FFE"/>
    <w:rsid w:val="00A7429A"/>
    <w:rsid w:val="00A84A39"/>
    <w:rsid w:val="00A87DB9"/>
    <w:rsid w:val="00A9128F"/>
    <w:rsid w:val="00A93BA9"/>
    <w:rsid w:val="00AA1E4B"/>
    <w:rsid w:val="00AB229B"/>
    <w:rsid w:val="00AB3BB7"/>
    <w:rsid w:val="00AB44BA"/>
    <w:rsid w:val="00AB49CF"/>
    <w:rsid w:val="00AC0045"/>
    <w:rsid w:val="00AC1C1A"/>
    <w:rsid w:val="00AC2B56"/>
    <w:rsid w:val="00AC74B1"/>
    <w:rsid w:val="00AC770B"/>
    <w:rsid w:val="00AD2578"/>
    <w:rsid w:val="00AD3B5F"/>
    <w:rsid w:val="00AD522F"/>
    <w:rsid w:val="00AD7B34"/>
    <w:rsid w:val="00AE21AB"/>
    <w:rsid w:val="00AF0D14"/>
    <w:rsid w:val="00AF152C"/>
    <w:rsid w:val="00AF3C86"/>
    <w:rsid w:val="00AF4B02"/>
    <w:rsid w:val="00AF51AB"/>
    <w:rsid w:val="00AF5F93"/>
    <w:rsid w:val="00B01D83"/>
    <w:rsid w:val="00B021F2"/>
    <w:rsid w:val="00B041EF"/>
    <w:rsid w:val="00B0560C"/>
    <w:rsid w:val="00B102BB"/>
    <w:rsid w:val="00B11EDA"/>
    <w:rsid w:val="00B13803"/>
    <w:rsid w:val="00B13F1F"/>
    <w:rsid w:val="00B17DEA"/>
    <w:rsid w:val="00B2172B"/>
    <w:rsid w:val="00B21C0D"/>
    <w:rsid w:val="00B24A07"/>
    <w:rsid w:val="00B24BF6"/>
    <w:rsid w:val="00B268A2"/>
    <w:rsid w:val="00B33232"/>
    <w:rsid w:val="00B337F0"/>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86108"/>
    <w:rsid w:val="00B937B1"/>
    <w:rsid w:val="00B944B8"/>
    <w:rsid w:val="00B979B1"/>
    <w:rsid w:val="00BA0BB7"/>
    <w:rsid w:val="00BA56D1"/>
    <w:rsid w:val="00BA71E9"/>
    <w:rsid w:val="00BA7454"/>
    <w:rsid w:val="00BC29E5"/>
    <w:rsid w:val="00BD0906"/>
    <w:rsid w:val="00BD2D4E"/>
    <w:rsid w:val="00BE4542"/>
    <w:rsid w:val="00BE6BE6"/>
    <w:rsid w:val="00BF0B37"/>
    <w:rsid w:val="00BF40D3"/>
    <w:rsid w:val="00BF6D6A"/>
    <w:rsid w:val="00BF6FC7"/>
    <w:rsid w:val="00BF7941"/>
    <w:rsid w:val="00C05C85"/>
    <w:rsid w:val="00C06BB1"/>
    <w:rsid w:val="00C073DF"/>
    <w:rsid w:val="00C1208D"/>
    <w:rsid w:val="00C13FE0"/>
    <w:rsid w:val="00C160A6"/>
    <w:rsid w:val="00C179D2"/>
    <w:rsid w:val="00C22C8B"/>
    <w:rsid w:val="00C22EA5"/>
    <w:rsid w:val="00C24EB7"/>
    <w:rsid w:val="00C25B8A"/>
    <w:rsid w:val="00C26925"/>
    <w:rsid w:val="00C26B81"/>
    <w:rsid w:val="00C3142E"/>
    <w:rsid w:val="00C33806"/>
    <w:rsid w:val="00C34A46"/>
    <w:rsid w:val="00C377A2"/>
    <w:rsid w:val="00C42E66"/>
    <w:rsid w:val="00C4419B"/>
    <w:rsid w:val="00C45893"/>
    <w:rsid w:val="00C5565F"/>
    <w:rsid w:val="00C706B0"/>
    <w:rsid w:val="00C754D1"/>
    <w:rsid w:val="00C7696A"/>
    <w:rsid w:val="00C82D5D"/>
    <w:rsid w:val="00C92FFE"/>
    <w:rsid w:val="00C9354B"/>
    <w:rsid w:val="00C960CE"/>
    <w:rsid w:val="00CA0A07"/>
    <w:rsid w:val="00CA5640"/>
    <w:rsid w:val="00CA57B1"/>
    <w:rsid w:val="00CA5F1F"/>
    <w:rsid w:val="00CA7EDE"/>
    <w:rsid w:val="00CB2DD5"/>
    <w:rsid w:val="00CB5C2F"/>
    <w:rsid w:val="00CB68C2"/>
    <w:rsid w:val="00CB73DB"/>
    <w:rsid w:val="00CC021B"/>
    <w:rsid w:val="00CC4737"/>
    <w:rsid w:val="00CC6AD7"/>
    <w:rsid w:val="00CD4B69"/>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211BC"/>
    <w:rsid w:val="00D2401E"/>
    <w:rsid w:val="00D3463F"/>
    <w:rsid w:val="00D34969"/>
    <w:rsid w:val="00D35042"/>
    <w:rsid w:val="00D400DF"/>
    <w:rsid w:val="00D4120B"/>
    <w:rsid w:val="00D419DA"/>
    <w:rsid w:val="00D51696"/>
    <w:rsid w:val="00D53944"/>
    <w:rsid w:val="00D56F4A"/>
    <w:rsid w:val="00D57171"/>
    <w:rsid w:val="00D61019"/>
    <w:rsid w:val="00D66477"/>
    <w:rsid w:val="00D739AF"/>
    <w:rsid w:val="00D7620E"/>
    <w:rsid w:val="00D76659"/>
    <w:rsid w:val="00D77844"/>
    <w:rsid w:val="00D800A3"/>
    <w:rsid w:val="00D818DF"/>
    <w:rsid w:val="00D8355A"/>
    <w:rsid w:val="00D84926"/>
    <w:rsid w:val="00D84A6C"/>
    <w:rsid w:val="00D9401D"/>
    <w:rsid w:val="00D972E3"/>
    <w:rsid w:val="00DA019A"/>
    <w:rsid w:val="00DA0C34"/>
    <w:rsid w:val="00DA4197"/>
    <w:rsid w:val="00DA5E96"/>
    <w:rsid w:val="00DA6A22"/>
    <w:rsid w:val="00DA6B7B"/>
    <w:rsid w:val="00DB3C00"/>
    <w:rsid w:val="00DB4F6E"/>
    <w:rsid w:val="00DB6E82"/>
    <w:rsid w:val="00DC5C5B"/>
    <w:rsid w:val="00DC5E8A"/>
    <w:rsid w:val="00DC71FC"/>
    <w:rsid w:val="00DD1779"/>
    <w:rsid w:val="00DD1CC9"/>
    <w:rsid w:val="00DE1691"/>
    <w:rsid w:val="00DE51DB"/>
    <w:rsid w:val="00DE68E0"/>
    <w:rsid w:val="00DE704F"/>
    <w:rsid w:val="00DF0379"/>
    <w:rsid w:val="00DF1A9B"/>
    <w:rsid w:val="00DF594E"/>
    <w:rsid w:val="00E006EE"/>
    <w:rsid w:val="00E0434B"/>
    <w:rsid w:val="00E12A5D"/>
    <w:rsid w:val="00E14455"/>
    <w:rsid w:val="00E14CB6"/>
    <w:rsid w:val="00E227C4"/>
    <w:rsid w:val="00E25D03"/>
    <w:rsid w:val="00E34949"/>
    <w:rsid w:val="00E36C29"/>
    <w:rsid w:val="00E37420"/>
    <w:rsid w:val="00E401C2"/>
    <w:rsid w:val="00E41486"/>
    <w:rsid w:val="00E415BA"/>
    <w:rsid w:val="00E41B06"/>
    <w:rsid w:val="00E452F9"/>
    <w:rsid w:val="00E4559C"/>
    <w:rsid w:val="00E46C65"/>
    <w:rsid w:val="00E50998"/>
    <w:rsid w:val="00E55BCB"/>
    <w:rsid w:val="00E571AC"/>
    <w:rsid w:val="00E60155"/>
    <w:rsid w:val="00E65A76"/>
    <w:rsid w:val="00E65F41"/>
    <w:rsid w:val="00E676D5"/>
    <w:rsid w:val="00E71A86"/>
    <w:rsid w:val="00E71E9F"/>
    <w:rsid w:val="00E74CB0"/>
    <w:rsid w:val="00E77ABE"/>
    <w:rsid w:val="00E826B3"/>
    <w:rsid w:val="00E87617"/>
    <w:rsid w:val="00E908E1"/>
    <w:rsid w:val="00E92F19"/>
    <w:rsid w:val="00EA10B0"/>
    <w:rsid w:val="00EA14DA"/>
    <w:rsid w:val="00EA17E6"/>
    <w:rsid w:val="00EA6E71"/>
    <w:rsid w:val="00EA7E80"/>
    <w:rsid w:val="00EB0745"/>
    <w:rsid w:val="00EC3314"/>
    <w:rsid w:val="00EC4D35"/>
    <w:rsid w:val="00EC5034"/>
    <w:rsid w:val="00ED135B"/>
    <w:rsid w:val="00ED245B"/>
    <w:rsid w:val="00ED461D"/>
    <w:rsid w:val="00ED46BF"/>
    <w:rsid w:val="00ED5246"/>
    <w:rsid w:val="00ED571D"/>
    <w:rsid w:val="00ED72D0"/>
    <w:rsid w:val="00EE3286"/>
    <w:rsid w:val="00EE5A92"/>
    <w:rsid w:val="00EE7171"/>
    <w:rsid w:val="00EF2C1D"/>
    <w:rsid w:val="00EF487A"/>
    <w:rsid w:val="00EF5A8F"/>
    <w:rsid w:val="00F0278C"/>
    <w:rsid w:val="00F060D3"/>
    <w:rsid w:val="00F13316"/>
    <w:rsid w:val="00F13874"/>
    <w:rsid w:val="00F216D3"/>
    <w:rsid w:val="00F220E2"/>
    <w:rsid w:val="00F25928"/>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86539"/>
    <w:rsid w:val="00F9053E"/>
    <w:rsid w:val="00F9057A"/>
    <w:rsid w:val="00F96432"/>
    <w:rsid w:val="00FA0C8D"/>
    <w:rsid w:val="00FA138E"/>
    <w:rsid w:val="00FB0815"/>
    <w:rsid w:val="00FB0FEE"/>
    <w:rsid w:val="00FB1946"/>
    <w:rsid w:val="00FB1AFA"/>
    <w:rsid w:val="00FB3DC7"/>
    <w:rsid w:val="00FB4DC0"/>
    <w:rsid w:val="00FB5584"/>
    <w:rsid w:val="00FC0D27"/>
    <w:rsid w:val="00FC1745"/>
    <w:rsid w:val="00FC1C75"/>
    <w:rsid w:val="00FC5868"/>
    <w:rsid w:val="00FC5D3F"/>
    <w:rsid w:val="00FD6E13"/>
    <w:rsid w:val="00FD7AAC"/>
    <w:rsid w:val="00FE2733"/>
    <w:rsid w:val="00FE3CBA"/>
    <w:rsid w:val="00FE7E0B"/>
    <w:rsid w:val="00FF294A"/>
    <w:rsid w:val="00FF5976"/>
    <w:rsid w:val="55586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BCAF5"/>
  <w15:docId w15:val="{84CE40E1-EB15-4E82-A72A-3DD24DC3F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lsdException w:name="toc 2" w:uiPriority="0"/>
    <w:lsdException w:name="toc 3" w:uiPriority="0" w:unhideWhenUsed="1" w:qFormat="1"/>
    <w:lsdException w:name="toc 4" w:uiPriority="0" w:unhideWhenUsed="1"/>
    <w:lsdException w:name="toc 5" w:uiPriority="0" w:unhideWhenUsed="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nhideWhenUsed="1"/>
    <w:lsdException w:name="header"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lsdException w:name="line number" w:semiHidden="1" w:unhideWhenUsed="1"/>
    <w:lsdException w:name="page number" w:uiPriority="0" w:qFormat="1"/>
    <w:lsdException w:name="endnote reference" w:semiHidden="1"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uiPriority="0" w:qFormat="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40" w:lineRule="auto"/>
    </w:pPr>
    <w:rPr>
      <w:rFonts w:ascii="Times New Roman" w:eastAsia="DengXia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verflowPunct w:val="0"/>
      <w:autoSpaceDE w:val="0"/>
      <w:autoSpaceDN w:val="0"/>
      <w:adjustRightInd w:val="0"/>
      <w:ind w:left="0" w:firstLine="0"/>
      <w:textAlignment w:val="baseline"/>
      <w:outlineLvl w:val="7"/>
    </w:pPr>
    <w:rPr>
      <w:rFonts w:eastAsia="Times New Roman"/>
      <w:lang w:eastAsia="en-GB"/>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rPr>
      <w:rFonts w:eastAsia="Times New Roman"/>
      <w:lang w:eastAsia="en-GB"/>
    </w:rPr>
  </w:style>
  <w:style w:type="paragraph" w:styleId="TOC7">
    <w:name w:val="toc 7"/>
    <w:basedOn w:val="TOC6"/>
    <w:next w:val="Normal"/>
    <w:qFormat/>
    <w:pPr>
      <w:ind w:left="2268" w:hanging="2268"/>
    </w:pPr>
  </w:style>
  <w:style w:type="paragraph" w:styleId="TOC6">
    <w:name w:val="toc 6"/>
    <w:basedOn w:val="TOC5"/>
    <w:next w:val="Normal"/>
    <w:qFormat/>
    <w:pPr>
      <w:keepLines/>
      <w:widowControl w:val="0"/>
      <w:tabs>
        <w:tab w:val="right" w:leader="dot" w:pos="9639"/>
      </w:tabs>
      <w:overflowPunct w:val="0"/>
      <w:autoSpaceDE w:val="0"/>
      <w:autoSpaceDN w:val="0"/>
      <w:adjustRightInd w:val="0"/>
      <w:spacing w:after="0"/>
      <w:ind w:left="1985" w:right="425" w:hanging="1985"/>
      <w:textAlignment w:val="baseline"/>
    </w:pPr>
    <w:rPr>
      <w:rFonts w:eastAsia="Times New Roman"/>
      <w:lang w:eastAsia="en-GB"/>
    </w:rPr>
  </w:style>
  <w:style w:type="paragraph" w:styleId="TOC5">
    <w:name w:val="toc 5"/>
    <w:basedOn w:val="Normal"/>
    <w:next w:val="Normal"/>
    <w:unhideWhenUsed/>
    <w:pPr>
      <w:spacing w:after="100"/>
      <w:ind w:left="800"/>
    </w:p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ascii="Cambria" w:eastAsia="SimHei" w:hAnsi="Cambria"/>
      <w:lang w:eastAsia="en-GB"/>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lang w:eastAsia="en-GB"/>
    </w:rPr>
  </w:style>
  <w:style w:type="paragraph" w:styleId="CommentText">
    <w:name w:val="annotation text"/>
    <w:basedOn w:val="Normal"/>
    <w:link w:val="CommentTextChar"/>
    <w:uiPriority w:val="99"/>
    <w:unhideWhenUsed/>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SimSun"/>
      <w:lang w:eastAsia="en-GB"/>
    </w:rPr>
  </w:style>
  <w:style w:type="paragraph" w:styleId="TOC3">
    <w:name w:val="toc 3"/>
    <w:basedOn w:val="Normal"/>
    <w:next w:val="Normal"/>
    <w:unhideWhenUsed/>
    <w:qFormat/>
    <w:pPr>
      <w:spacing w:after="100"/>
      <w:ind w:left="400"/>
    </w:p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zh-CN"/>
    </w:rPr>
  </w:style>
  <w:style w:type="paragraph" w:styleId="ListBullet5">
    <w:name w:val="List Bullet 5"/>
    <w:basedOn w:val="ListBullet4"/>
    <w:qFormat/>
    <w:pPr>
      <w:ind w:left="1702"/>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sz w:val="22"/>
      <w:lang w:eastAsia="en-GB"/>
    </w:rPr>
  </w:style>
  <w:style w:type="paragraph" w:styleId="TOC1">
    <w:name w:val="toc 1"/>
    <w:basedOn w:val="Normal"/>
    <w:next w:val="Normal"/>
    <w:unhideWhenUsed/>
    <w:pPr>
      <w:spacing w:after="100"/>
    </w:pPr>
  </w:style>
  <w:style w:type="paragraph" w:styleId="EndnoteText">
    <w:name w:val="endnote text"/>
    <w:basedOn w:val="Normal"/>
    <w:link w:val="EndnoteTextChar"/>
    <w:qFormat/>
    <w:pPr>
      <w:overflowPunct w:val="0"/>
      <w:autoSpaceDE w:val="0"/>
      <w:autoSpaceDN w:val="0"/>
      <w:adjustRightInd w:val="0"/>
      <w:snapToGrid w:val="0"/>
      <w:textAlignment w:val="baseline"/>
    </w:pPr>
    <w:rPr>
      <w:rFonts w:eastAsia="Times New Roman"/>
      <w:lang w:eastAsia="zh-CN"/>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overflowPunct w:val="0"/>
      <w:autoSpaceDE w:val="0"/>
      <w:autoSpaceDN w:val="0"/>
      <w:adjustRightInd w:val="0"/>
      <w:jc w:val="center"/>
      <w:textAlignment w:val="baseline"/>
    </w:pPr>
    <w:rPr>
      <w:rFonts w:eastAsia="Times New Roman"/>
      <w:i/>
      <w:lang w:eastAsia="en-GB"/>
    </w:rPr>
  </w:style>
  <w:style w:type="paragraph" w:styleId="Header">
    <w:name w:val="header"/>
    <w:link w:val="HeaderChar"/>
    <w:qFormat/>
    <w:pPr>
      <w:widowControl w:val="0"/>
      <w:spacing w:after="0" w:line="240" w:lineRule="auto"/>
    </w:pPr>
    <w:rPr>
      <w:rFonts w:ascii="Arial" w:hAnsi="Arial" w:cs="Times New Roman"/>
      <w:b/>
      <w:sz w:val="18"/>
      <w:lang w:val="en-GB" w:eastAsia="en-US"/>
    </w:rPr>
  </w:style>
  <w:style w:type="paragraph" w:styleId="TOC4">
    <w:name w:val="toc 4"/>
    <w:basedOn w:val="Normal"/>
    <w:next w:val="Normal"/>
    <w:unhideWhenUsed/>
    <w:pPr>
      <w:spacing w:after="100"/>
      <w:ind w:left="60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TOC2">
    <w:name w:val="toc 2"/>
    <w:basedOn w:val="TOC1"/>
    <w:next w:val="Normal"/>
    <w:pPr>
      <w:keepLines/>
      <w:widowControl w:val="0"/>
      <w:tabs>
        <w:tab w:val="right" w:leader="dot" w:pos="9639"/>
      </w:tabs>
      <w:spacing w:after="0"/>
      <w:ind w:left="851" w:right="425" w:hanging="851"/>
    </w:pPr>
    <w:rPr>
      <w:rFonts w:eastAsiaTheme="minorEastAsia"/>
    </w:rPr>
  </w:style>
  <w:style w:type="paragraph" w:styleId="TOC9">
    <w:name w:val="toc 9"/>
    <w:basedOn w:val="TOC8"/>
    <w:next w:val="Normal"/>
    <w:qFormat/>
    <w:pPr>
      <w:ind w:left="1418" w:hanging="1418"/>
    </w:p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rPr>
      <w:b/>
      <w:bCs/>
    </w:rPr>
  </w:style>
  <w:style w:type="table" w:styleId="TableGrid">
    <w:name w:val="Table Grid"/>
    <w:basedOn w:val="TableNormal"/>
    <w:uiPriority w:val="39"/>
    <w:qFormat/>
    <w:pPr>
      <w:spacing w:after="0" w:line="240" w:lineRule="auto"/>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nhideWhenUsed/>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2Char">
    <w:name w:val="Heading 2 Char"/>
    <w:basedOn w:val="DefaultParagraphFont"/>
    <w:link w:val="Heading2"/>
    <w:rPr>
      <w:rFonts w:ascii="Arial" w:eastAsia="DengXian" w:hAnsi="Arial" w:cs="Times New Roman"/>
      <w:sz w:val="32"/>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paragraph" w:customStyle="1" w:styleId="NO">
    <w:name w:val="NO"/>
    <w:basedOn w:val="Normal"/>
    <w:link w:val="NOChar"/>
    <w:qFormat/>
    <w:pPr>
      <w:keepLines/>
      <w:ind w:left="1135"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B1">
    <w:name w:val="B1"/>
    <w:basedOn w:val="Normal"/>
    <w:link w:val="B1Char"/>
    <w:qFormat/>
    <w:pPr>
      <w:ind w:left="568" w:hanging="284"/>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paragraph" w:customStyle="1" w:styleId="TF">
    <w:name w:val="TF"/>
    <w:basedOn w:val="TH"/>
    <w:link w:val="TFChar"/>
    <w:qFormat/>
    <w:pPr>
      <w:keepNext w:val="0"/>
      <w:spacing w:before="0" w:after="240"/>
    </w:pPr>
  </w:style>
  <w:style w:type="paragraph" w:customStyle="1" w:styleId="Guidance">
    <w:name w:val="Guidance"/>
    <w:basedOn w:val="Normal"/>
    <w:link w:val="GuidanceChar"/>
    <w:qFormat/>
    <w:rPr>
      <w:i/>
      <w:color w:val="0000FF"/>
    </w:rPr>
  </w:style>
  <w:style w:type="character" w:customStyle="1" w:styleId="GuidanceChar">
    <w:name w:val="Guidance Char"/>
    <w:link w:val="Guidance"/>
    <w:locke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Pr>
      <w:rFonts w:ascii="Arial" w:eastAsia="DengXian" w:hAnsi="Arial" w:cs="Times New Roman"/>
      <w:sz w:val="18"/>
      <w:szCs w:val="20"/>
      <w:lang w:val="en-GB" w:eastAsia="en-US"/>
    </w:rPr>
  </w:style>
  <w:style w:type="character" w:customStyle="1" w:styleId="NOChar">
    <w:name w:val="NO Char"/>
    <w:link w:val="NO"/>
    <w:qFormat/>
    <w:locked/>
    <w:rPr>
      <w:rFonts w:ascii="Times New Roman" w:eastAsia="DengXian" w:hAnsi="Times New Roman" w:cs="Times New Roman"/>
      <w:sz w:val="20"/>
      <w:szCs w:val="20"/>
      <w:lang w:val="en-GB" w:eastAsia="en-US"/>
    </w:rPr>
  </w:style>
  <w:style w:type="character" w:customStyle="1" w:styleId="TAHCar">
    <w:name w:val="TAH Car"/>
    <w:link w:val="TAH"/>
    <w:qFormat/>
    <w:locked/>
    <w:rPr>
      <w:rFonts w:ascii="Arial" w:eastAsia="DengXian" w:hAnsi="Arial" w:cs="Times New Roman"/>
      <w:b/>
      <w:sz w:val="18"/>
      <w:szCs w:val="20"/>
      <w:lang w:val="en-GB" w:eastAsia="en-US"/>
    </w:rPr>
  </w:style>
  <w:style w:type="character" w:customStyle="1" w:styleId="B1Char">
    <w:name w:val="B1 Char"/>
    <w:link w:val="B1"/>
    <w:qFormat/>
    <w:locked/>
    <w:rPr>
      <w:rFonts w:ascii="Times New Roman" w:eastAsia="DengXian" w:hAnsi="Times New Roman" w:cs="Times New Roman"/>
      <w:sz w:val="20"/>
      <w:szCs w:val="20"/>
      <w:lang w:val="en-GB" w:eastAsia="en-US"/>
    </w:rPr>
  </w:style>
  <w:style w:type="character" w:customStyle="1" w:styleId="THChar">
    <w:name w:val="TH Char"/>
    <w:link w:val="TH"/>
    <w:qFormat/>
    <w:locked/>
    <w:rPr>
      <w:rFonts w:ascii="Arial" w:eastAsia="DengXian" w:hAnsi="Arial" w:cs="Times New Roman"/>
      <w:b/>
      <w:sz w:val="20"/>
      <w:szCs w:val="20"/>
      <w:lang w:val="en-GB" w:eastAsia="en-US"/>
    </w:rPr>
  </w:style>
  <w:style w:type="character" w:customStyle="1" w:styleId="TANChar">
    <w:name w:val="TAN Char"/>
    <w:link w:val="TAN"/>
    <w:qFormat/>
    <w:locked/>
    <w:rPr>
      <w:rFonts w:ascii="Arial" w:eastAsia="DengXian" w:hAnsi="Arial" w:cs="Times New Roman"/>
      <w:sz w:val="18"/>
      <w:szCs w:val="20"/>
      <w:lang w:val="en-GB" w:eastAsia="en-US"/>
    </w:rPr>
  </w:style>
  <w:style w:type="character" w:customStyle="1" w:styleId="TACChar">
    <w:name w:val="TAC Char"/>
    <w:link w:val="TAC"/>
    <w:qFormat/>
    <w:locked/>
    <w:rPr>
      <w:rFonts w:ascii="Arial" w:eastAsia="DengXian" w:hAnsi="Arial" w:cs="Times New Roman"/>
      <w:sz w:val="18"/>
      <w:szCs w:val="20"/>
      <w:lang w:val="en-GB" w:eastAsia="en-US"/>
    </w:rPr>
  </w:style>
  <w:style w:type="character" w:customStyle="1" w:styleId="TFChar">
    <w:name w:val="TF Char"/>
    <w:link w:val="TF"/>
    <w:qFormat/>
    <w:locke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BalloonTextChar">
    <w:name w:val="Balloon Text Char"/>
    <w:basedOn w:val="DefaultParagraphFont"/>
    <w:link w:val="BalloonText"/>
    <w:uiPriority w:val="99"/>
    <w:rPr>
      <w:rFonts w:ascii="Segoe UI" w:eastAsia="DengXian" w:hAnsi="Segoe UI" w:cs="Segoe UI"/>
      <w:sz w:val="18"/>
      <w:szCs w:val="18"/>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locked/>
    <w:rPr>
      <w:rFonts w:ascii="Times New Roman" w:eastAsia="DengXian" w:hAnsi="Times New Roman" w:cs="Times New Roman"/>
      <w:sz w:val="20"/>
      <w:szCs w:val="20"/>
      <w:lang w:val="en-GB" w:eastAsia="en-US"/>
    </w:rPr>
  </w:style>
  <w:style w:type="paragraph" w:customStyle="1" w:styleId="EQ">
    <w:name w:val="EQ"/>
    <w:basedOn w:val="Normal"/>
    <w:next w:val="Normal"/>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ascii="Arial" w:eastAsia="Times New Roman" w:hAnsi="Arial" w:cs="Times New Roman"/>
      <w:sz w:val="20"/>
      <w:szCs w:val="20"/>
      <w:lang w:val="en-GB" w:eastAsia="en-US"/>
    </w:rPr>
  </w:style>
  <w:style w:type="character" w:customStyle="1" w:styleId="HeaderChar">
    <w:name w:val="Header Char"/>
    <w:basedOn w:val="DefaultParagraphFont"/>
    <w:link w:val="Header"/>
    <w:qFormat/>
    <w:rPr>
      <w:rFonts w:ascii="Arial" w:hAnsi="Arial" w:cs="Times New Roman"/>
      <w:b/>
      <w:sz w:val="18"/>
      <w:szCs w:val="20"/>
      <w:lang w:val="en-GB" w:eastAsia="en-US"/>
    </w:rPr>
  </w:style>
  <w:style w:type="paragraph" w:customStyle="1" w:styleId="a">
    <w:name w:val="样式 页眉"/>
    <w:basedOn w:val="Header"/>
    <w:link w:val="Char"/>
    <w:pPr>
      <w:overflowPunct w:val="0"/>
      <w:autoSpaceDE w:val="0"/>
      <w:autoSpaceDN w:val="0"/>
      <w:adjustRightInd w:val="0"/>
      <w:textAlignment w:val="baseline"/>
    </w:pPr>
    <w:rPr>
      <w:rFonts w:eastAsia="Arial"/>
      <w:bCs/>
      <w:sz w:val="22"/>
    </w:rPr>
  </w:style>
  <w:style w:type="character" w:customStyle="1" w:styleId="Char">
    <w:name w:val="样式 页眉 Char"/>
    <w:link w:val="a"/>
    <w:qFormat/>
    <w:rPr>
      <w:rFonts w:ascii="Arial" w:eastAsia="Arial" w:hAnsi="Arial" w:cs="Times New Roman"/>
      <w:b/>
      <w:bCs/>
      <w:szCs w:val="20"/>
      <w:lang w:val="en-GB" w:eastAsia="en-US"/>
    </w:rPr>
  </w:style>
  <w:style w:type="paragraph" w:customStyle="1" w:styleId="xxmsonormal">
    <w:name w:val="x_x_msonormal"/>
    <w:basedOn w:val="Normal"/>
    <w:pPr>
      <w:spacing w:after="0"/>
    </w:pPr>
    <w:rPr>
      <w:rFonts w:ascii="Calibri" w:eastAsiaTheme="minorEastAsia" w:hAnsi="Calibri" w:cs="Calibri"/>
      <w:sz w:val="22"/>
      <w:szCs w:val="22"/>
      <w:lang w:val="en-US" w:eastAsia="zh-CN"/>
    </w:rPr>
  </w:style>
  <w:style w:type="character" w:customStyle="1" w:styleId="CommentTextChar">
    <w:name w:val="Comment Text Char"/>
    <w:basedOn w:val="DefaultParagraphFont"/>
    <w:link w:val="CommentText"/>
    <w:uiPriority w:val="99"/>
    <w:rPr>
      <w:rFonts w:ascii="Times New Roman" w:eastAsia="DengXia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DengXian" w:hAnsi="Times New Roman" w:cs="Times New Roman"/>
      <w:b/>
      <w:bCs/>
      <w:sz w:val="20"/>
      <w:szCs w:val="20"/>
      <w:lang w:val="en-GB" w:eastAsia="en-US"/>
    </w:rPr>
  </w:style>
  <w:style w:type="character" w:customStyle="1" w:styleId="B1Char1">
    <w:name w:val="B1 Char1"/>
    <w:qFormat/>
    <w:rPr>
      <w:lang w:eastAsia="en-US"/>
    </w:rPr>
  </w:style>
  <w:style w:type="character" w:customStyle="1" w:styleId="Heading5Char">
    <w:name w:val="Heading 5 Char"/>
    <w:basedOn w:val="DefaultParagraphFont"/>
    <w:link w:val="Heading5"/>
    <w:rPr>
      <w:rFonts w:ascii="Arial" w:eastAsia="Times New Roman" w:hAnsi="Arial" w:cs="Times New Roman"/>
      <w:szCs w:val="20"/>
      <w:lang w:val="en-GB" w:eastAsia="en-GB"/>
    </w:rPr>
  </w:style>
  <w:style w:type="character" w:customStyle="1" w:styleId="Heading6Char">
    <w:name w:val="Heading 6 Char"/>
    <w:basedOn w:val="DefaultParagraphFont"/>
    <w:link w:val="Heading6"/>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qFormat/>
    <w:rPr>
      <w:rFonts w:ascii="Arial" w:eastAsia="Times New Roman" w:hAnsi="Arial" w:cs="Times New Roman"/>
      <w:sz w:val="36"/>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sz w:val="32"/>
      <w:lang w:val="en-GB" w:eastAsia="en-GB"/>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en-GB"/>
    </w:rPr>
  </w:style>
  <w:style w:type="paragraph" w:customStyle="1" w:styleId="TT">
    <w:name w:val="TT"/>
    <w:basedOn w:val="Heading1"/>
    <w:next w:val="Normal"/>
    <w:qFormat/>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qFormat/>
    <w:pPr>
      <w:keepNext/>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rFonts w:eastAsia="Times New Roman"/>
      <w:lang w:eastAsia="en-GB"/>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cs="Times New Roman"/>
      <w:lang w:val="en-GB" w:eastAsia="en-GB"/>
    </w:rPr>
  </w:style>
  <w:style w:type="paragraph" w:customStyle="1" w:styleId="FP">
    <w:name w:val="FP"/>
    <w:basedOn w:val="Normal"/>
    <w:qFormat/>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qFormat/>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qFormat/>
  </w:style>
  <w:style w:type="paragraph" w:customStyle="1" w:styleId="EditorsNote">
    <w:name w:val="Editor's Note"/>
    <w:basedOn w:val="NO"/>
    <w:link w:val="EditorsNoteCarCar"/>
    <w:qFormat/>
    <w:pPr>
      <w:overflowPunct w:val="0"/>
      <w:autoSpaceDE w:val="0"/>
      <w:autoSpaceDN w:val="0"/>
      <w:adjustRightInd w:val="0"/>
      <w:textAlignment w:val="baseline"/>
    </w:pPr>
    <w:rPr>
      <w:rFonts w:eastAsia="Times New Roman"/>
      <w:color w:val="FF0000"/>
      <w:lang w:eastAsia="en-GB"/>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sz w:val="40"/>
      <w:lang w:val="en-GB" w:eastAsia="en-GB"/>
    </w:rPr>
  </w:style>
  <w:style w:type="character" w:customStyle="1" w:styleId="ZAChar">
    <w:name w:val="ZA Char"/>
    <w:basedOn w:val="DefaultParagraphFont"/>
    <w:link w:val="ZA"/>
    <w:qFormat/>
    <w:rPr>
      <w:rFonts w:ascii="Arial" w:eastAsia="Times New Roman" w:hAnsi="Arial" w:cs="Times New Roman"/>
      <w:sz w:val="40"/>
      <w:szCs w:val="2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lang w:val="en-GB" w:eastAsia="en-GB"/>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en-GB"/>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List5"/>
    <w:link w:val="B5Char"/>
  </w:style>
  <w:style w:type="character" w:customStyle="1" w:styleId="B5Char">
    <w:name w:val="B5 Char"/>
    <w:link w:val="B5"/>
    <w:qFormat/>
    <w:rPr>
      <w:rFonts w:ascii="Times New Roman" w:eastAsia="Times New Roman" w:hAnsi="Times New Roman" w:cs="Times New Roman"/>
      <w:sz w:val="20"/>
      <w:szCs w:val="20"/>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GB"/>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szCs w:val="20"/>
      <w:lang w:val="en-GB" w:eastAsia="en-GB"/>
    </w:rPr>
  </w:style>
  <w:style w:type="character" w:customStyle="1" w:styleId="CaptionChar">
    <w:name w:val="Caption Char"/>
    <w:link w:val="Caption"/>
    <w:qFormat/>
    <w:rPr>
      <w:rFonts w:ascii="Cambria" w:eastAsia="SimHei" w:hAnsi="Cambria" w:cs="Times New Roman"/>
      <w:sz w:val="20"/>
      <w:szCs w:val="20"/>
      <w:lang w:val="en-GB" w:eastAsia="en-GB"/>
    </w:rPr>
  </w:style>
  <w:style w:type="character" w:customStyle="1" w:styleId="IntenseEmphasis1">
    <w:name w:val="Intense Emphasis1"/>
    <w:uiPriority w:val="21"/>
    <w:qFormat/>
    <w:rPr>
      <w:b/>
      <w:bCs/>
      <w:i/>
      <w:iCs/>
      <w:color w:val="4F81BD"/>
    </w:rPr>
  </w:style>
  <w:style w:type="paragraph" w:customStyle="1" w:styleId="Revision1">
    <w:name w:val="Revision1"/>
    <w:hidden/>
    <w:uiPriority w:val="99"/>
    <w:semiHidden/>
    <w:qFormat/>
    <w:pPr>
      <w:spacing w:after="0" w:line="240" w:lineRule="auto"/>
    </w:pPr>
    <w:rPr>
      <w:rFonts w:ascii="Times New Roman" w:eastAsia="SimSun" w:hAnsi="Times New Roman" w:cs="Times New Roman"/>
      <w:lang w:val="en-GB" w:eastAsia="en-US"/>
    </w:rPr>
  </w:style>
  <w:style w:type="character" w:customStyle="1" w:styleId="PlainTextChar">
    <w:name w:val="Plain Text Char"/>
    <w:basedOn w:val="DefaultParagraphFont"/>
    <w:link w:val="PlainText"/>
    <w:qFormat/>
    <w:rPr>
      <w:rFonts w:ascii="Courier New" w:eastAsia="Times New Roman" w:hAnsi="Courier New" w:cs="Times New Roman"/>
      <w:sz w:val="20"/>
      <w:szCs w:val="20"/>
      <w:lang w:val="nb-NO" w:eastAsia="zh-CN"/>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pPr>
      <w:spacing w:after="0" w:line="240" w:lineRule="auto"/>
    </w:pPr>
    <w:rPr>
      <w:rFonts w:ascii="Times New Roman" w:eastAsia="Batang" w:hAnsi="Times New Roman" w:cs="Times New Roman"/>
      <w:lang w:val="en-GB" w:eastAsia="en-US"/>
    </w:rPr>
  </w:style>
  <w:style w:type="paragraph" w:customStyle="1" w:styleId="1">
    <w:name w:val="修订1"/>
    <w:hidden/>
    <w:semiHidden/>
    <w:qFormat/>
    <w:pPr>
      <w:spacing w:after="0" w:line="240" w:lineRule="auto"/>
    </w:pPr>
    <w:rPr>
      <w:rFonts w:ascii="Times New Roman" w:eastAsia="Batang" w:hAnsi="Times New Roman" w:cs="Times New Roman"/>
      <w:lang w:val="en-GB" w:eastAsia="en-US"/>
    </w:rPr>
  </w:style>
  <w:style w:type="character" w:customStyle="1" w:styleId="EndnoteTextChar">
    <w:name w:val="Endnote Text Char"/>
    <w:basedOn w:val="DefaultParagraphFont"/>
    <w:link w:val="EndnoteText"/>
    <w:qFormat/>
    <w:rPr>
      <w:rFonts w:ascii="Times New Roman" w:eastAsia="Times New Roman" w:hAnsi="Times New Roman" w:cs="Times New Roman"/>
      <w:sz w:val="20"/>
      <w:szCs w:val="20"/>
      <w:lang w:val="en-GB" w:eastAsia="zh-CN"/>
    </w:rPr>
  </w:style>
  <w:style w:type="paragraph" w:customStyle="1" w:styleId="a1">
    <w:name w:val="変更箇所"/>
    <w:hidden/>
    <w:semiHidden/>
    <w:qFormat/>
    <w:pPr>
      <w:spacing w:after="0" w:line="240" w:lineRule="auto"/>
    </w:pPr>
    <w:rPr>
      <w:rFonts w:ascii="Times New Roman" w:eastAsia="MS Mincho" w:hAnsi="Times New Roman" w:cs="Times New Roman"/>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lang w:val="en-GB" w:eastAsia="en-GB"/>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line="240" w:lineRule="auto"/>
    </w:pPr>
    <w:rPr>
      <w:rFonts w:ascii="Arial" w:eastAsia="Times New Roman" w:hAnsi="Arial" w:cs="Times New Roman"/>
      <w:lang w:val="en-GB" w:eastAsia="en-US"/>
    </w:rPr>
  </w:style>
  <w:style w:type="paragraph" w:customStyle="1" w:styleId="tdoc-header">
    <w:name w:val="tdoc-header"/>
    <w:qFormat/>
    <w:pPr>
      <w:spacing w:after="0" w:line="240" w:lineRule="auto"/>
    </w:pPr>
    <w:rPr>
      <w:rFonts w:ascii="Arial" w:eastAsia="Times New Roman" w:hAnsi="Arial" w:cs="Times New Roman"/>
      <w:sz w:val="24"/>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pPr>
    <w:rPr>
      <w:rFonts w:ascii="CG Times (WN)" w:eastAsia="SimSu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rFonts w:ascii="CG Times (WN)" w:eastAsia="SimSu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26925"/>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29172">
      <w:bodyDiv w:val="1"/>
      <w:marLeft w:val="0"/>
      <w:marRight w:val="0"/>
      <w:marTop w:val="0"/>
      <w:marBottom w:val="0"/>
      <w:divBdr>
        <w:top w:val="none" w:sz="0" w:space="0" w:color="auto"/>
        <w:left w:val="none" w:sz="0" w:space="0" w:color="auto"/>
        <w:bottom w:val="none" w:sz="0" w:space="0" w:color="auto"/>
        <w:right w:val="none" w:sz="0" w:space="0" w:color="auto"/>
      </w:divBdr>
    </w:div>
    <w:div w:id="746659430">
      <w:bodyDiv w:val="1"/>
      <w:marLeft w:val="0"/>
      <w:marRight w:val="0"/>
      <w:marTop w:val="0"/>
      <w:marBottom w:val="0"/>
      <w:divBdr>
        <w:top w:val="none" w:sz="0" w:space="0" w:color="auto"/>
        <w:left w:val="none" w:sz="0" w:space="0" w:color="auto"/>
        <w:bottom w:val="none" w:sz="0" w:space="0" w:color="auto"/>
        <w:right w:val="none" w:sz="0" w:space="0" w:color="auto"/>
      </w:divBdr>
    </w:div>
    <w:div w:id="779880131">
      <w:bodyDiv w:val="1"/>
      <w:marLeft w:val="0"/>
      <w:marRight w:val="0"/>
      <w:marTop w:val="0"/>
      <w:marBottom w:val="0"/>
      <w:divBdr>
        <w:top w:val="none" w:sz="0" w:space="0" w:color="auto"/>
        <w:left w:val="none" w:sz="0" w:space="0" w:color="auto"/>
        <w:bottom w:val="none" w:sz="0" w:space="0" w:color="auto"/>
        <w:right w:val="none" w:sz="0" w:space="0" w:color="auto"/>
      </w:divBdr>
    </w:div>
    <w:div w:id="1104616723">
      <w:bodyDiv w:val="1"/>
      <w:marLeft w:val="0"/>
      <w:marRight w:val="0"/>
      <w:marTop w:val="0"/>
      <w:marBottom w:val="0"/>
      <w:divBdr>
        <w:top w:val="none" w:sz="0" w:space="0" w:color="auto"/>
        <w:left w:val="none" w:sz="0" w:space="0" w:color="auto"/>
        <w:bottom w:val="none" w:sz="0" w:space="0" w:color="auto"/>
        <w:right w:val="none" w:sz="0" w:space="0" w:color="auto"/>
      </w:divBdr>
    </w:div>
    <w:div w:id="1337028411">
      <w:bodyDiv w:val="1"/>
      <w:marLeft w:val="0"/>
      <w:marRight w:val="0"/>
      <w:marTop w:val="0"/>
      <w:marBottom w:val="0"/>
      <w:divBdr>
        <w:top w:val="none" w:sz="0" w:space="0" w:color="auto"/>
        <w:left w:val="none" w:sz="0" w:space="0" w:color="auto"/>
        <w:bottom w:val="none" w:sz="0" w:space="0" w:color="auto"/>
        <w:right w:val="none" w:sz="0" w:space="0" w:color="auto"/>
      </w:divBdr>
    </w:div>
    <w:div w:id="1370449090">
      <w:bodyDiv w:val="1"/>
      <w:marLeft w:val="0"/>
      <w:marRight w:val="0"/>
      <w:marTop w:val="0"/>
      <w:marBottom w:val="0"/>
      <w:divBdr>
        <w:top w:val="none" w:sz="0" w:space="0" w:color="auto"/>
        <w:left w:val="none" w:sz="0" w:space="0" w:color="auto"/>
        <w:bottom w:val="none" w:sz="0" w:space="0" w:color="auto"/>
        <w:right w:val="none" w:sz="0" w:space="0" w:color="auto"/>
      </w:divBdr>
    </w:div>
    <w:div w:id="1561862353">
      <w:bodyDiv w:val="1"/>
      <w:marLeft w:val="0"/>
      <w:marRight w:val="0"/>
      <w:marTop w:val="0"/>
      <w:marBottom w:val="0"/>
      <w:divBdr>
        <w:top w:val="none" w:sz="0" w:space="0" w:color="auto"/>
        <w:left w:val="none" w:sz="0" w:space="0" w:color="auto"/>
        <w:bottom w:val="none" w:sz="0" w:space="0" w:color="auto"/>
        <w:right w:val="none" w:sz="0" w:space="0" w:color="auto"/>
      </w:divBdr>
    </w:div>
    <w:div w:id="162399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73E73B-E95F-4636-B924-178CA48F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Szydelko, Huawei</dc:creator>
  <cp:lastModifiedBy>Michal Szydelko, Huawei</cp:lastModifiedBy>
  <cp:revision>2</cp:revision>
  <dcterms:created xsi:type="dcterms:W3CDTF">2022-11-17T13:33:00Z</dcterms:created>
  <dcterms:modified xsi:type="dcterms:W3CDTF">2022-11-17T13:33:00Z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1668596067</vt:lpwstr>
  </property>
</Properties>
</file>