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815A6C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EF3A19">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B53C53">
        <w:rPr>
          <w:rFonts w:cs="Arial"/>
          <w:sz w:val="24"/>
          <w:szCs w:val="24"/>
          <w:lang w:val="de-DE"/>
        </w:rPr>
        <w:t>1</w:t>
      </w:r>
      <w:r w:rsidR="00AE280F">
        <w:rPr>
          <w:rFonts w:cs="Arial"/>
          <w:sz w:val="24"/>
          <w:szCs w:val="24"/>
          <w:lang w:val="de-DE"/>
        </w:rPr>
        <w:t>9989</w:t>
      </w:r>
    </w:p>
    <w:p w14:paraId="7C5F9A1F" w14:textId="47BDE47A" w:rsidR="006E440C" w:rsidRPr="00DB3907" w:rsidRDefault="00F26979" w:rsidP="006E440C">
      <w:pPr>
        <w:pStyle w:val="Header"/>
        <w:tabs>
          <w:tab w:val="left" w:pos="6521"/>
        </w:tabs>
        <w:rPr>
          <w:rFonts w:cs="Arial"/>
          <w:sz w:val="24"/>
          <w:szCs w:val="24"/>
        </w:rPr>
      </w:pPr>
      <w:r>
        <w:rPr>
          <w:rFonts w:cs="Arial"/>
          <w:sz w:val="24"/>
          <w:szCs w:val="24"/>
        </w:rPr>
        <w:t>November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1A93B76B" w:rsidR="006B0412" w:rsidRPr="00DB3907" w:rsidRDefault="00F26979" w:rsidP="006B0412">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B43DFE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12C5E">
        <w:rPr>
          <w:rFonts w:ascii="Arial" w:hAnsi="Arial"/>
          <w:sz w:val="24"/>
          <w:lang w:val="en-US"/>
        </w:rPr>
        <w:t>8.23.4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E34C9D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27780">
        <w:rPr>
          <w:rFonts w:ascii="Arial" w:hAnsi="Arial"/>
          <w:sz w:val="24"/>
          <w:lang w:val="en-US"/>
        </w:rPr>
        <w:t>NTN UE device types for &gt;10 GHz</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8D28108" w14:textId="6C3E186F" w:rsidR="00965069" w:rsidRDefault="00965069" w:rsidP="009011AF">
      <w:r>
        <w:t xml:space="preserve">The </w:t>
      </w:r>
      <w:r w:rsidR="00425F6F">
        <w:t>need to define multiple NTN UE device types was discussed during RAN4 #104bis-e, but views were differing.  This contribution further discusses the benefit of multiple device types in the specification.</w:t>
      </w:r>
    </w:p>
    <w:p w14:paraId="10F6602E" w14:textId="486C4301" w:rsidR="007E1E78" w:rsidRDefault="007E1E78" w:rsidP="0099327E">
      <w:pPr>
        <w:pStyle w:val="Heading1"/>
        <w:tabs>
          <w:tab w:val="clear" w:pos="432"/>
          <w:tab w:val="num" w:pos="522"/>
        </w:tabs>
        <w:ind w:left="522" w:hanging="522"/>
        <w:rPr>
          <w:lang w:val="en-US"/>
        </w:rPr>
      </w:pPr>
      <w:r>
        <w:rPr>
          <w:lang w:val="en-US"/>
        </w:rPr>
        <w:t>Discussion</w:t>
      </w:r>
    </w:p>
    <w:p w14:paraId="4C5946D3" w14:textId="24941393" w:rsidR="0042669B" w:rsidRDefault="0042669B" w:rsidP="0042669B">
      <w:pPr>
        <w:pStyle w:val="Heading2"/>
        <w:rPr>
          <w:lang w:val="en-US"/>
        </w:rPr>
      </w:pPr>
      <w:r>
        <w:rPr>
          <w:lang w:val="en-US"/>
        </w:rPr>
        <w:t>UE type differentiation</w:t>
      </w:r>
    </w:p>
    <w:p w14:paraId="7BB4BF8E" w14:textId="18E703D8" w:rsidR="0055712F" w:rsidRDefault="0055712F" w:rsidP="00C27780">
      <w:pPr>
        <w:rPr>
          <w:lang w:val="en-US"/>
        </w:rPr>
      </w:pPr>
      <w:r>
        <w:rPr>
          <w:lang w:val="en-US"/>
        </w:rPr>
        <w:t>During RAN4 #104bis-e the following agreements were made pertaining to UE device types</w:t>
      </w:r>
    </w:p>
    <w:p w14:paraId="718B3A1A" w14:textId="06B0AD39" w:rsidR="0055712F" w:rsidRDefault="0055712F" w:rsidP="0055712F">
      <w:pPr>
        <w:pStyle w:val="ListParagraph"/>
        <w:numPr>
          <w:ilvl w:val="0"/>
          <w:numId w:val="46"/>
        </w:numPr>
        <w:rPr>
          <w:lang w:val="en-US"/>
        </w:rPr>
      </w:pPr>
      <w:r w:rsidRPr="0055712F">
        <w:rPr>
          <w:lang w:val="en-US"/>
        </w:rPr>
        <w:t>Handheld smartphone type devices are out of scope for above 10 GHz NTN bands.</w:t>
      </w:r>
      <w:r>
        <w:rPr>
          <w:lang w:val="en-US"/>
        </w:rPr>
        <w:t xml:space="preserve"> [1]</w:t>
      </w:r>
    </w:p>
    <w:p w14:paraId="42F2256B" w14:textId="47961F23" w:rsidR="0055712F" w:rsidRDefault="0055712F" w:rsidP="0055712F">
      <w:pPr>
        <w:rPr>
          <w:lang w:val="en-US"/>
        </w:rPr>
      </w:pPr>
      <w:r>
        <w:rPr>
          <w:lang w:val="en-US"/>
        </w:rPr>
        <w:t xml:space="preserve">There was also discussion on UE types but the issue on VSAT and/or ESIM type was not agreed and still listed as issue in </w:t>
      </w:r>
      <w:r w:rsidR="00D30638">
        <w:rPr>
          <w:lang w:val="en-US"/>
        </w:rPr>
        <w:t xml:space="preserve">1-1-1 in </w:t>
      </w:r>
      <w:r>
        <w:rPr>
          <w:lang w:val="en-US"/>
        </w:rPr>
        <w:t xml:space="preserve">[2].  </w:t>
      </w:r>
      <w:r w:rsidR="00D30638">
        <w:rPr>
          <w:lang w:val="en-US"/>
        </w:rPr>
        <w:t xml:space="preserve">The same is true for power class, listed as Issue 1-1-2 in [2].  For orbit types, it was agreed to prioritize GSO and NGSO while MEO and HEO should be considered if time allows.  </w:t>
      </w:r>
    </w:p>
    <w:p w14:paraId="6BDDAC61" w14:textId="77B1570B" w:rsidR="00E73E11" w:rsidRDefault="00E73E11" w:rsidP="0055712F">
      <w:pPr>
        <w:rPr>
          <w:lang w:val="en-US"/>
        </w:rPr>
      </w:pPr>
      <w:r>
        <w:rPr>
          <w:lang w:val="en-US"/>
        </w:rPr>
        <w:t xml:space="preserve">On UE device type, most of the satellite operators preferred a single UE type since it is perceived that they all have the same RF requirements and are implemented the same.  However, there was no technical justification provided to support this claim.  It may in fact be very likely that there are different requirements for different types of UE.  Under consideration are </w:t>
      </w:r>
      <w:r w:rsidR="00CD133C">
        <w:rPr>
          <w:lang w:val="en-US"/>
        </w:rPr>
        <w:t>three</w:t>
      </w:r>
      <w:r>
        <w:rPr>
          <w:lang w:val="en-US"/>
        </w:rPr>
        <w:t xml:space="preserve"> types of UE’s </w:t>
      </w:r>
      <w:r w:rsidR="00CD133C">
        <w:rPr>
          <w:lang w:val="en-US"/>
        </w:rPr>
        <w:t>listed below</w:t>
      </w:r>
    </w:p>
    <w:p w14:paraId="0F0CEA6E" w14:textId="716F70AA" w:rsidR="00CD133C" w:rsidRDefault="00CD133C" w:rsidP="00CD133C">
      <w:pPr>
        <w:pStyle w:val="ListParagraph"/>
        <w:numPr>
          <w:ilvl w:val="0"/>
          <w:numId w:val="47"/>
        </w:numPr>
        <w:rPr>
          <w:lang w:val="en-US"/>
        </w:rPr>
      </w:pPr>
      <w:r>
        <w:rPr>
          <w:lang w:val="en-US"/>
        </w:rPr>
        <w:t>Fixed VSAT communicating with GEO satellite,</w:t>
      </w:r>
    </w:p>
    <w:p w14:paraId="5B422BFB" w14:textId="34311D23" w:rsidR="00CD133C" w:rsidRDefault="00CD133C" w:rsidP="00CD133C">
      <w:pPr>
        <w:pStyle w:val="ListParagraph"/>
        <w:numPr>
          <w:ilvl w:val="0"/>
          <w:numId w:val="47"/>
        </w:numPr>
        <w:rPr>
          <w:lang w:val="en-US"/>
        </w:rPr>
      </w:pPr>
      <w:r>
        <w:rPr>
          <w:lang w:val="en-US"/>
        </w:rPr>
        <w:t>Fixed VSAT communicating with LEO satellite,</w:t>
      </w:r>
    </w:p>
    <w:p w14:paraId="5B379770" w14:textId="696541DF" w:rsidR="00CD133C" w:rsidRPr="00CD133C" w:rsidRDefault="00CD133C" w:rsidP="00CD133C">
      <w:pPr>
        <w:pStyle w:val="ListParagraph"/>
        <w:numPr>
          <w:ilvl w:val="0"/>
          <w:numId w:val="47"/>
        </w:numPr>
        <w:rPr>
          <w:lang w:val="en-US"/>
        </w:rPr>
      </w:pPr>
      <w:r>
        <w:rPr>
          <w:lang w:val="en-US"/>
        </w:rPr>
        <w:t>Mobile VSAT (ESIM) communicating with GEO satellite</w:t>
      </w:r>
    </w:p>
    <w:p w14:paraId="64A61A45" w14:textId="7BEE6371" w:rsidR="00E73E11" w:rsidRDefault="00CD133C" w:rsidP="0055712F">
      <w:pPr>
        <w:rPr>
          <w:lang w:val="en-US"/>
        </w:rPr>
      </w:pPr>
      <w:r>
        <w:rPr>
          <w:lang w:val="en-US"/>
        </w:rPr>
        <w:t>noting that the 4</w:t>
      </w:r>
      <w:r w:rsidRPr="00CD133C">
        <w:rPr>
          <w:vertAlign w:val="superscript"/>
          <w:lang w:val="en-US"/>
        </w:rPr>
        <w:t>th</w:t>
      </w:r>
      <w:r>
        <w:rPr>
          <w:lang w:val="en-US"/>
        </w:rPr>
        <w:t xml:space="preserve"> type of UE described as ESIM communicating with LEO satellite is out of scope of this work item.  Also, MEO and HEO orbits have been deprioritized but should not be dismissed at this time.</w:t>
      </w:r>
    </w:p>
    <w:p w14:paraId="0369DA58" w14:textId="517521DA" w:rsidR="00CD133C" w:rsidRDefault="00CD133C" w:rsidP="0055712F">
      <w:pPr>
        <w:rPr>
          <w:lang w:val="en-US"/>
        </w:rPr>
      </w:pPr>
      <w:r>
        <w:rPr>
          <w:lang w:val="en-US"/>
        </w:rPr>
        <w:t xml:space="preserve">The first difference between the three different types of UE’s </w:t>
      </w:r>
      <w:r w:rsidR="0044216A">
        <w:rPr>
          <w:lang w:val="en-US"/>
        </w:rPr>
        <w:t>relates to</w:t>
      </w:r>
      <w:r>
        <w:rPr>
          <w:lang w:val="en-US"/>
        </w:rPr>
        <w:t xml:space="preserve"> link budget</w:t>
      </w:r>
      <w:r w:rsidR="0044216A">
        <w:rPr>
          <w:lang w:val="en-US"/>
        </w:rPr>
        <w:t>s</w:t>
      </w:r>
      <w:r>
        <w:rPr>
          <w:lang w:val="en-US"/>
        </w:rPr>
        <w:t>.  The EIRP to reach a GEO satellite is much higher than the EIRP required to reach a LEO.  Therefore, the power level and antenna aperture</w:t>
      </w:r>
      <w:r w:rsidR="006C18EE">
        <w:rPr>
          <w:lang w:val="en-US"/>
        </w:rPr>
        <w:t xml:space="preserve"> requirements are different for the fixed VSAT depending on whether it is communicating with GEO or LEO satellites.  </w:t>
      </w:r>
      <w:r w:rsidR="00F17D4A">
        <w:rPr>
          <w:lang w:val="en-US"/>
        </w:rPr>
        <w:t xml:space="preserve">In theory, it could be argued that if the UE </w:t>
      </w:r>
      <w:proofErr w:type="gramStart"/>
      <w:r w:rsidR="00F17D4A">
        <w:rPr>
          <w:lang w:val="en-US"/>
        </w:rPr>
        <w:t>is capable of reaching</w:t>
      </w:r>
      <w:proofErr w:type="gramEnd"/>
      <w:r w:rsidR="00F17D4A">
        <w:rPr>
          <w:lang w:val="en-US"/>
        </w:rPr>
        <w:t xml:space="preserve"> a GEO it should also be capable of reaching a LEO.  However, the front-end design of a UE for GEO will be very inefficient if backed off for LEO.  In practice, a UE capable of serving both GEO and LEO </w:t>
      </w:r>
      <w:proofErr w:type="gramStart"/>
      <w:r w:rsidR="00F17D4A">
        <w:rPr>
          <w:lang w:val="en-US"/>
        </w:rPr>
        <w:t>is</w:t>
      </w:r>
      <w:proofErr w:type="gramEnd"/>
      <w:r w:rsidR="00F17D4A">
        <w:rPr>
          <w:lang w:val="en-US"/>
        </w:rPr>
        <w:t xml:space="preserve"> likely to be two separate radios packaged together in a single enclosure – not a single design.  </w:t>
      </w:r>
      <w:r w:rsidR="006C18EE">
        <w:rPr>
          <w:lang w:val="en-US"/>
        </w:rPr>
        <w:t xml:space="preserve">Power and aperture requirements can be represented by power class and therefore do not by themselves constitute the need for a different UE type.  However, other differences </w:t>
      </w:r>
      <w:r w:rsidR="0044216A">
        <w:rPr>
          <w:lang w:val="en-US"/>
        </w:rPr>
        <w:t xml:space="preserve">may exist </w:t>
      </w:r>
      <w:r w:rsidR="006C18EE">
        <w:rPr>
          <w:lang w:val="en-US"/>
        </w:rPr>
        <w:t>between GEO and LEO</w:t>
      </w:r>
      <w:r w:rsidR="0044216A">
        <w:rPr>
          <w:lang w:val="en-US"/>
        </w:rPr>
        <w:t xml:space="preserve"> that are less directly related to power and aperture</w:t>
      </w:r>
      <w:r w:rsidR="006C18EE">
        <w:rPr>
          <w:lang w:val="en-US"/>
        </w:rPr>
        <w:t xml:space="preserve">. </w:t>
      </w:r>
      <w:r w:rsidR="0044216A">
        <w:rPr>
          <w:lang w:val="en-US"/>
        </w:rPr>
        <w:t xml:space="preserve"> </w:t>
      </w:r>
      <w:r w:rsidR="0033029B">
        <w:rPr>
          <w:lang w:val="en-US"/>
        </w:rPr>
        <w:t>Regulatory emissions and SEM as well as 3GPP derived c</w:t>
      </w:r>
      <w:r w:rsidR="0044216A">
        <w:rPr>
          <w:lang w:val="en-US"/>
        </w:rPr>
        <w:t>oexistence requirements and capabilities such as ACS and ACLR may differ between LEO and GEO due to the different power levels, beam widths, and sidelobe suppression.</w:t>
      </w:r>
      <w:r w:rsidR="009D02A4">
        <w:rPr>
          <w:lang w:val="en-US"/>
        </w:rPr>
        <w:t xml:space="preserve">  </w:t>
      </w:r>
    </w:p>
    <w:p w14:paraId="5530B3E2" w14:textId="453E2411" w:rsidR="00256C60" w:rsidRDefault="0044216A" w:rsidP="0055712F">
      <w:pPr>
        <w:rPr>
          <w:lang w:val="en-US"/>
        </w:rPr>
      </w:pPr>
      <w:r>
        <w:rPr>
          <w:lang w:val="en-US"/>
        </w:rPr>
        <w:t xml:space="preserve">Another key difference between types of NTN UE’s is their tracking ability.  Antenna system for NTN UE’s may be </w:t>
      </w:r>
      <w:r w:rsidR="007444B9">
        <w:rPr>
          <w:lang w:val="en-US"/>
        </w:rPr>
        <w:t>constructed with</w:t>
      </w:r>
      <w:r>
        <w:rPr>
          <w:lang w:val="en-US"/>
        </w:rPr>
        <w:t xml:space="preserve"> a parabolic dish or a phase array.  For the former, the steerability of the dish antenna is mechanical while for the latter it is both mechanical and electronic.  </w:t>
      </w:r>
      <w:r w:rsidR="007444B9">
        <w:rPr>
          <w:lang w:val="en-US"/>
        </w:rPr>
        <w:t xml:space="preserve">While both antenna systems enable steerability, their characteristics </w:t>
      </w:r>
      <w:r w:rsidR="00256C60">
        <w:rPr>
          <w:lang w:val="en-US"/>
        </w:rPr>
        <w:t>are likely to be very different</w:t>
      </w:r>
      <w:r w:rsidR="007444B9">
        <w:rPr>
          <w:lang w:val="en-US"/>
        </w:rPr>
        <w:t xml:space="preserve">.  The speed for which a mechanically steered antenna can be aimed is fundamentally limited by motors and gears.  Its reliability and longevity </w:t>
      </w:r>
      <w:proofErr w:type="gramStart"/>
      <w:r w:rsidR="007444B9">
        <w:rPr>
          <w:lang w:val="en-US"/>
        </w:rPr>
        <w:t>is</w:t>
      </w:r>
      <w:proofErr w:type="gramEnd"/>
      <w:r w:rsidR="007444B9">
        <w:rPr>
          <w:lang w:val="en-US"/>
        </w:rPr>
        <w:t xml:space="preserve"> also limited requiring more frequent maintenance and replacement.  Therefore, mechanically steered antennas are typically only useful for relatively slow </w:t>
      </w:r>
      <w:r w:rsidR="007444B9">
        <w:rPr>
          <w:lang w:val="en-US"/>
        </w:rPr>
        <w:lastRenderedPageBreak/>
        <w:t xml:space="preserve">and infrequent movements.  </w:t>
      </w:r>
      <w:r w:rsidR="004D0307">
        <w:rPr>
          <w:lang w:val="en-US"/>
        </w:rPr>
        <w:t>LEO constellations will require tracking the satellite on the order of minutes</w:t>
      </w:r>
      <w:r w:rsidR="00AC2B90">
        <w:rPr>
          <w:lang w:val="en-US"/>
        </w:rPr>
        <w:t xml:space="preserve"> which may not be practical for mechanical steering.  </w:t>
      </w:r>
      <w:r w:rsidR="007444B9">
        <w:rPr>
          <w:lang w:val="en-US"/>
        </w:rPr>
        <w:t xml:space="preserve">On the other hand, electronically steered antennas can move very quickly and reliably without relying on mechanics.  The accuracy to which an antenna can be aimed may also differ between mechanical and electronic systems.  Finally, a parabolic dish can generally only be aimed in a single direction.  Due to the requirement for high gain and narrow beams, this means that the UE can only track one satellite at a time.  </w:t>
      </w:r>
      <w:proofErr w:type="gramStart"/>
      <w:r w:rsidR="007444B9">
        <w:rPr>
          <w:lang w:val="en-US"/>
        </w:rPr>
        <w:t>In order to</w:t>
      </w:r>
      <w:proofErr w:type="gramEnd"/>
      <w:r w:rsidR="007444B9">
        <w:rPr>
          <w:lang w:val="en-US"/>
        </w:rPr>
        <w:t xml:space="preserve"> monitor multiple satellites </w:t>
      </w:r>
      <w:r w:rsidR="00256C60">
        <w:rPr>
          <w:lang w:val="en-US"/>
        </w:rPr>
        <w:t>for measurements and handover, the dish would have to be mechanically steered across the sky.  This would incur signal disruption while the dish is aimed away from its serving satellite.  An electronically steered antenna can move much more quickly between satellites as needed.  It may even be possible to simultaneously aim towards more than one satellite depending on the phased array design, required beam width, and tolerable sidelobe rejection.  The antenna tracking ability of the NTN UE can have impact to RF requirements such as spherical coverage, tracking</w:t>
      </w:r>
      <w:r w:rsidR="00A077FA">
        <w:rPr>
          <w:lang w:val="en-US"/>
        </w:rPr>
        <w:t xml:space="preserve"> (to be defined)</w:t>
      </w:r>
      <w:r w:rsidR="00256C60">
        <w:rPr>
          <w:lang w:val="en-US"/>
        </w:rPr>
        <w:t>, as well as RRM requirements for measurement gaps, delay, etc.</w:t>
      </w:r>
    </w:p>
    <w:p w14:paraId="7BFA8746" w14:textId="72A54DCB" w:rsidR="006D6351" w:rsidRPr="00CF78E7" w:rsidRDefault="006D6351" w:rsidP="0055712F">
      <w:pPr>
        <w:rPr>
          <w:b/>
          <w:bCs/>
          <w:lang w:val="en-US"/>
        </w:rPr>
      </w:pPr>
      <w:r w:rsidRPr="00CF78E7">
        <w:rPr>
          <w:b/>
          <w:bCs/>
          <w:lang w:val="en-US"/>
        </w:rPr>
        <w:t>Observation:  There is a benefit for indicating UE types</w:t>
      </w:r>
      <w:r w:rsidR="00B5291A" w:rsidRPr="00CF78E7">
        <w:rPr>
          <w:b/>
          <w:bCs/>
          <w:lang w:val="en-US"/>
        </w:rPr>
        <w:t xml:space="preserve"> to distinguish capability, function, and requirements of the UE.</w:t>
      </w:r>
    </w:p>
    <w:p w14:paraId="629B678F" w14:textId="55F7E40F" w:rsidR="001D5142" w:rsidRDefault="001D5142" w:rsidP="001D5142">
      <w:pPr>
        <w:pStyle w:val="Heading2"/>
        <w:rPr>
          <w:lang w:val="en-US"/>
        </w:rPr>
      </w:pPr>
      <w:r>
        <w:rPr>
          <w:lang w:val="en-US"/>
        </w:rPr>
        <w:t>Signaling</w:t>
      </w:r>
      <w:r w:rsidR="00063AB9">
        <w:rPr>
          <w:lang w:val="en-US"/>
        </w:rPr>
        <w:t xml:space="preserve"> options</w:t>
      </w:r>
    </w:p>
    <w:p w14:paraId="6BA12BC8" w14:textId="6509A3EE" w:rsidR="00721729" w:rsidRDefault="002E5E4F" w:rsidP="0055712F">
      <w:pPr>
        <w:rPr>
          <w:lang w:val="en-US"/>
        </w:rPr>
      </w:pPr>
      <w:r>
        <w:rPr>
          <w:lang w:val="en-US"/>
        </w:rPr>
        <w:t xml:space="preserve">It is evident from the above discussion that there is a benefit to distinguishing different types of UE’s at least from the perspective of </w:t>
      </w:r>
      <w:r w:rsidR="0004767F">
        <w:rPr>
          <w:lang w:val="en-US"/>
        </w:rPr>
        <w:t xml:space="preserve">EIRP, antenna aperture, </w:t>
      </w:r>
      <w:r w:rsidR="0025687C">
        <w:rPr>
          <w:lang w:val="en-US"/>
        </w:rPr>
        <w:t xml:space="preserve">NGSO serving vs. GSO serving, </w:t>
      </w:r>
      <w:r w:rsidR="00F41C01">
        <w:rPr>
          <w:lang w:val="en-US"/>
        </w:rPr>
        <w:t>and tracking ability</w:t>
      </w:r>
      <w:r w:rsidR="006B3725">
        <w:rPr>
          <w:lang w:val="en-US"/>
        </w:rPr>
        <w:t xml:space="preserve">.  </w:t>
      </w:r>
      <w:r w:rsidR="003508F4">
        <w:rPr>
          <w:lang w:val="en-US"/>
        </w:rPr>
        <w:t xml:space="preserve">And, indeed, this may be beneficial not only to </w:t>
      </w:r>
      <w:r w:rsidR="001D400E">
        <w:rPr>
          <w:lang w:val="en-US"/>
        </w:rPr>
        <w:t>distinguish the applicability of requirements, but also to convey to the network</w:t>
      </w:r>
      <w:r w:rsidR="009D2195">
        <w:rPr>
          <w:lang w:val="en-US"/>
        </w:rPr>
        <w:t xml:space="preserve">.  For example, if the UE is only GSO serving, then it may be beneficial to </w:t>
      </w:r>
      <w:r w:rsidR="00964DB3">
        <w:rPr>
          <w:lang w:val="en-US"/>
        </w:rPr>
        <w:t xml:space="preserve">inform the </w:t>
      </w:r>
      <w:proofErr w:type="gramStart"/>
      <w:r w:rsidR="00964DB3">
        <w:rPr>
          <w:lang w:val="en-US"/>
        </w:rPr>
        <w:t>network</w:t>
      </w:r>
      <w:proofErr w:type="gramEnd"/>
      <w:r w:rsidR="00964DB3">
        <w:rPr>
          <w:lang w:val="en-US"/>
        </w:rPr>
        <w:t xml:space="preserve"> so the network does not attempt to schedule measurements on a </w:t>
      </w:r>
      <w:r w:rsidR="009F1AFD">
        <w:rPr>
          <w:lang w:val="en-US"/>
        </w:rPr>
        <w:t>N</w:t>
      </w:r>
      <w:r w:rsidR="00964DB3">
        <w:rPr>
          <w:lang w:val="en-US"/>
        </w:rPr>
        <w:t>GSO satellite in a hybrid network</w:t>
      </w:r>
      <w:r w:rsidR="009F1AFD">
        <w:rPr>
          <w:lang w:val="en-US"/>
        </w:rPr>
        <w:t xml:space="preserve">.  </w:t>
      </w:r>
      <w:r w:rsidR="009F58F0">
        <w:rPr>
          <w:lang w:val="en-US"/>
        </w:rPr>
        <w:t xml:space="preserve">There are multiple ways to introduce this signaling into the 3GPP specifications.  </w:t>
      </w:r>
      <w:r w:rsidR="00AC2531">
        <w:rPr>
          <w:lang w:val="en-US"/>
        </w:rPr>
        <w:t xml:space="preserve">In FR2, the power class has already been used as a UE type indicator that is signaled to the network.  The power class conveys not just information about maximum output power but also </w:t>
      </w:r>
      <w:r w:rsidR="00B818BA">
        <w:rPr>
          <w:lang w:val="en-US"/>
        </w:rPr>
        <w:t xml:space="preserve">indexes different requirements such as spherical coverage used to distinguish, for example, CPE type devices from handheld type devices.  </w:t>
      </w:r>
      <w:r w:rsidR="007A0A63">
        <w:rPr>
          <w:lang w:val="en-US"/>
        </w:rPr>
        <w:t>A similar approach can be adopted for the NTN UE to use the power class as an indicator of UE type.  The possible disadvantage to this approach is a very large number of power classes may be required</w:t>
      </w:r>
      <w:r w:rsidR="00721729">
        <w:rPr>
          <w:lang w:val="en-US"/>
        </w:rPr>
        <w:t xml:space="preserve"> which might be </w:t>
      </w:r>
      <w:r w:rsidR="00B02A4A">
        <w:rPr>
          <w:lang w:val="en-US"/>
        </w:rPr>
        <w:t>impractical</w:t>
      </w:r>
      <w:r w:rsidR="006F03FA">
        <w:rPr>
          <w:lang w:val="en-US"/>
        </w:rPr>
        <w:t xml:space="preserve"> to manage as “power class”.  </w:t>
      </w:r>
      <w:r w:rsidR="00B02A4A">
        <w:rPr>
          <w:lang w:val="en-US"/>
        </w:rPr>
        <w:t xml:space="preserve">Another approach is </w:t>
      </w:r>
      <w:r w:rsidR="005B628B">
        <w:rPr>
          <w:lang w:val="en-US"/>
        </w:rPr>
        <w:t>to define a new IE</w:t>
      </w:r>
      <w:r w:rsidR="0042193E">
        <w:rPr>
          <w:lang w:val="en-US"/>
        </w:rPr>
        <w:t xml:space="preserve"> to indicate the UE type</w:t>
      </w:r>
      <w:r w:rsidR="00465AD7">
        <w:rPr>
          <w:lang w:val="en-US"/>
        </w:rPr>
        <w:t xml:space="preserve">.  An enumerated list of UE types would need to be developed.  </w:t>
      </w:r>
      <w:r w:rsidR="00CA64C4">
        <w:rPr>
          <w:lang w:val="en-US"/>
        </w:rPr>
        <w:t xml:space="preserve">While defining UE types has not been adopted previously, as 3GPP specifications expand in scope to include </w:t>
      </w:r>
      <w:r w:rsidR="00B72E35">
        <w:rPr>
          <w:lang w:val="en-US"/>
        </w:rPr>
        <w:t xml:space="preserve">other verticals such as NTN, the need for UE type differentiation increases.  </w:t>
      </w:r>
      <w:r w:rsidR="00DF66F7">
        <w:rPr>
          <w:lang w:val="en-US"/>
        </w:rPr>
        <w:t xml:space="preserve">One last approach is to take an </w:t>
      </w:r>
      <w:r w:rsidR="00DF66F7" w:rsidRPr="00DF66F7">
        <w:rPr>
          <w:i/>
          <w:iCs/>
          <w:lang w:val="en-US"/>
        </w:rPr>
        <w:t>a la carte</w:t>
      </w:r>
      <w:r w:rsidR="00DF66F7">
        <w:rPr>
          <w:lang w:val="en-US"/>
        </w:rPr>
        <w:t xml:space="preserve"> approach to UE </w:t>
      </w:r>
      <w:r w:rsidR="00314CDF">
        <w:rPr>
          <w:lang w:val="en-US"/>
        </w:rPr>
        <w:t>type indication</w:t>
      </w:r>
      <w:r w:rsidR="00DF66F7">
        <w:rPr>
          <w:lang w:val="en-US"/>
        </w:rPr>
        <w:t>.</w:t>
      </w:r>
      <w:r w:rsidR="00FF1C49">
        <w:rPr>
          <w:lang w:val="en-US"/>
        </w:rPr>
        <w:t xml:space="preserve">  This means the different capabilities would be indicated separately and independently from one another.  </w:t>
      </w:r>
      <w:r w:rsidR="00015306">
        <w:rPr>
          <w:lang w:val="en-US"/>
        </w:rPr>
        <w:t xml:space="preserve">Some of this capability signaling is already in place for NTN from Rel-17 may need to be revised to </w:t>
      </w:r>
      <w:r w:rsidR="00BA2908">
        <w:rPr>
          <w:lang w:val="en-US"/>
        </w:rPr>
        <w:t>enable FR2</w:t>
      </w:r>
      <w:r w:rsidR="00D32DCB">
        <w:rPr>
          <w:lang w:val="en-US"/>
        </w:rPr>
        <w:t xml:space="preserve">.  The advantage of </w:t>
      </w:r>
      <w:r w:rsidR="00D32DCB" w:rsidRPr="00D32DCB">
        <w:rPr>
          <w:i/>
          <w:iCs/>
          <w:lang w:val="en-US"/>
        </w:rPr>
        <w:t>a la carte</w:t>
      </w:r>
      <w:r w:rsidR="00D32DCB">
        <w:rPr>
          <w:lang w:val="en-US"/>
        </w:rPr>
        <w:t xml:space="preserve"> signaling is greater flexibility in UE </w:t>
      </w:r>
      <w:proofErr w:type="gramStart"/>
      <w:r w:rsidR="00031260">
        <w:rPr>
          <w:lang w:val="en-US"/>
        </w:rPr>
        <w:t>support, but</w:t>
      </w:r>
      <w:proofErr w:type="gramEnd"/>
      <w:r w:rsidR="00031260">
        <w:rPr>
          <w:lang w:val="en-US"/>
        </w:rPr>
        <w:t xml:space="preserve"> may lead to a more fragmented ecosystem with different UE’s supporting different capabilities on a more granular scale.</w:t>
      </w:r>
      <w:r w:rsidR="003A38ED">
        <w:rPr>
          <w:lang w:val="en-US"/>
        </w:rPr>
        <w:t xml:space="preserve">  Ex</w:t>
      </w:r>
      <w:r w:rsidR="00A2284E">
        <w:rPr>
          <w:lang w:val="en-US"/>
        </w:rPr>
        <w:t xml:space="preserve">amples of </w:t>
      </w:r>
      <w:r w:rsidR="003A38ED">
        <w:rPr>
          <w:lang w:val="en-US"/>
        </w:rPr>
        <w:t xml:space="preserve">capability signaling from Rel-17 </w:t>
      </w:r>
      <w:r w:rsidR="00A2284E">
        <w:rPr>
          <w:lang w:val="en-US"/>
        </w:rPr>
        <w:t>are</w:t>
      </w:r>
      <w:r w:rsidR="003A38ED">
        <w:rPr>
          <w:lang w:val="en-US"/>
        </w:rPr>
        <w:t xml:space="preserve"> shown below.</w:t>
      </w: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13"/>
        <w:gridCol w:w="6804"/>
        <w:gridCol w:w="142"/>
        <w:gridCol w:w="567"/>
        <w:gridCol w:w="142"/>
        <w:gridCol w:w="425"/>
        <w:gridCol w:w="142"/>
        <w:gridCol w:w="567"/>
        <w:gridCol w:w="142"/>
        <w:gridCol w:w="586"/>
        <w:gridCol w:w="122"/>
      </w:tblGrid>
      <w:tr w:rsidR="007C355E" w:rsidRPr="00B11372" w14:paraId="0CAEF293" w14:textId="77777777" w:rsidTr="00A2284E">
        <w:trPr>
          <w:gridBefore w:val="1"/>
          <w:wBefore w:w="113" w:type="dxa"/>
          <w:cantSplit/>
        </w:trPr>
        <w:tc>
          <w:tcPr>
            <w:tcW w:w="6946" w:type="dxa"/>
            <w:gridSpan w:val="2"/>
          </w:tcPr>
          <w:p w14:paraId="74939086" w14:textId="77777777" w:rsidR="007C355E" w:rsidRPr="00B11372" w:rsidRDefault="007C355E" w:rsidP="005E650F">
            <w:pPr>
              <w:pStyle w:val="TAL"/>
              <w:rPr>
                <w:b/>
                <w:i/>
              </w:rPr>
            </w:pPr>
            <w:r w:rsidRPr="00B11372">
              <w:rPr>
                <w:b/>
                <w:i/>
              </w:rPr>
              <w:t>ntn-ScenarioSupport-r17</w:t>
            </w:r>
          </w:p>
          <w:p w14:paraId="5C1C4FC7" w14:textId="77777777" w:rsidR="007C355E" w:rsidRPr="00B11372" w:rsidRDefault="007C355E" w:rsidP="005E650F">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xml:space="preserve">, the UE supports the NTN features for both GSO and NGSO scenarios, </w:t>
            </w:r>
            <w:proofErr w:type="gramStart"/>
            <w:r w:rsidRPr="00B11372">
              <w:t>and also</w:t>
            </w:r>
            <w:proofErr w:type="gramEnd"/>
            <w:r w:rsidRPr="00B11372">
              <w:t xml:space="preserve"> supports mobility between GSO and NGSO scenarios.</w:t>
            </w:r>
          </w:p>
        </w:tc>
        <w:tc>
          <w:tcPr>
            <w:tcW w:w="709" w:type="dxa"/>
            <w:gridSpan w:val="2"/>
          </w:tcPr>
          <w:p w14:paraId="452D7C34" w14:textId="77777777" w:rsidR="007C355E" w:rsidRPr="00B11372" w:rsidRDefault="007C355E" w:rsidP="005E650F">
            <w:pPr>
              <w:pStyle w:val="TAL"/>
              <w:jc w:val="center"/>
              <w:rPr>
                <w:rFonts w:cs="Arial"/>
                <w:bCs/>
                <w:iCs/>
                <w:szCs w:val="18"/>
              </w:rPr>
            </w:pPr>
            <w:r w:rsidRPr="00B11372">
              <w:rPr>
                <w:rFonts w:cs="Arial"/>
                <w:bCs/>
                <w:iCs/>
                <w:szCs w:val="18"/>
              </w:rPr>
              <w:t>UE</w:t>
            </w:r>
          </w:p>
        </w:tc>
        <w:tc>
          <w:tcPr>
            <w:tcW w:w="567" w:type="dxa"/>
            <w:gridSpan w:val="2"/>
          </w:tcPr>
          <w:p w14:paraId="7D02BAD7" w14:textId="77777777" w:rsidR="007C355E" w:rsidRPr="00B11372" w:rsidRDefault="007C355E" w:rsidP="005E650F">
            <w:pPr>
              <w:pStyle w:val="TAL"/>
              <w:jc w:val="center"/>
              <w:rPr>
                <w:rFonts w:cs="Arial"/>
                <w:bCs/>
                <w:iCs/>
                <w:szCs w:val="18"/>
              </w:rPr>
            </w:pPr>
            <w:r w:rsidRPr="00B11372">
              <w:rPr>
                <w:rFonts w:cs="Arial"/>
                <w:bCs/>
                <w:iCs/>
                <w:szCs w:val="18"/>
              </w:rPr>
              <w:t>No</w:t>
            </w:r>
          </w:p>
        </w:tc>
        <w:tc>
          <w:tcPr>
            <w:tcW w:w="709" w:type="dxa"/>
            <w:gridSpan w:val="2"/>
          </w:tcPr>
          <w:p w14:paraId="6CC6D625" w14:textId="77777777" w:rsidR="007C355E" w:rsidRPr="00B11372" w:rsidRDefault="007C355E" w:rsidP="005E650F">
            <w:pPr>
              <w:pStyle w:val="TAL"/>
              <w:jc w:val="center"/>
              <w:rPr>
                <w:rFonts w:cs="Arial"/>
                <w:bCs/>
                <w:iCs/>
                <w:szCs w:val="18"/>
              </w:rPr>
            </w:pPr>
            <w:r w:rsidRPr="00B11372">
              <w:rPr>
                <w:rFonts w:cs="Arial"/>
                <w:bCs/>
                <w:iCs/>
                <w:szCs w:val="18"/>
              </w:rPr>
              <w:t>No</w:t>
            </w:r>
          </w:p>
        </w:tc>
        <w:tc>
          <w:tcPr>
            <w:tcW w:w="708" w:type="dxa"/>
            <w:gridSpan w:val="2"/>
          </w:tcPr>
          <w:p w14:paraId="23123604" w14:textId="77777777" w:rsidR="007C355E" w:rsidRPr="00B11372" w:rsidRDefault="007C355E" w:rsidP="005E650F">
            <w:pPr>
              <w:pStyle w:val="TAL"/>
              <w:jc w:val="center"/>
            </w:pPr>
            <w:r w:rsidRPr="00B11372">
              <w:t>No</w:t>
            </w:r>
          </w:p>
        </w:tc>
      </w:tr>
      <w:tr w:rsidR="0002431A" w:rsidRPr="00B11372" w14:paraId="23EB64C5" w14:textId="77777777" w:rsidTr="00A2284E">
        <w:trPr>
          <w:gridAfter w:val="1"/>
          <w:wAfter w:w="122" w:type="dxa"/>
          <w:cantSplit/>
          <w:tblHeader/>
        </w:trPr>
        <w:tc>
          <w:tcPr>
            <w:tcW w:w="6917" w:type="dxa"/>
            <w:gridSpan w:val="2"/>
          </w:tcPr>
          <w:p w14:paraId="1B4FD119" w14:textId="77777777" w:rsidR="0002431A" w:rsidRPr="00B11372" w:rsidRDefault="0002431A" w:rsidP="005E650F">
            <w:pPr>
              <w:pStyle w:val="TAL"/>
              <w:rPr>
                <w:b/>
                <w:i/>
              </w:rPr>
            </w:pPr>
            <w:r w:rsidRPr="00B11372">
              <w:rPr>
                <w:b/>
                <w:i/>
              </w:rPr>
              <w:t>maxNumber-LEO-SatellitesPerCarrier-r17</w:t>
            </w:r>
          </w:p>
          <w:p w14:paraId="60155F42" w14:textId="77777777" w:rsidR="0002431A" w:rsidRPr="00B11372" w:rsidRDefault="0002431A" w:rsidP="005E650F">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gridSpan w:val="2"/>
          </w:tcPr>
          <w:p w14:paraId="2EF44324" w14:textId="77777777" w:rsidR="0002431A" w:rsidRPr="00B11372" w:rsidRDefault="0002431A" w:rsidP="005E650F">
            <w:pPr>
              <w:pStyle w:val="TAL"/>
              <w:jc w:val="center"/>
              <w:rPr>
                <w:bCs/>
                <w:iCs/>
              </w:rPr>
            </w:pPr>
            <w:r w:rsidRPr="00B11372">
              <w:rPr>
                <w:bCs/>
                <w:iCs/>
              </w:rPr>
              <w:t>Band</w:t>
            </w:r>
          </w:p>
        </w:tc>
        <w:tc>
          <w:tcPr>
            <w:tcW w:w="567" w:type="dxa"/>
            <w:gridSpan w:val="2"/>
          </w:tcPr>
          <w:p w14:paraId="6BC07F96" w14:textId="77777777" w:rsidR="0002431A" w:rsidRPr="00B11372" w:rsidRDefault="0002431A" w:rsidP="005E650F">
            <w:pPr>
              <w:pStyle w:val="TAL"/>
              <w:jc w:val="center"/>
            </w:pPr>
            <w:r w:rsidRPr="00B11372">
              <w:t>No</w:t>
            </w:r>
          </w:p>
        </w:tc>
        <w:tc>
          <w:tcPr>
            <w:tcW w:w="709" w:type="dxa"/>
            <w:gridSpan w:val="2"/>
          </w:tcPr>
          <w:p w14:paraId="52EB9095" w14:textId="77777777" w:rsidR="0002431A" w:rsidRPr="00B11372" w:rsidRDefault="0002431A" w:rsidP="005E650F">
            <w:pPr>
              <w:pStyle w:val="TAL"/>
              <w:jc w:val="center"/>
            </w:pPr>
            <w:r w:rsidRPr="00B11372">
              <w:t>FDD only</w:t>
            </w:r>
          </w:p>
        </w:tc>
        <w:tc>
          <w:tcPr>
            <w:tcW w:w="728" w:type="dxa"/>
            <w:gridSpan w:val="2"/>
          </w:tcPr>
          <w:p w14:paraId="32167DF8" w14:textId="77777777" w:rsidR="0002431A" w:rsidRPr="00B11372" w:rsidRDefault="0002431A" w:rsidP="005E650F">
            <w:pPr>
              <w:pStyle w:val="TAL"/>
              <w:jc w:val="center"/>
            </w:pPr>
            <w:r w:rsidRPr="00B11372">
              <w:t>FR1 only</w:t>
            </w:r>
          </w:p>
        </w:tc>
      </w:tr>
      <w:tr w:rsidR="009B21BE" w:rsidRPr="00B11372" w14:paraId="3A796220" w14:textId="77777777" w:rsidTr="00A2284E">
        <w:trPr>
          <w:gridAfter w:val="1"/>
          <w:wAfter w:w="122" w:type="dxa"/>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5F1A9496" w14:textId="77777777" w:rsidR="009B21BE" w:rsidRPr="00B11372" w:rsidRDefault="009B21BE" w:rsidP="005E650F">
            <w:pPr>
              <w:pStyle w:val="TAL"/>
              <w:rPr>
                <w:b/>
                <w:i/>
              </w:rPr>
            </w:pPr>
            <w:r w:rsidRPr="00B11372">
              <w:rPr>
                <w:b/>
                <w:i/>
              </w:rPr>
              <w:t>maxNumber-NGSO-SatellitesWithinOneSMTC-r17</w:t>
            </w:r>
          </w:p>
          <w:p w14:paraId="19C33674" w14:textId="77777777" w:rsidR="009B21BE" w:rsidRPr="009B21BE" w:rsidRDefault="009B21BE" w:rsidP="005E650F">
            <w:pPr>
              <w:pStyle w:val="TAL"/>
              <w:rPr>
                <w:bCs/>
                <w:iCs/>
              </w:rPr>
            </w:pPr>
            <w:r w:rsidRPr="009B21BE">
              <w:rPr>
                <w:bCs/>
                <w:iCs/>
              </w:rPr>
              <w:t>Indicates the number of different NGSO satellites for target cells that the UE supports of simultaneous measurements within a SMTC with value n1 corresponds to 1, value n2 corresponds to 2 and so on.</w:t>
            </w:r>
          </w:p>
        </w:tc>
        <w:tc>
          <w:tcPr>
            <w:tcW w:w="709" w:type="dxa"/>
            <w:gridSpan w:val="2"/>
            <w:tcBorders>
              <w:top w:val="single" w:sz="4" w:space="0" w:color="808080"/>
              <w:left w:val="single" w:sz="4" w:space="0" w:color="808080"/>
              <w:bottom w:val="single" w:sz="4" w:space="0" w:color="808080"/>
              <w:right w:val="single" w:sz="4" w:space="0" w:color="808080"/>
            </w:tcBorders>
          </w:tcPr>
          <w:p w14:paraId="710CD28F" w14:textId="77777777" w:rsidR="009B21BE" w:rsidRPr="00B11372" w:rsidRDefault="009B21BE" w:rsidP="005E650F">
            <w:pPr>
              <w:pStyle w:val="TAL"/>
              <w:jc w:val="center"/>
              <w:rPr>
                <w:bCs/>
                <w:iCs/>
              </w:rPr>
            </w:pPr>
            <w:r w:rsidRPr="00B11372">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13F6B0A9" w14:textId="77777777" w:rsidR="009B21BE" w:rsidRPr="009B21BE" w:rsidRDefault="009B21BE" w:rsidP="005E650F">
            <w:pPr>
              <w:pStyle w:val="TAL"/>
              <w:jc w:val="center"/>
            </w:pPr>
            <w:r w:rsidRPr="00B11372">
              <w:t>No</w:t>
            </w:r>
          </w:p>
        </w:tc>
        <w:tc>
          <w:tcPr>
            <w:tcW w:w="709" w:type="dxa"/>
            <w:gridSpan w:val="2"/>
            <w:tcBorders>
              <w:top w:val="single" w:sz="4" w:space="0" w:color="808080"/>
              <w:left w:val="single" w:sz="4" w:space="0" w:color="808080"/>
              <w:bottom w:val="single" w:sz="4" w:space="0" w:color="808080"/>
              <w:right w:val="single" w:sz="4" w:space="0" w:color="808080"/>
            </w:tcBorders>
          </w:tcPr>
          <w:p w14:paraId="79E40ED8" w14:textId="77777777" w:rsidR="009B21BE" w:rsidRPr="009B21BE" w:rsidRDefault="009B21BE" w:rsidP="005E650F">
            <w:pPr>
              <w:pStyle w:val="TAL"/>
              <w:jc w:val="center"/>
            </w:pPr>
            <w:r w:rsidRPr="009B21BE">
              <w:t>FDD only</w:t>
            </w:r>
          </w:p>
        </w:tc>
        <w:tc>
          <w:tcPr>
            <w:tcW w:w="728" w:type="dxa"/>
            <w:gridSpan w:val="2"/>
            <w:tcBorders>
              <w:top w:val="single" w:sz="4" w:space="0" w:color="808080"/>
              <w:left w:val="single" w:sz="4" w:space="0" w:color="808080"/>
              <w:bottom w:val="single" w:sz="4" w:space="0" w:color="808080"/>
              <w:right w:val="single" w:sz="4" w:space="0" w:color="808080"/>
            </w:tcBorders>
          </w:tcPr>
          <w:p w14:paraId="3D1A714D" w14:textId="77777777" w:rsidR="009B21BE" w:rsidRPr="009B21BE" w:rsidRDefault="009B21BE" w:rsidP="005E650F">
            <w:pPr>
              <w:pStyle w:val="TAL"/>
              <w:jc w:val="center"/>
            </w:pPr>
            <w:r w:rsidRPr="00B11372">
              <w:t>FR1 only</w:t>
            </w:r>
          </w:p>
        </w:tc>
      </w:tr>
    </w:tbl>
    <w:p w14:paraId="25E7D504" w14:textId="2649AF55" w:rsidR="00DE4049" w:rsidRDefault="00DE4049" w:rsidP="00DE4049">
      <w:pPr>
        <w:rPr>
          <w:lang w:val="en-US"/>
        </w:rPr>
      </w:pPr>
    </w:p>
    <w:p w14:paraId="69307233" w14:textId="77777777" w:rsidR="00206700" w:rsidRPr="006D6351" w:rsidRDefault="007628DF" w:rsidP="00DE4049">
      <w:pPr>
        <w:rPr>
          <w:b/>
          <w:bCs/>
          <w:lang w:val="en-US"/>
        </w:rPr>
      </w:pPr>
      <w:r w:rsidRPr="006D6351">
        <w:rPr>
          <w:b/>
          <w:bCs/>
          <w:lang w:val="en-US"/>
        </w:rPr>
        <w:t xml:space="preserve">Observation:  Signaling options </w:t>
      </w:r>
      <w:r w:rsidR="00F53187" w:rsidRPr="006D6351">
        <w:rPr>
          <w:b/>
          <w:bCs/>
          <w:lang w:val="en-US"/>
        </w:rPr>
        <w:t xml:space="preserve">to indicate UE type </w:t>
      </w:r>
      <w:r w:rsidRPr="006D6351">
        <w:rPr>
          <w:b/>
          <w:bCs/>
          <w:lang w:val="en-US"/>
        </w:rPr>
        <w:t xml:space="preserve">include </w:t>
      </w:r>
    </w:p>
    <w:p w14:paraId="73D808AC" w14:textId="629ECBE8" w:rsidR="007628DF" w:rsidRPr="006D6351" w:rsidRDefault="00206700" w:rsidP="00206700">
      <w:pPr>
        <w:pStyle w:val="ListParagraph"/>
        <w:numPr>
          <w:ilvl w:val="0"/>
          <w:numId w:val="48"/>
        </w:numPr>
        <w:rPr>
          <w:b/>
          <w:bCs/>
          <w:lang w:val="en-US"/>
        </w:rPr>
      </w:pPr>
      <w:r w:rsidRPr="006D6351">
        <w:rPr>
          <w:b/>
          <w:bCs/>
          <w:lang w:val="en-US"/>
        </w:rPr>
        <w:t>U</w:t>
      </w:r>
      <w:r w:rsidR="00F53187" w:rsidRPr="006D6351">
        <w:rPr>
          <w:b/>
          <w:bCs/>
          <w:lang w:val="en-US"/>
        </w:rPr>
        <w:t>sing the power class to represent the UE type</w:t>
      </w:r>
      <w:r w:rsidRPr="006D6351">
        <w:rPr>
          <w:b/>
          <w:bCs/>
          <w:lang w:val="en-US"/>
        </w:rPr>
        <w:t xml:space="preserve"> encompassing more than output power, </w:t>
      </w:r>
    </w:p>
    <w:p w14:paraId="7F6BF2BE" w14:textId="2E05752C" w:rsidR="00206700" w:rsidRPr="006D6351" w:rsidRDefault="00206700" w:rsidP="00206700">
      <w:pPr>
        <w:pStyle w:val="ListParagraph"/>
        <w:numPr>
          <w:ilvl w:val="0"/>
          <w:numId w:val="48"/>
        </w:numPr>
        <w:rPr>
          <w:b/>
          <w:bCs/>
          <w:lang w:val="en-US"/>
        </w:rPr>
      </w:pPr>
      <w:r w:rsidRPr="006D6351">
        <w:rPr>
          <w:b/>
          <w:bCs/>
          <w:lang w:val="en-US"/>
        </w:rPr>
        <w:t>Defining a new signaling IE to represent UE type,</w:t>
      </w:r>
    </w:p>
    <w:p w14:paraId="226CF406" w14:textId="0C029818" w:rsidR="00206700" w:rsidRPr="006D6351" w:rsidRDefault="00054FE7" w:rsidP="00206700">
      <w:pPr>
        <w:pStyle w:val="ListParagraph"/>
        <w:numPr>
          <w:ilvl w:val="0"/>
          <w:numId w:val="48"/>
        </w:numPr>
        <w:rPr>
          <w:b/>
          <w:bCs/>
          <w:lang w:val="en-US"/>
        </w:rPr>
      </w:pPr>
      <w:r w:rsidRPr="006D6351">
        <w:rPr>
          <w:b/>
          <w:bCs/>
          <w:lang w:val="en-US"/>
        </w:rPr>
        <w:t>Using the power class and discrete capabilities (some of which are already available, others to be added as needed) to represent UE type.</w:t>
      </w:r>
    </w:p>
    <w:p w14:paraId="3F8BEA58" w14:textId="3DBDE7E1" w:rsidR="009C37D0" w:rsidRDefault="00FA01C7" w:rsidP="009C37D0">
      <w:pPr>
        <w:pStyle w:val="Heading1"/>
        <w:tabs>
          <w:tab w:val="clear" w:pos="432"/>
          <w:tab w:val="num" w:pos="522"/>
        </w:tabs>
        <w:ind w:left="522" w:hanging="522"/>
        <w:rPr>
          <w:lang w:val="en-US"/>
        </w:rPr>
      </w:pPr>
      <w:r>
        <w:rPr>
          <w:lang w:val="en-US"/>
        </w:rPr>
        <w:lastRenderedPageBreak/>
        <w:t>Conclusion</w:t>
      </w:r>
    </w:p>
    <w:p w14:paraId="68518F97" w14:textId="2574355F" w:rsidR="001903FE" w:rsidRDefault="00CF78E7" w:rsidP="001903FE">
      <w:pPr>
        <w:ind w:right="1"/>
        <w:rPr>
          <w:lang w:val="en-US"/>
        </w:rPr>
      </w:pPr>
      <w:r>
        <w:rPr>
          <w:lang w:val="en-US"/>
        </w:rPr>
        <w:t xml:space="preserve">This contribution discusses UE type indication.  </w:t>
      </w:r>
      <w:r w:rsidR="00EF29EA">
        <w:rPr>
          <w:lang w:val="en-US"/>
        </w:rPr>
        <w:t xml:space="preserve">Some benefits of UE type indication are described in this contribution that cannot be well captured simply by </w:t>
      </w:r>
      <w:r w:rsidR="00976FA8">
        <w:rPr>
          <w:lang w:val="en-US"/>
        </w:rPr>
        <w:t xml:space="preserve">output power and antenna aperture.  These include distinguishing different types of UE’s at least from the perspective of EIRP, antenna aperture, NGSO serving vs. GSO serving, and tracking ability, but there may be others as well.  </w:t>
      </w:r>
      <w:r w:rsidR="00C7369A">
        <w:rPr>
          <w:lang w:val="en-US"/>
        </w:rPr>
        <w:t>Therefore, it is observed that UE type indication and signaling to the network would be beneficial.  Options for how the signaling could be implemented are also provided for further consideration.</w:t>
      </w:r>
    </w:p>
    <w:p w14:paraId="723C52F9" w14:textId="77777777" w:rsidR="00C7369A" w:rsidRPr="00CF78E7" w:rsidRDefault="00C7369A" w:rsidP="00C7369A">
      <w:pPr>
        <w:rPr>
          <w:b/>
          <w:bCs/>
          <w:lang w:val="en-US"/>
        </w:rPr>
      </w:pPr>
      <w:r w:rsidRPr="00CF78E7">
        <w:rPr>
          <w:b/>
          <w:bCs/>
          <w:lang w:val="en-US"/>
        </w:rPr>
        <w:t>Observation:  There is a benefit for indicating UE types to distinguish capability, function, and requirements of the UE.</w:t>
      </w:r>
    </w:p>
    <w:p w14:paraId="22B83E54" w14:textId="77777777" w:rsidR="00C7369A" w:rsidRPr="006D6351" w:rsidRDefault="00C7369A" w:rsidP="00C7369A">
      <w:pPr>
        <w:rPr>
          <w:b/>
          <w:bCs/>
          <w:lang w:val="en-US"/>
        </w:rPr>
      </w:pPr>
      <w:r w:rsidRPr="006D6351">
        <w:rPr>
          <w:b/>
          <w:bCs/>
          <w:lang w:val="en-US"/>
        </w:rPr>
        <w:t xml:space="preserve">Observation:  Signaling options to indicate UE type include </w:t>
      </w:r>
    </w:p>
    <w:p w14:paraId="113BD637" w14:textId="77777777" w:rsidR="00C7369A" w:rsidRPr="006D6351" w:rsidRDefault="00C7369A" w:rsidP="00C7369A">
      <w:pPr>
        <w:pStyle w:val="ListParagraph"/>
        <w:numPr>
          <w:ilvl w:val="0"/>
          <w:numId w:val="49"/>
        </w:numPr>
        <w:rPr>
          <w:b/>
          <w:bCs/>
          <w:lang w:val="en-US"/>
        </w:rPr>
      </w:pPr>
      <w:r w:rsidRPr="006D6351">
        <w:rPr>
          <w:b/>
          <w:bCs/>
          <w:lang w:val="en-US"/>
        </w:rPr>
        <w:t xml:space="preserve">Using the power class to represent the UE type encompassing more than output power, </w:t>
      </w:r>
    </w:p>
    <w:p w14:paraId="3F95AA36" w14:textId="77777777" w:rsidR="00C7369A" w:rsidRPr="006D6351" w:rsidRDefault="00C7369A" w:rsidP="00C7369A">
      <w:pPr>
        <w:pStyle w:val="ListParagraph"/>
        <w:numPr>
          <w:ilvl w:val="0"/>
          <w:numId w:val="49"/>
        </w:numPr>
        <w:rPr>
          <w:b/>
          <w:bCs/>
          <w:lang w:val="en-US"/>
        </w:rPr>
      </w:pPr>
      <w:r w:rsidRPr="006D6351">
        <w:rPr>
          <w:b/>
          <w:bCs/>
          <w:lang w:val="en-US"/>
        </w:rPr>
        <w:t>Defining a new signaling IE to represent UE type,</w:t>
      </w:r>
    </w:p>
    <w:p w14:paraId="6BAFB63A" w14:textId="77777777" w:rsidR="00C7369A" w:rsidRPr="006D6351" w:rsidRDefault="00C7369A" w:rsidP="00C7369A">
      <w:pPr>
        <w:pStyle w:val="ListParagraph"/>
        <w:numPr>
          <w:ilvl w:val="0"/>
          <w:numId w:val="49"/>
        </w:numPr>
        <w:rPr>
          <w:b/>
          <w:bCs/>
          <w:lang w:val="en-US"/>
        </w:rPr>
      </w:pPr>
      <w:r w:rsidRPr="006D6351">
        <w:rPr>
          <w:b/>
          <w:bCs/>
          <w:lang w:val="en-US"/>
        </w:rPr>
        <w:t>Using the power class and discrete capabilities (some of which are already available, others to be added as needed) to represent UE type.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05A0B01" w14:textId="48FE2BA0" w:rsidR="0055712F" w:rsidRDefault="0055712F" w:rsidP="00D23312">
      <w:pPr>
        <w:numPr>
          <w:ilvl w:val="0"/>
          <w:numId w:val="2"/>
        </w:numPr>
        <w:tabs>
          <w:tab w:val="left" w:pos="1080"/>
        </w:tabs>
        <w:rPr>
          <w:lang w:val="en-US" w:eastAsia="x-none"/>
        </w:rPr>
      </w:pPr>
      <w:bookmarkStart w:id="0" w:name="_Hlk859252"/>
      <w:r>
        <w:rPr>
          <w:lang w:val="en-US" w:eastAsia="x-none"/>
        </w:rPr>
        <w:t>R4-2217743, “WF on NTN UE RF requirement in Ka-band,” ZTE</w:t>
      </w:r>
    </w:p>
    <w:p w14:paraId="59DC7BA8" w14:textId="0A2AE562" w:rsidR="0055712F" w:rsidRDefault="00D30638" w:rsidP="00D23312">
      <w:pPr>
        <w:numPr>
          <w:ilvl w:val="0"/>
          <w:numId w:val="2"/>
        </w:numPr>
        <w:tabs>
          <w:tab w:val="left" w:pos="1080"/>
        </w:tabs>
        <w:rPr>
          <w:lang w:val="en-US" w:eastAsia="x-none"/>
        </w:rPr>
      </w:pPr>
      <w:r>
        <w:rPr>
          <w:lang w:val="en-US" w:eastAsia="x-none"/>
        </w:rPr>
        <w:t>R4-2217467, “Way Forward on NR NTN Enhancements Part1,” Moderator (THALES)</w:t>
      </w:r>
    </w:p>
    <w:bookmarkEnd w:id="0"/>
    <w:sectPr w:rsidR="0055712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5B47" w14:textId="77777777" w:rsidR="00A02783" w:rsidRDefault="00A02783">
      <w:r>
        <w:separator/>
      </w:r>
    </w:p>
  </w:endnote>
  <w:endnote w:type="continuationSeparator" w:id="0">
    <w:p w14:paraId="43F2220C" w14:textId="77777777" w:rsidR="00A02783" w:rsidRDefault="00A0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484B" w14:textId="77777777" w:rsidR="00A02783" w:rsidRDefault="00A02783">
      <w:r>
        <w:separator/>
      </w:r>
    </w:p>
  </w:footnote>
  <w:footnote w:type="continuationSeparator" w:id="0">
    <w:p w14:paraId="026701E9" w14:textId="77777777" w:rsidR="00A02783" w:rsidRDefault="00A02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814A6"/>
    <w:multiLevelType w:val="hybridMultilevel"/>
    <w:tmpl w:val="AB7C4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84EF5"/>
    <w:multiLevelType w:val="hybridMultilevel"/>
    <w:tmpl w:val="7D84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6E13D2"/>
    <w:multiLevelType w:val="hybridMultilevel"/>
    <w:tmpl w:val="D61A31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4D6869"/>
    <w:multiLevelType w:val="hybridMultilevel"/>
    <w:tmpl w:val="D61A3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1"/>
  </w:num>
  <w:num w:numId="2" w16cid:durableId="513963709">
    <w:abstractNumId w:val="35"/>
  </w:num>
  <w:num w:numId="3" w16cid:durableId="30959319">
    <w:abstractNumId w:val="40"/>
  </w:num>
  <w:num w:numId="4" w16cid:durableId="1579515455">
    <w:abstractNumId w:val="44"/>
  </w:num>
  <w:num w:numId="5" w16cid:durableId="1213884486">
    <w:abstractNumId w:val="33"/>
  </w:num>
  <w:num w:numId="6" w16cid:durableId="895549640">
    <w:abstractNumId w:val="14"/>
  </w:num>
  <w:num w:numId="7" w16cid:durableId="1494643654">
    <w:abstractNumId w:val="5"/>
  </w:num>
  <w:num w:numId="8" w16cid:durableId="1777947175">
    <w:abstractNumId w:val="39"/>
  </w:num>
  <w:num w:numId="9" w16cid:durableId="461308997">
    <w:abstractNumId w:val="15"/>
  </w:num>
  <w:num w:numId="10" w16cid:durableId="1624651259">
    <w:abstractNumId w:val="29"/>
  </w:num>
  <w:num w:numId="11" w16cid:durableId="1362783709">
    <w:abstractNumId w:val="46"/>
  </w:num>
  <w:num w:numId="12" w16cid:durableId="1425344883">
    <w:abstractNumId w:val="12"/>
  </w:num>
  <w:num w:numId="13" w16cid:durableId="2073697746">
    <w:abstractNumId w:val="26"/>
  </w:num>
  <w:num w:numId="14" w16cid:durableId="866678966">
    <w:abstractNumId w:val="8"/>
  </w:num>
  <w:num w:numId="15" w16cid:durableId="1666591006">
    <w:abstractNumId w:val="25"/>
  </w:num>
  <w:num w:numId="16" w16cid:durableId="1524439568">
    <w:abstractNumId w:val="4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4"/>
  </w:num>
  <w:num w:numId="19" w16cid:durableId="2009550563">
    <w:abstractNumId w:val="23"/>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1"/>
  </w:num>
  <w:num w:numId="22" w16cid:durableId="1555431959">
    <w:abstractNumId w:val="19"/>
  </w:num>
  <w:num w:numId="23" w16cid:durableId="2045934884">
    <w:abstractNumId w:val="31"/>
  </w:num>
  <w:num w:numId="24" w16cid:durableId="1658996919">
    <w:abstractNumId w:val="41"/>
  </w:num>
  <w:num w:numId="25" w16cid:durableId="1145976948">
    <w:abstractNumId w:val="42"/>
  </w:num>
  <w:num w:numId="26" w16cid:durableId="1948657783">
    <w:abstractNumId w:val="7"/>
  </w:num>
  <w:num w:numId="27" w16cid:durableId="1612282645">
    <w:abstractNumId w:val="28"/>
  </w:num>
  <w:num w:numId="28" w16cid:durableId="126902088">
    <w:abstractNumId w:val="30"/>
  </w:num>
  <w:num w:numId="29" w16cid:durableId="906383168">
    <w:abstractNumId w:val="37"/>
  </w:num>
  <w:num w:numId="30" w16cid:durableId="1341155545">
    <w:abstractNumId w:val="9"/>
  </w:num>
  <w:num w:numId="31" w16cid:durableId="674380148">
    <w:abstractNumId w:val="17"/>
  </w:num>
  <w:num w:numId="32" w16cid:durableId="20907340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2"/>
  </w:num>
  <w:num w:numId="34" w16cid:durableId="1357464829">
    <w:abstractNumId w:val="34"/>
  </w:num>
  <w:num w:numId="35" w16cid:durableId="2019849514">
    <w:abstractNumId w:val="22"/>
  </w:num>
  <w:num w:numId="36" w16cid:durableId="1071586423">
    <w:abstractNumId w:val="4"/>
  </w:num>
  <w:num w:numId="37" w16cid:durableId="1338195957">
    <w:abstractNumId w:val="38"/>
  </w:num>
  <w:num w:numId="38" w16cid:durableId="1058632768">
    <w:abstractNumId w:val="10"/>
  </w:num>
  <w:num w:numId="39" w16cid:durableId="1014115387">
    <w:abstractNumId w:val="27"/>
  </w:num>
  <w:num w:numId="40" w16cid:durableId="1853765394">
    <w:abstractNumId w:val="32"/>
  </w:num>
  <w:num w:numId="41" w16cid:durableId="252057258">
    <w:abstractNumId w:val="16"/>
  </w:num>
  <w:num w:numId="42" w16cid:durableId="641429476">
    <w:abstractNumId w:val="36"/>
  </w:num>
  <w:num w:numId="43" w16cid:durableId="1304696361">
    <w:abstractNumId w:val="3"/>
  </w:num>
  <w:num w:numId="44" w16cid:durableId="1178233322">
    <w:abstractNumId w:val="20"/>
  </w:num>
  <w:num w:numId="45" w16cid:durableId="1902904055">
    <w:abstractNumId w:val="18"/>
  </w:num>
  <w:num w:numId="46" w16cid:durableId="6644598">
    <w:abstractNumId w:val="1"/>
  </w:num>
  <w:num w:numId="47" w16cid:durableId="1477531785">
    <w:abstractNumId w:val="6"/>
  </w:num>
  <w:num w:numId="48" w16cid:durableId="1348865861">
    <w:abstractNumId w:val="43"/>
  </w:num>
  <w:num w:numId="49" w16cid:durableId="47056348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306"/>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31A"/>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260"/>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67F"/>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4FE7"/>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AB9"/>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00E"/>
    <w:rsid w:val="001D4299"/>
    <w:rsid w:val="001D43C3"/>
    <w:rsid w:val="001D448D"/>
    <w:rsid w:val="001D44F6"/>
    <w:rsid w:val="001D45C9"/>
    <w:rsid w:val="001D472D"/>
    <w:rsid w:val="001D4ABF"/>
    <w:rsid w:val="001D5142"/>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00"/>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87C"/>
    <w:rsid w:val="00256A53"/>
    <w:rsid w:val="00256C60"/>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5E4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CDF"/>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EF9"/>
    <w:rsid w:val="00327FCD"/>
    <w:rsid w:val="00330107"/>
    <w:rsid w:val="00330243"/>
    <w:rsid w:val="0033029B"/>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5071D"/>
    <w:rsid w:val="0035082B"/>
    <w:rsid w:val="003508AD"/>
    <w:rsid w:val="003508F4"/>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8ED"/>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93E"/>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5F6F"/>
    <w:rsid w:val="0042669B"/>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6A"/>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AD7"/>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07"/>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12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873"/>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28B"/>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DBF"/>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DCA"/>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76E"/>
    <w:rsid w:val="006B2C2E"/>
    <w:rsid w:val="006B2DBF"/>
    <w:rsid w:val="006B2E7F"/>
    <w:rsid w:val="006B3725"/>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8EE"/>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432"/>
    <w:rsid w:val="006D4A70"/>
    <w:rsid w:val="006D538E"/>
    <w:rsid w:val="006D54CC"/>
    <w:rsid w:val="006D6351"/>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3FA"/>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0C8"/>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72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4B4A"/>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B9"/>
    <w:rsid w:val="007444C0"/>
    <w:rsid w:val="0074457E"/>
    <w:rsid w:val="0074465C"/>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28DF"/>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A63"/>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5E"/>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D68"/>
    <w:rsid w:val="00964DB3"/>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6FA8"/>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21BE"/>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2A4"/>
    <w:rsid w:val="009D05A5"/>
    <w:rsid w:val="009D09E5"/>
    <w:rsid w:val="009D0C06"/>
    <w:rsid w:val="009D1332"/>
    <w:rsid w:val="009D1367"/>
    <w:rsid w:val="009D1412"/>
    <w:rsid w:val="009D1D25"/>
    <w:rsid w:val="009D2170"/>
    <w:rsid w:val="009D2195"/>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67D"/>
    <w:rsid w:val="009E083B"/>
    <w:rsid w:val="009E09BD"/>
    <w:rsid w:val="009E0D21"/>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AFD"/>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8F0"/>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7FA"/>
    <w:rsid w:val="00A1038F"/>
    <w:rsid w:val="00A10771"/>
    <w:rsid w:val="00A10D63"/>
    <w:rsid w:val="00A113E0"/>
    <w:rsid w:val="00A11FC5"/>
    <w:rsid w:val="00A12C5E"/>
    <w:rsid w:val="00A1303B"/>
    <w:rsid w:val="00A13257"/>
    <w:rsid w:val="00A13382"/>
    <w:rsid w:val="00A13408"/>
    <w:rsid w:val="00A13D4D"/>
    <w:rsid w:val="00A14118"/>
    <w:rsid w:val="00A14E31"/>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84E"/>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31"/>
    <w:rsid w:val="00AC25CD"/>
    <w:rsid w:val="00AC2B90"/>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0F"/>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A4A"/>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91A"/>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D04"/>
    <w:rsid w:val="00B70EAA"/>
    <w:rsid w:val="00B71872"/>
    <w:rsid w:val="00B7198C"/>
    <w:rsid w:val="00B72030"/>
    <w:rsid w:val="00B72124"/>
    <w:rsid w:val="00B72140"/>
    <w:rsid w:val="00B728DF"/>
    <w:rsid w:val="00B72E35"/>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8BA"/>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908"/>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471"/>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780"/>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9A"/>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4C4"/>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33C"/>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8E7"/>
    <w:rsid w:val="00CF7D73"/>
    <w:rsid w:val="00D0004D"/>
    <w:rsid w:val="00D004D9"/>
    <w:rsid w:val="00D004DA"/>
    <w:rsid w:val="00D00A81"/>
    <w:rsid w:val="00D00A97"/>
    <w:rsid w:val="00D00E20"/>
    <w:rsid w:val="00D019F4"/>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A5C"/>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638"/>
    <w:rsid w:val="00D30A46"/>
    <w:rsid w:val="00D31165"/>
    <w:rsid w:val="00D31226"/>
    <w:rsid w:val="00D31FEA"/>
    <w:rsid w:val="00D3229A"/>
    <w:rsid w:val="00D3265C"/>
    <w:rsid w:val="00D32B40"/>
    <w:rsid w:val="00D32DCB"/>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049"/>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D63"/>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6F7"/>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11"/>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9EA"/>
    <w:rsid w:val="00EF2E5C"/>
    <w:rsid w:val="00EF33ED"/>
    <w:rsid w:val="00EF366C"/>
    <w:rsid w:val="00EF3A19"/>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4A"/>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C01"/>
    <w:rsid w:val="00F4288E"/>
    <w:rsid w:val="00F42BC0"/>
    <w:rsid w:val="00F434D7"/>
    <w:rsid w:val="00F437E7"/>
    <w:rsid w:val="00F43ADD"/>
    <w:rsid w:val="00F4449B"/>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87"/>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C49"/>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2022-11-07T21:48:00Z</dcterms:created>
  <dcterms:modified xsi:type="dcterms:W3CDTF">2022-11-07T21:48:00Z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