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0CC" w:rsidRPr="004A029C" w:rsidRDefault="005730CC" w:rsidP="005730C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105</w:t>
      </w:r>
      <w:r w:rsidRPr="004A029C">
        <w:rPr>
          <w:rFonts w:cs="Arial"/>
          <w:sz w:val="24"/>
          <w:szCs w:val="24"/>
        </w:rPr>
        <w:tab/>
      </w:r>
      <w:r w:rsidR="00DD2DC4" w:rsidRPr="00DD2DC4">
        <w:rPr>
          <w:rFonts w:cs="Arial"/>
          <w:sz w:val="24"/>
          <w:szCs w:val="24"/>
        </w:rPr>
        <w:t>R4-2219242</w:t>
      </w:r>
      <w:bookmarkStart w:id="0" w:name="_GoBack"/>
      <w:bookmarkEnd w:id="0"/>
    </w:p>
    <w:p w:rsidR="005730CC" w:rsidRPr="004A029C" w:rsidRDefault="005730CC" w:rsidP="005730CC">
      <w:pPr>
        <w:pStyle w:val="Header"/>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Toulouse,</w:t>
      </w:r>
      <w:r>
        <w:rPr>
          <w:rFonts w:eastAsia="宋体" w:cs="Arial"/>
          <w:sz w:val="24"/>
          <w:szCs w:val="24"/>
          <w:lang w:eastAsia="zh-CN"/>
        </w:rPr>
        <w:t xml:space="preserve"> France,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4</w:t>
      </w:r>
      <w:r w:rsidRPr="00090215">
        <w:rPr>
          <w:rFonts w:eastAsia="宋体" w:cs="Arial"/>
          <w:sz w:val="24"/>
          <w:szCs w:val="24"/>
          <w:lang w:eastAsia="zh-CN"/>
        </w:rPr>
        <w:t xml:space="preserve"> – </w:t>
      </w:r>
      <w:r>
        <w:rPr>
          <w:rFonts w:eastAsia="宋体" w:cs="Arial" w:hint="eastAsia"/>
          <w:sz w:val="24"/>
          <w:szCs w:val="24"/>
          <w:lang w:eastAsia="zh-CN"/>
        </w:rPr>
        <w:t>November</w:t>
      </w:r>
      <w:r w:rsidRPr="00090215">
        <w:rPr>
          <w:rFonts w:eastAsia="宋体" w:cs="Arial"/>
          <w:sz w:val="24"/>
          <w:szCs w:val="24"/>
          <w:lang w:eastAsia="zh-CN"/>
        </w:rPr>
        <w:t xml:space="preserve"> 1</w:t>
      </w:r>
      <w:r>
        <w:rPr>
          <w:rFonts w:eastAsia="宋体" w:cs="Arial"/>
          <w:sz w:val="24"/>
          <w:szCs w:val="24"/>
          <w:lang w:eastAsia="zh-CN"/>
        </w:rPr>
        <w:t>8</w:t>
      </w:r>
      <w:r w:rsidRPr="00090215">
        <w:rPr>
          <w:rFonts w:eastAsia="宋体" w:cs="Arial"/>
          <w:sz w:val="24"/>
          <w:szCs w:val="24"/>
          <w:lang w:eastAsia="zh-CN"/>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730CC">
        <w:rPr>
          <w:rFonts w:ascii="Arial" w:hAnsi="Arial"/>
          <w:sz w:val="24"/>
          <w:lang w:val="en-US"/>
        </w:rPr>
        <w:t>8</w:t>
      </w:r>
      <w:r w:rsidR="00AB319F" w:rsidRPr="00AB319F">
        <w:rPr>
          <w:rFonts w:ascii="Arial" w:hAnsi="Arial"/>
          <w:sz w:val="24"/>
          <w:lang w:val="en-US"/>
        </w:rPr>
        <w:t>.8.3.</w:t>
      </w:r>
      <w:r w:rsidR="001B14DD">
        <w:rPr>
          <w:rFonts w:ascii="Arial" w:hAnsi="Arial"/>
          <w:sz w:val="24"/>
          <w:lang w:val="en-US"/>
        </w:rPr>
        <w:t>5</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B15E1" w:rsidRPr="000B15E1">
        <w:rPr>
          <w:rFonts w:ascii="Arial" w:hAnsi="Arial"/>
          <w:sz w:val="24"/>
          <w:lang w:val="en-US"/>
        </w:rPr>
        <w:t>Discussion RRM requirements of TCI state switching for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C6099D" w:rsidRPr="00622EBC" w:rsidRDefault="00AB319F" w:rsidP="00622EBC">
      <w:pPr>
        <w:rPr>
          <w:rFonts w:eastAsiaTheme="minorEastAsia"/>
          <w:lang w:val="en-US" w:eastAsia="zh-CN"/>
        </w:rPr>
      </w:pPr>
      <w:r>
        <w:rPr>
          <w:rFonts w:eastAsiaTheme="minorEastAsia"/>
          <w:lang w:val="en-US" w:eastAsia="zh-CN"/>
        </w:rPr>
        <w:t>In last RAN4 meeting, the RRM impacts of NR FR2 multi-Rx chain DL reception were initially discussed, in terms of L1/L3 measurement enhancement, dual TCI switching</w:t>
      </w:r>
      <w:r w:rsidR="00F610B6">
        <w:rPr>
          <w:rFonts w:eastAsiaTheme="minorEastAsia"/>
          <w:lang w:val="en-US" w:eastAsia="zh-CN"/>
        </w:rPr>
        <w:t xml:space="preserve"> with agreement captured in [1]</w:t>
      </w:r>
      <w:r w:rsidR="00CC150E">
        <w:rPr>
          <w:rFonts w:eastAsiaTheme="minorEastAsia"/>
          <w:lang w:val="en-US" w:eastAsia="zh-CN"/>
        </w:rPr>
        <w:t>[2]</w:t>
      </w:r>
      <w:r>
        <w:rPr>
          <w:rFonts w:eastAsiaTheme="minorEastAsia"/>
          <w:lang w:val="en-US" w:eastAsia="zh-CN"/>
        </w:rPr>
        <w:t xml:space="preserve">. In this paper, we further provide our views on the scope and RRM impacts </w:t>
      </w:r>
      <w:r w:rsidR="00F610B6">
        <w:rPr>
          <w:rFonts w:eastAsiaTheme="minorEastAsia"/>
          <w:lang w:val="en-US" w:eastAsia="zh-CN"/>
        </w:rPr>
        <w:t>of dual TCI switching.</w:t>
      </w:r>
    </w:p>
    <w:p w:rsidR="00A26C29" w:rsidRDefault="00DF0231" w:rsidP="00A26C29">
      <w:pPr>
        <w:pStyle w:val="Heading1"/>
        <w:numPr>
          <w:ilvl w:val="0"/>
          <w:numId w:val="1"/>
        </w:numPr>
        <w:rPr>
          <w:lang w:val="en-US"/>
        </w:rPr>
      </w:pPr>
      <w:r w:rsidRPr="002D2977">
        <w:rPr>
          <w:lang w:val="en-US"/>
        </w:rPr>
        <w:t>Discussion</w:t>
      </w:r>
    </w:p>
    <w:p w:rsidR="00793CB2" w:rsidRDefault="00793CB2" w:rsidP="00793CB2">
      <w:pPr>
        <w:rPr>
          <w:lang w:val="en-US"/>
        </w:rPr>
      </w:pPr>
      <w:r>
        <w:rPr>
          <w:lang w:val="en-US"/>
        </w:rPr>
        <w:t>During the discussion in last meeting, high level assumptions for applicable scenarios were discussed in terms of intra-cell/inter-cell, single DCI/multiple DCI, Rel-15/16 TCI framework or Unified TCI in Rel-17. The corresponding agreements are summarized as follows:</w:t>
      </w:r>
    </w:p>
    <w:tbl>
      <w:tblPr>
        <w:tblStyle w:val="TableGrid"/>
        <w:tblW w:w="0" w:type="auto"/>
        <w:tblLook w:val="04A0" w:firstRow="1" w:lastRow="0" w:firstColumn="1" w:lastColumn="0" w:noHBand="0" w:noVBand="1"/>
      </w:tblPr>
      <w:tblGrid>
        <w:gridCol w:w="9562"/>
      </w:tblGrid>
      <w:tr w:rsidR="00793CB2" w:rsidTr="00793CB2">
        <w:tc>
          <w:tcPr>
            <w:tcW w:w="9562" w:type="dxa"/>
          </w:tcPr>
          <w:p w:rsidR="00793CB2" w:rsidRPr="00793CB2" w:rsidRDefault="00793CB2" w:rsidP="00793CB2">
            <w:pPr>
              <w:rPr>
                <w:rFonts w:eastAsia="Times New Roman"/>
                <w:lang w:val="en-US" w:eastAsia="zh-CN"/>
              </w:rPr>
            </w:pPr>
            <w:r w:rsidRPr="00793CB2">
              <w:rPr>
                <w:rFonts w:eastAsia="宋体"/>
                <w:sz w:val="24"/>
                <w:szCs w:val="16"/>
              </w:rPr>
              <w:t>Issue 1-1-1: Requirements to be defined</w:t>
            </w:r>
          </w:p>
          <w:p w:rsidR="00793CB2" w:rsidRPr="00793CB2" w:rsidRDefault="00793CB2" w:rsidP="00793CB2">
            <w:pPr>
              <w:rPr>
                <w:rFonts w:eastAsia="Times New Roman"/>
                <w:i/>
                <w:lang w:val="en-US" w:eastAsia="zh-CN"/>
              </w:rPr>
            </w:pPr>
            <w:r w:rsidRPr="00793CB2">
              <w:rPr>
                <w:rFonts w:eastAsia="Times New Roman"/>
                <w:i/>
                <w:lang w:val="en-US" w:eastAsia="zh-CN"/>
              </w:rPr>
              <w:t xml:space="preserve">Agreements: </w:t>
            </w:r>
          </w:p>
          <w:p w:rsidR="00793CB2" w:rsidRPr="00793CB2" w:rsidRDefault="00793CB2" w:rsidP="00793CB2">
            <w:pPr>
              <w:numPr>
                <w:ilvl w:val="0"/>
                <w:numId w:val="12"/>
              </w:numPr>
              <w:overflowPunct w:val="0"/>
              <w:autoSpaceDE w:val="0"/>
              <w:autoSpaceDN w:val="0"/>
              <w:adjustRightInd w:val="0"/>
              <w:spacing w:line="256" w:lineRule="auto"/>
              <w:textAlignment w:val="baseline"/>
              <w:rPr>
                <w:rFonts w:eastAsia="Times New Roman"/>
                <w:i/>
                <w:kern w:val="2"/>
                <w:sz w:val="21"/>
                <w:szCs w:val="22"/>
                <w:lang w:eastAsia="zh-CN"/>
              </w:rPr>
            </w:pPr>
            <w:bookmarkStart w:id="1" w:name="_Hlk116589252"/>
            <w:r w:rsidRPr="00793CB2">
              <w:rPr>
                <w:rFonts w:eastAsia="Times New Roman"/>
                <w:i/>
                <w:kern w:val="2"/>
                <w:sz w:val="21"/>
                <w:szCs w:val="22"/>
                <w:lang w:eastAsia="zh-CN"/>
              </w:rPr>
              <w:t>Define DL TCI state switch requirements. UL TCI state switching, and UL spatial relation info switch are not in the scope of the WI</w:t>
            </w:r>
            <w:bookmarkEnd w:id="1"/>
            <w:r w:rsidRPr="00793CB2">
              <w:rPr>
                <w:rFonts w:eastAsia="Times New Roman"/>
                <w:i/>
                <w:kern w:val="2"/>
                <w:sz w:val="21"/>
                <w:szCs w:val="22"/>
                <w:lang w:eastAsia="zh-CN"/>
              </w:rPr>
              <w:t>.</w:t>
            </w:r>
          </w:p>
          <w:p w:rsidR="00793CB2" w:rsidRPr="00793CB2" w:rsidRDefault="00793CB2" w:rsidP="00793CB2">
            <w:pPr>
              <w:rPr>
                <w:rFonts w:eastAsia="宋体"/>
                <w:sz w:val="24"/>
                <w:szCs w:val="16"/>
              </w:rPr>
            </w:pPr>
            <w:r w:rsidRPr="00793CB2">
              <w:rPr>
                <w:rFonts w:eastAsia="宋体"/>
                <w:sz w:val="24"/>
                <w:szCs w:val="16"/>
              </w:rPr>
              <w:t>Issue 1-1-2:  Scenarios to be considered w.r.t Intra-cell/Inter-cell multi-TRP</w:t>
            </w:r>
          </w:p>
          <w:p w:rsidR="00793CB2" w:rsidRPr="00793CB2" w:rsidRDefault="00793CB2" w:rsidP="00793CB2">
            <w:pPr>
              <w:rPr>
                <w:rFonts w:eastAsia="Times New Roman"/>
                <w:i/>
                <w:lang w:val="en-US" w:eastAsia="zh-CN"/>
              </w:rPr>
            </w:pPr>
            <w:r w:rsidRPr="00793CB2">
              <w:rPr>
                <w:rFonts w:eastAsia="Times New Roman"/>
                <w:i/>
                <w:lang w:val="en-US" w:eastAsia="zh-CN"/>
              </w:rPr>
              <w:t xml:space="preserve">Agreements: </w:t>
            </w:r>
          </w:p>
          <w:p w:rsidR="00793CB2" w:rsidRPr="00793CB2" w:rsidRDefault="00793CB2" w:rsidP="00793CB2">
            <w:pPr>
              <w:numPr>
                <w:ilvl w:val="0"/>
                <w:numId w:val="12"/>
              </w:numPr>
              <w:overflowPunct w:val="0"/>
              <w:autoSpaceDE w:val="0"/>
              <w:autoSpaceDN w:val="0"/>
              <w:adjustRightInd w:val="0"/>
              <w:spacing w:line="256" w:lineRule="auto"/>
              <w:textAlignment w:val="baseline"/>
              <w:rPr>
                <w:rFonts w:eastAsia="Times New Roman"/>
                <w:i/>
                <w:kern w:val="2"/>
                <w:sz w:val="21"/>
                <w:szCs w:val="22"/>
                <w:lang w:eastAsia="zh-CN"/>
              </w:rPr>
            </w:pPr>
            <w:r w:rsidRPr="00793CB2">
              <w:rPr>
                <w:rFonts w:eastAsia="Times New Roman"/>
                <w:i/>
                <w:kern w:val="2"/>
                <w:sz w:val="21"/>
                <w:szCs w:val="22"/>
                <w:lang w:eastAsia="zh-CN"/>
              </w:rPr>
              <w:t>Follow conclusion from thread 211.</w:t>
            </w:r>
          </w:p>
          <w:p w:rsidR="00793CB2" w:rsidRPr="00793CB2" w:rsidRDefault="00793CB2" w:rsidP="00793CB2">
            <w:pPr>
              <w:rPr>
                <w:rFonts w:eastAsia="宋体"/>
                <w:sz w:val="24"/>
                <w:szCs w:val="16"/>
              </w:rPr>
            </w:pPr>
            <w:r w:rsidRPr="00793CB2">
              <w:rPr>
                <w:rFonts w:eastAsia="宋体"/>
                <w:sz w:val="24"/>
                <w:szCs w:val="16"/>
              </w:rPr>
              <w:t xml:space="preserve">Issue 1-1-3:  Scenarios to be considered w.r.t single DCI/multi-DCI.     </w:t>
            </w:r>
          </w:p>
          <w:p w:rsidR="00793CB2" w:rsidRPr="00793CB2" w:rsidRDefault="00793CB2" w:rsidP="00793CB2">
            <w:pPr>
              <w:rPr>
                <w:rFonts w:eastAsia="Times New Roman"/>
                <w:i/>
                <w:lang w:val="en-US" w:eastAsia="zh-CN"/>
              </w:rPr>
            </w:pPr>
            <w:r w:rsidRPr="00793CB2">
              <w:rPr>
                <w:rFonts w:eastAsia="Times New Roman"/>
                <w:i/>
                <w:lang w:val="en-US" w:eastAsia="zh-CN"/>
              </w:rPr>
              <w:t xml:space="preserve">Agreements: </w:t>
            </w:r>
          </w:p>
          <w:p w:rsidR="00793CB2" w:rsidRPr="00793CB2" w:rsidRDefault="00793CB2" w:rsidP="00793CB2">
            <w:pPr>
              <w:numPr>
                <w:ilvl w:val="0"/>
                <w:numId w:val="12"/>
              </w:numPr>
              <w:overflowPunct w:val="0"/>
              <w:autoSpaceDE w:val="0"/>
              <w:autoSpaceDN w:val="0"/>
              <w:adjustRightInd w:val="0"/>
              <w:spacing w:line="256" w:lineRule="auto"/>
              <w:textAlignment w:val="baseline"/>
              <w:rPr>
                <w:rFonts w:eastAsia="Times New Roman"/>
                <w:i/>
                <w:kern w:val="2"/>
                <w:sz w:val="21"/>
                <w:szCs w:val="22"/>
                <w:lang w:val="en-US" w:eastAsia="zh-CN"/>
              </w:rPr>
            </w:pPr>
            <w:r w:rsidRPr="00793CB2">
              <w:rPr>
                <w:rFonts w:eastAsia="Times New Roman"/>
                <w:i/>
                <w:kern w:val="2"/>
                <w:sz w:val="21"/>
                <w:szCs w:val="22"/>
                <w:lang w:eastAsia="zh-CN"/>
              </w:rPr>
              <w:t xml:space="preserve">Follow conclusion from thread 211. </w:t>
            </w:r>
          </w:p>
          <w:p w:rsidR="00793CB2" w:rsidRPr="00793CB2" w:rsidRDefault="00793CB2" w:rsidP="00793CB2">
            <w:pPr>
              <w:rPr>
                <w:rFonts w:eastAsia="宋体"/>
              </w:rPr>
            </w:pPr>
          </w:p>
          <w:p w:rsidR="00793CB2" w:rsidRPr="00793CB2" w:rsidRDefault="00793CB2" w:rsidP="00793CB2">
            <w:pPr>
              <w:keepNext/>
              <w:keepLines/>
              <w:numPr>
                <w:ilvl w:val="1"/>
                <w:numId w:val="0"/>
              </w:numPr>
              <w:tabs>
                <w:tab w:val="num" w:pos="576"/>
              </w:tabs>
              <w:spacing w:before="180"/>
              <w:ind w:left="576" w:hanging="576"/>
              <w:outlineLvl w:val="1"/>
              <w:rPr>
                <w:rFonts w:ascii="Arial" w:eastAsia="宋体" w:hAnsi="Arial"/>
                <w:sz w:val="24"/>
                <w:szCs w:val="28"/>
              </w:rPr>
            </w:pPr>
            <w:r w:rsidRPr="00793CB2">
              <w:rPr>
                <w:rFonts w:ascii="Arial" w:eastAsia="宋体" w:hAnsi="Arial"/>
                <w:sz w:val="24"/>
                <w:szCs w:val="28"/>
              </w:rPr>
              <w:t xml:space="preserve">Sub-topic 1-2: </w:t>
            </w:r>
            <w:r w:rsidRPr="00793CB2">
              <w:rPr>
                <w:rFonts w:ascii="Arial" w:eastAsia="宋体" w:hAnsi="Arial"/>
                <w:sz w:val="24"/>
                <w:szCs w:val="16"/>
              </w:rPr>
              <w:t>TCI state switching requirements</w:t>
            </w:r>
            <w:r w:rsidRPr="00793CB2">
              <w:rPr>
                <w:rFonts w:ascii="Arial" w:eastAsia="宋体" w:hAnsi="Arial"/>
                <w:sz w:val="24"/>
                <w:szCs w:val="28"/>
              </w:rPr>
              <w:t xml:space="preserve"> </w:t>
            </w:r>
          </w:p>
          <w:p w:rsidR="00793CB2" w:rsidRPr="00793CB2" w:rsidRDefault="00793CB2" w:rsidP="00793CB2">
            <w:pPr>
              <w:rPr>
                <w:rFonts w:eastAsia="Times New Roman"/>
                <w:sz w:val="24"/>
                <w:szCs w:val="24"/>
                <w:lang w:val="en-US" w:eastAsia="zh-CN"/>
              </w:rPr>
            </w:pPr>
            <w:r w:rsidRPr="00793CB2">
              <w:rPr>
                <w:rFonts w:eastAsia="Times New Roman"/>
                <w:sz w:val="24"/>
                <w:szCs w:val="24"/>
                <w:lang w:val="en-US" w:eastAsia="zh-CN"/>
              </w:rPr>
              <w:t>Issue 1-2-1: Assumptions for dual TCI state switching</w:t>
            </w:r>
          </w:p>
          <w:p w:rsidR="00793CB2" w:rsidRPr="00793CB2" w:rsidRDefault="00793CB2" w:rsidP="00793CB2">
            <w:pPr>
              <w:rPr>
                <w:rFonts w:eastAsia="Times New Roman"/>
                <w:lang w:val="en-US" w:eastAsia="zh-CN"/>
              </w:rPr>
            </w:pPr>
            <w:r w:rsidRPr="00793CB2">
              <w:rPr>
                <w:rFonts w:eastAsia="宋体"/>
                <w:sz w:val="24"/>
                <w:szCs w:val="16"/>
              </w:rPr>
              <w:t>Issue 1-2-1-1: Dual TCI state switching requirements shall be based on</w:t>
            </w:r>
          </w:p>
          <w:p w:rsidR="00793CB2" w:rsidRPr="00793CB2" w:rsidRDefault="00793CB2" w:rsidP="00793CB2">
            <w:pPr>
              <w:rPr>
                <w:rFonts w:eastAsia="Times New Roman"/>
                <w:i/>
                <w:lang w:val="en-US" w:eastAsia="zh-CN"/>
              </w:rPr>
            </w:pPr>
            <w:r w:rsidRPr="00793CB2">
              <w:rPr>
                <w:rFonts w:eastAsia="Times New Roman"/>
                <w:i/>
                <w:lang w:val="en-US" w:eastAsia="zh-CN"/>
              </w:rPr>
              <w:t xml:space="preserve">Agreements: </w:t>
            </w:r>
          </w:p>
          <w:p w:rsidR="00793CB2" w:rsidRPr="00793CB2" w:rsidRDefault="00793CB2" w:rsidP="00793CB2">
            <w:pPr>
              <w:numPr>
                <w:ilvl w:val="0"/>
                <w:numId w:val="12"/>
              </w:numPr>
              <w:overflowPunct w:val="0"/>
              <w:autoSpaceDE w:val="0"/>
              <w:autoSpaceDN w:val="0"/>
              <w:adjustRightInd w:val="0"/>
              <w:spacing w:line="256" w:lineRule="auto"/>
              <w:textAlignment w:val="baseline"/>
              <w:rPr>
                <w:rFonts w:eastAsia="Times New Roman"/>
                <w:i/>
                <w:kern w:val="2"/>
                <w:sz w:val="21"/>
                <w:szCs w:val="22"/>
                <w:lang w:val="en-US" w:eastAsia="zh-CN"/>
              </w:rPr>
            </w:pPr>
            <w:r w:rsidRPr="00793CB2">
              <w:rPr>
                <w:rFonts w:eastAsia="Times New Roman"/>
                <w:i/>
                <w:kern w:val="2"/>
                <w:sz w:val="21"/>
                <w:szCs w:val="22"/>
                <w:lang w:eastAsia="zh-CN"/>
              </w:rPr>
              <w:t xml:space="preserve">Rel-15/Rel-16 TCI framework </w:t>
            </w:r>
          </w:p>
          <w:p w:rsidR="00793CB2" w:rsidRPr="00793CB2" w:rsidRDefault="00793CB2" w:rsidP="00793CB2">
            <w:pPr>
              <w:rPr>
                <w:rFonts w:eastAsia="宋体"/>
                <w:sz w:val="24"/>
                <w:szCs w:val="16"/>
              </w:rPr>
            </w:pPr>
            <w:r w:rsidRPr="00793CB2">
              <w:rPr>
                <w:rFonts w:eastAsia="宋体"/>
                <w:sz w:val="24"/>
                <w:szCs w:val="16"/>
              </w:rPr>
              <w:t>Issue 1-2-1-2:  Can the TCI switch is assumed to be independent on each RX chain?</w:t>
            </w:r>
          </w:p>
          <w:p w:rsidR="00793CB2" w:rsidRPr="00793CB2" w:rsidRDefault="00793CB2" w:rsidP="00793CB2">
            <w:pPr>
              <w:rPr>
                <w:rFonts w:eastAsia="Times New Roman"/>
                <w:i/>
                <w:lang w:val="en-US" w:eastAsia="zh-CN"/>
              </w:rPr>
            </w:pPr>
            <w:r w:rsidRPr="00793CB2">
              <w:rPr>
                <w:rFonts w:eastAsia="Times New Roman"/>
                <w:i/>
                <w:lang w:val="en-US" w:eastAsia="zh-CN"/>
              </w:rPr>
              <w:t xml:space="preserve">Agreements: </w:t>
            </w:r>
          </w:p>
          <w:p w:rsidR="00793CB2" w:rsidRPr="00793CB2" w:rsidRDefault="00793CB2" w:rsidP="00793CB2">
            <w:pPr>
              <w:numPr>
                <w:ilvl w:val="0"/>
                <w:numId w:val="12"/>
              </w:numPr>
              <w:overflowPunct w:val="0"/>
              <w:autoSpaceDE w:val="0"/>
              <w:autoSpaceDN w:val="0"/>
              <w:adjustRightInd w:val="0"/>
              <w:spacing w:line="256" w:lineRule="auto"/>
              <w:textAlignment w:val="baseline"/>
              <w:rPr>
                <w:rFonts w:eastAsia="Times New Roman"/>
                <w:i/>
                <w:kern w:val="2"/>
                <w:sz w:val="21"/>
                <w:szCs w:val="22"/>
                <w:lang w:val="en-US" w:eastAsia="zh-CN"/>
              </w:rPr>
            </w:pPr>
            <w:r w:rsidRPr="00793CB2">
              <w:rPr>
                <w:rFonts w:eastAsia="Times New Roman"/>
                <w:i/>
                <w:kern w:val="2"/>
                <w:sz w:val="21"/>
                <w:szCs w:val="22"/>
                <w:lang w:eastAsia="zh-CN"/>
              </w:rPr>
              <w:t>For each of the two TCI states, the TCI state switch is assumed to be independent</w:t>
            </w:r>
          </w:p>
          <w:p w:rsidR="00793CB2" w:rsidRPr="00793CB2" w:rsidRDefault="00793CB2" w:rsidP="00793CB2">
            <w:pPr>
              <w:numPr>
                <w:ilvl w:val="1"/>
                <w:numId w:val="12"/>
              </w:numPr>
              <w:rPr>
                <w:rFonts w:eastAsia="Times New Roman"/>
                <w:i/>
                <w:lang w:val="en-US" w:eastAsia="zh-CN"/>
              </w:rPr>
            </w:pPr>
            <w:r w:rsidRPr="00793CB2">
              <w:rPr>
                <w:rFonts w:eastAsia="Times New Roman"/>
                <w:i/>
                <w:lang w:val="en-US" w:eastAsia="zh-CN"/>
              </w:rPr>
              <w:lastRenderedPageBreak/>
              <w:t>FFS on the definition/scope of “independency.”</w:t>
            </w:r>
          </w:p>
        </w:tc>
      </w:tr>
    </w:tbl>
    <w:p w:rsidR="00793CB2" w:rsidRDefault="00793CB2" w:rsidP="00793CB2">
      <w:pPr>
        <w:rPr>
          <w:lang w:val="en-US"/>
        </w:rPr>
      </w:pPr>
    </w:p>
    <w:p w:rsidR="00793CB2" w:rsidRDefault="005943F8" w:rsidP="00793CB2">
      <w:pPr>
        <w:rPr>
          <w:lang w:val="en-US"/>
        </w:rPr>
      </w:pPr>
      <w:r>
        <w:rPr>
          <w:lang w:val="en-US"/>
        </w:rPr>
        <w:t>Though the applicability of intra-cell/inter-cell and single DCI/multiple DCI are under discussion in the general part of the WI, we would like to provide the analysis on the relation between dual TCI switching w.r.t the above scenarios. If we consider jointly the intra-cell/inter-cell and single DCI and multiple DCI, we would have following cases:</w:t>
      </w:r>
    </w:p>
    <w:p w:rsidR="005943F8" w:rsidRPr="005943F8" w:rsidRDefault="005943F8" w:rsidP="005943F8">
      <w:pPr>
        <w:pStyle w:val="ListParagraph"/>
        <w:numPr>
          <w:ilvl w:val="0"/>
          <w:numId w:val="13"/>
        </w:numPr>
        <w:ind w:firstLineChars="0"/>
        <w:rPr>
          <w:lang w:val="en-US"/>
        </w:rPr>
      </w:pPr>
      <w:r w:rsidRPr="005943F8">
        <w:rPr>
          <w:lang w:val="en-US"/>
        </w:rPr>
        <w:t>Intra-cell single DCI</w:t>
      </w:r>
    </w:p>
    <w:p w:rsidR="005943F8" w:rsidRPr="005943F8" w:rsidRDefault="005943F8" w:rsidP="005943F8">
      <w:pPr>
        <w:pStyle w:val="ListParagraph"/>
        <w:numPr>
          <w:ilvl w:val="0"/>
          <w:numId w:val="13"/>
        </w:numPr>
        <w:ind w:firstLineChars="0"/>
        <w:rPr>
          <w:lang w:val="en-US"/>
        </w:rPr>
      </w:pPr>
      <w:r w:rsidRPr="005943F8">
        <w:rPr>
          <w:lang w:val="en-US"/>
        </w:rPr>
        <w:t>Intra-cell multiple DCI</w:t>
      </w:r>
    </w:p>
    <w:p w:rsidR="005943F8" w:rsidRDefault="005943F8" w:rsidP="005943F8">
      <w:pPr>
        <w:pStyle w:val="ListParagraph"/>
        <w:numPr>
          <w:ilvl w:val="0"/>
          <w:numId w:val="13"/>
        </w:numPr>
        <w:ind w:firstLineChars="0"/>
        <w:rPr>
          <w:lang w:val="en-US"/>
        </w:rPr>
      </w:pPr>
      <w:r w:rsidRPr="005943F8">
        <w:rPr>
          <w:lang w:val="en-US"/>
        </w:rPr>
        <w:t>Inter-cell multiple DCI</w:t>
      </w:r>
    </w:p>
    <w:p w:rsidR="005943F8" w:rsidRDefault="005943F8" w:rsidP="005943F8">
      <w:pPr>
        <w:rPr>
          <w:lang w:val="en-US"/>
        </w:rPr>
      </w:pPr>
      <w:r>
        <w:rPr>
          <w:lang w:val="en-US"/>
        </w:rPr>
        <w:t>As commented by companies, if the 4 layer DL MIMO is the only targeting scenario, then it is reasonable to only consider case 1. However, we don’t think 4 layer DL MIMO is the only benefited cases for multi Rx chain. Multiple DCI is also supported since Rel-16 for non-ideal backhaul cases. UE may be configured with different QCL-</w:t>
      </w:r>
      <w:proofErr w:type="spellStart"/>
      <w:r>
        <w:rPr>
          <w:lang w:val="en-US"/>
        </w:rPr>
        <w:t>ed</w:t>
      </w:r>
      <w:proofErr w:type="spellEnd"/>
      <w:r>
        <w:rPr>
          <w:lang w:val="en-US"/>
        </w:rPr>
        <w:t xml:space="preserve"> type D TCI towards different TRPs, and UE is configured with different PDSCHs which can be fully/partially overlapping in time domain.</w:t>
      </w:r>
    </w:p>
    <w:p w:rsidR="005943F8" w:rsidRPr="005943F8" w:rsidRDefault="005943F8" w:rsidP="005943F8">
      <w:pPr>
        <w:rPr>
          <w:b/>
          <w:lang w:val="en-US"/>
        </w:rPr>
      </w:pPr>
      <w:r w:rsidRPr="005943F8">
        <w:rPr>
          <w:b/>
          <w:lang w:val="en-US"/>
        </w:rPr>
        <w:t xml:space="preserve">Observation 1: Multiple DCI is also import to be considered for Non-ideal backhaul scenario when UE is capable of multi RX chain. </w:t>
      </w:r>
    </w:p>
    <w:p w:rsidR="005943F8" w:rsidRDefault="005943F8" w:rsidP="005943F8">
      <w:pPr>
        <w:rPr>
          <w:lang w:val="en-US"/>
        </w:rPr>
      </w:pPr>
      <w:r>
        <w:rPr>
          <w:lang w:val="en-US"/>
        </w:rPr>
        <w:t xml:space="preserve">For TCI switching of PDSCH for multiple DCI, the feasible procedures in real deployment can be that </w:t>
      </w:r>
      <w:proofErr w:type="spellStart"/>
      <w:r>
        <w:rPr>
          <w:lang w:val="en-US"/>
        </w:rPr>
        <w:t>gNB</w:t>
      </w:r>
      <w:proofErr w:type="spellEnd"/>
      <w:r>
        <w:rPr>
          <w:lang w:val="en-US"/>
        </w:rPr>
        <w:t xml:space="preserve"> command TCI switching per TRP/</w:t>
      </w:r>
      <w:proofErr w:type="spellStart"/>
      <w:r>
        <w:rPr>
          <w:lang w:val="en-US"/>
        </w:rPr>
        <w:t>corsetPool</w:t>
      </w:r>
      <w:proofErr w:type="spellEnd"/>
      <w:r>
        <w:rPr>
          <w:lang w:val="en-US"/>
        </w:rPr>
        <w:t xml:space="preserve">. It is possible that </w:t>
      </w:r>
      <w:proofErr w:type="spellStart"/>
      <w:r>
        <w:rPr>
          <w:lang w:val="en-US"/>
        </w:rPr>
        <w:t>gNB</w:t>
      </w:r>
      <w:proofErr w:type="spellEnd"/>
      <w:r>
        <w:rPr>
          <w:lang w:val="en-US"/>
        </w:rPr>
        <w:t xml:space="preserve"> command the TCI</w:t>
      </w:r>
      <w:r w:rsidR="007928FA">
        <w:rPr>
          <w:lang w:val="en-US"/>
        </w:rPr>
        <w:t>s</w:t>
      </w:r>
      <w:r>
        <w:rPr>
          <w:lang w:val="en-US"/>
        </w:rPr>
        <w:t xml:space="preserve"> switching for only one of the TRP or the TCI switching for two TRP can be scheduled simultaneously.</w:t>
      </w:r>
    </w:p>
    <w:p w:rsidR="005943F8" w:rsidRPr="005943F8" w:rsidRDefault="005943F8" w:rsidP="005943F8">
      <w:pPr>
        <w:rPr>
          <w:b/>
          <w:lang w:val="en-US"/>
        </w:rPr>
      </w:pPr>
      <w:r w:rsidRPr="005943F8">
        <w:rPr>
          <w:b/>
          <w:lang w:val="en-US"/>
        </w:rPr>
        <w:t xml:space="preserve">Observation 2: For multiple DCI case, it is possible that </w:t>
      </w:r>
      <w:proofErr w:type="spellStart"/>
      <w:r w:rsidRPr="005943F8">
        <w:rPr>
          <w:b/>
          <w:lang w:val="en-US"/>
        </w:rPr>
        <w:t>gNB</w:t>
      </w:r>
      <w:proofErr w:type="spellEnd"/>
      <w:r w:rsidRPr="005943F8">
        <w:rPr>
          <w:b/>
          <w:lang w:val="en-US"/>
        </w:rPr>
        <w:t xml:space="preserve"> commands the TCI switching for only one of the TRP or the TCI switching for two TRP can be scheduled simultaneously.</w:t>
      </w:r>
    </w:p>
    <w:p w:rsidR="005943F8" w:rsidRDefault="005943F8" w:rsidP="005943F8">
      <w:pPr>
        <w:rPr>
          <w:lang w:val="en-US"/>
        </w:rPr>
      </w:pPr>
      <w:r>
        <w:rPr>
          <w:lang w:val="en-US"/>
        </w:rPr>
        <w:t xml:space="preserve">Regarding inter-cell vs intra-cell, from TCI switching perspective, there is no significant difference. The only difference could be the QCL source of TCI for inter-cell is the SSB with additional PCI. </w:t>
      </w:r>
    </w:p>
    <w:p w:rsidR="005943F8" w:rsidRDefault="005943F8" w:rsidP="005943F8">
      <w:pPr>
        <w:rPr>
          <w:b/>
          <w:lang w:val="en-US"/>
        </w:rPr>
      </w:pPr>
      <w:r w:rsidRPr="005943F8">
        <w:rPr>
          <w:b/>
          <w:lang w:val="en-US"/>
        </w:rPr>
        <w:t>Observation 3: From TCI switching requirement perspective, the only difference could be the QCL source of TCI for inter-cell is the SSB with additional PCI.</w:t>
      </w:r>
    </w:p>
    <w:p w:rsidR="005943F8" w:rsidRPr="005943F8" w:rsidRDefault="005943F8" w:rsidP="005943F8">
      <w:pPr>
        <w:rPr>
          <w:lang w:val="en-US"/>
        </w:rPr>
      </w:pPr>
      <w:r w:rsidRPr="005943F8">
        <w:rPr>
          <w:lang w:val="en-US"/>
        </w:rPr>
        <w:t>For detailed TCI state switching requirements, the agreements and issues are summarized as follows:</w:t>
      </w:r>
    </w:p>
    <w:tbl>
      <w:tblPr>
        <w:tblStyle w:val="TableGrid"/>
        <w:tblW w:w="0" w:type="auto"/>
        <w:tblLook w:val="04A0" w:firstRow="1" w:lastRow="0" w:firstColumn="1" w:lastColumn="0" w:noHBand="0" w:noVBand="1"/>
      </w:tblPr>
      <w:tblGrid>
        <w:gridCol w:w="9562"/>
      </w:tblGrid>
      <w:tr w:rsidR="005943F8" w:rsidTr="005943F8">
        <w:tc>
          <w:tcPr>
            <w:tcW w:w="9562" w:type="dxa"/>
          </w:tcPr>
          <w:p w:rsidR="005943F8" w:rsidRDefault="005943F8" w:rsidP="005943F8">
            <w:pPr>
              <w:rPr>
                <w:rFonts w:eastAsia="宋体"/>
                <w:sz w:val="24"/>
                <w:szCs w:val="16"/>
              </w:rPr>
            </w:pPr>
            <w:r>
              <w:rPr>
                <w:sz w:val="24"/>
                <w:szCs w:val="16"/>
              </w:rPr>
              <w:t>Issue 1-2-1-2:  Can the TCI switch is assumed to be independent on each RX chain?</w:t>
            </w:r>
          </w:p>
          <w:p w:rsidR="005943F8" w:rsidRDefault="005943F8" w:rsidP="005943F8">
            <w:pPr>
              <w:rPr>
                <w:rFonts w:eastAsia="Times New Roman"/>
                <w:i/>
                <w:lang w:val="en-US" w:eastAsia="zh-CN"/>
              </w:rPr>
            </w:pPr>
            <w:r>
              <w:rPr>
                <w:rFonts w:eastAsia="Times New Roman"/>
                <w:i/>
                <w:lang w:val="en-US" w:eastAsia="zh-CN"/>
              </w:rPr>
              <w:t xml:space="preserve">Agreements: </w:t>
            </w:r>
          </w:p>
          <w:p w:rsidR="005943F8" w:rsidRDefault="005943F8" w:rsidP="005943F8">
            <w:pPr>
              <w:pStyle w:val="ListParagraph"/>
              <w:numPr>
                <w:ilvl w:val="0"/>
                <w:numId w:val="12"/>
              </w:numPr>
              <w:overflowPunct w:val="0"/>
              <w:autoSpaceDE w:val="0"/>
              <w:autoSpaceDN w:val="0"/>
              <w:adjustRightInd w:val="0"/>
              <w:spacing w:line="256" w:lineRule="auto"/>
              <w:ind w:firstLineChars="0"/>
              <w:textAlignment w:val="baseline"/>
              <w:rPr>
                <w:rFonts w:eastAsia="Times New Roman"/>
                <w:i/>
                <w:lang w:val="en-US" w:eastAsia="zh-CN"/>
              </w:rPr>
            </w:pPr>
            <w:r>
              <w:rPr>
                <w:rFonts w:eastAsia="Times New Roman"/>
                <w:i/>
                <w:lang w:eastAsia="zh-CN"/>
              </w:rPr>
              <w:t>For each of the two TCI states, the TCI state switch is assumed to be independent</w:t>
            </w:r>
          </w:p>
          <w:p w:rsidR="005943F8" w:rsidRPr="005943F8" w:rsidRDefault="005943F8" w:rsidP="005943F8">
            <w:pPr>
              <w:numPr>
                <w:ilvl w:val="1"/>
                <w:numId w:val="12"/>
              </w:numPr>
              <w:rPr>
                <w:rFonts w:eastAsia="Times New Roman"/>
                <w:i/>
                <w:lang w:val="en-US" w:eastAsia="zh-CN"/>
              </w:rPr>
            </w:pPr>
            <w:r>
              <w:rPr>
                <w:rFonts w:eastAsia="Times New Roman"/>
                <w:i/>
                <w:lang w:val="en-US" w:eastAsia="zh-CN"/>
              </w:rPr>
              <w:t>FFS on the definition/scope of “independency.”</w:t>
            </w:r>
          </w:p>
        </w:tc>
      </w:tr>
    </w:tbl>
    <w:p w:rsidR="005943F8" w:rsidRDefault="005943F8" w:rsidP="005943F8">
      <w:pPr>
        <w:rPr>
          <w:b/>
          <w:lang w:val="en-US"/>
        </w:rPr>
      </w:pPr>
    </w:p>
    <w:p w:rsidR="005943F8" w:rsidRDefault="005943F8" w:rsidP="005943F8">
      <w:pPr>
        <w:rPr>
          <w:lang w:val="en-US" w:eastAsia="zh-CN"/>
        </w:rPr>
      </w:pPr>
      <w:r w:rsidRPr="005943F8">
        <w:rPr>
          <w:lang w:val="en-US" w:eastAsia="zh-CN"/>
        </w:rPr>
        <w:t>It was agreed</w:t>
      </w:r>
      <w:r w:rsidRPr="005943F8">
        <w:t xml:space="preserve"> </w:t>
      </w:r>
      <w:r w:rsidRPr="005943F8">
        <w:rPr>
          <w:lang w:val="en-US" w:eastAsia="zh-CN"/>
        </w:rPr>
        <w:t>each of the two TCI states, the TCI state switch is assumed to be independent</w:t>
      </w:r>
      <w:r>
        <w:rPr>
          <w:lang w:val="en-US" w:eastAsia="zh-CN"/>
        </w:rPr>
        <w:t xml:space="preserve">, but companies have different understanding of the scope of the independency. The motivation of the related proposal is to leave more freedom on TCI switching. For instance, </w:t>
      </w:r>
      <w:proofErr w:type="spellStart"/>
      <w:r>
        <w:rPr>
          <w:lang w:val="en-US" w:eastAsia="zh-CN"/>
        </w:rPr>
        <w:t>gNB</w:t>
      </w:r>
      <w:proofErr w:type="spellEnd"/>
      <w:r>
        <w:rPr>
          <w:lang w:val="en-US" w:eastAsia="zh-CN"/>
        </w:rPr>
        <w:t xml:space="preserve"> can command to switch only one of the TCI states or switch both TCI states. Or the two TCI states can be switched simultaneously or one after the other. During the discussion in last meeting, companies had concerns on interpreting the independency from another angle that UE can perform two TCI state switching independently. From our understanding, whether UE can independently switch the TCI depends on the conditions under discussion in both RRM and RF. For instance, the two TCI states with different QCL type D source RS shall be received with different “panels” and the </w:t>
      </w:r>
      <w:proofErr w:type="spellStart"/>
      <w:r>
        <w:rPr>
          <w:lang w:val="en-US" w:eastAsia="zh-CN"/>
        </w:rPr>
        <w:t>AoA</w:t>
      </w:r>
      <w:proofErr w:type="spellEnd"/>
      <w:r>
        <w:rPr>
          <w:lang w:val="en-US" w:eastAsia="zh-CN"/>
        </w:rPr>
        <w:t xml:space="preserve"> separation conditions shall be fulfilled if any.</w:t>
      </w:r>
    </w:p>
    <w:p w:rsidR="005943F8" w:rsidRPr="00C51B61" w:rsidRDefault="005943F8" w:rsidP="005943F8">
      <w:pPr>
        <w:rPr>
          <w:b/>
          <w:lang w:val="en-US" w:eastAsia="zh-CN"/>
        </w:rPr>
      </w:pPr>
      <w:r w:rsidRPr="00C51B61">
        <w:rPr>
          <w:b/>
          <w:lang w:val="en-US" w:eastAsia="zh-CN"/>
        </w:rPr>
        <w:t xml:space="preserve">Proposal 1: </w:t>
      </w:r>
      <w:r w:rsidR="008F6FDB" w:rsidRPr="00C51B61">
        <w:rPr>
          <w:b/>
          <w:lang w:val="en-US" w:eastAsia="zh-CN"/>
        </w:rPr>
        <w:t xml:space="preserve">From </w:t>
      </w:r>
      <w:proofErr w:type="spellStart"/>
      <w:r w:rsidR="008F6FDB" w:rsidRPr="00C51B61">
        <w:rPr>
          <w:b/>
          <w:lang w:val="en-US" w:eastAsia="zh-CN"/>
        </w:rPr>
        <w:t>gNB</w:t>
      </w:r>
      <w:proofErr w:type="spellEnd"/>
      <w:r w:rsidR="008F6FDB" w:rsidRPr="00C51B61">
        <w:rPr>
          <w:b/>
          <w:lang w:val="en-US" w:eastAsia="zh-CN"/>
        </w:rPr>
        <w:t xml:space="preserve"> configuration perspective, </w:t>
      </w:r>
      <w:r w:rsidR="00C51B61" w:rsidRPr="00C51B61">
        <w:rPr>
          <w:b/>
          <w:lang w:val="en-US" w:eastAsia="zh-CN"/>
        </w:rPr>
        <w:t xml:space="preserve">each of two TCI states can be configured independently. From TCI state switching perspective, whether UE can perform two TCI state switching independently depends on the conditions under discussion in RRM and RF (e.g. known conditions, </w:t>
      </w:r>
      <w:proofErr w:type="spellStart"/>
      <w:r w:rsidR="00C51B61" w:rsidRPr="00C51B61">
        <w:rPr>
          <w:b/>
          <w:lang w:val="en-US" w:eastAsia="zh-CN"/>
        </w:rPr>
        <w:t>AoA</w:t>
      </w:r>
      <w:proofErr w:type="spellEnd"/>
      <w:r w:rsidR="00C51B61" w:rsidRPr="00C51B61">
        <w:rPr>
          <w:b/>
          <w:lang w:val="en-US" w:eastAsia="zh-CN"/>
        </w:rPr>
        <w:t xml:space="preserve"> separation)</w:t>
      </w:r>
    </w:p>
    <w:p w:rsidR="00C51B61" w:rsidRDefault="00C51B61" w:rsidP="00D0400B">
      <w:pPr>
        <w:rPr>
          <w:lang w:val="en-US" w:eastAsia="zh-CN"/>
        </w:rPr>
      </w:pPr>
      <w:r>
        <w:rPr>
          <w:lang w:val="en-US" w:eastAsia="zh-CN"/>
        </w:rPr>
        <w:t xml:space="preserve">For the TCI switching scenarios to be considered, though it is highly related to the agreement of intra/inter-cell and </w:t>
      </w:r>
      <w:proofErr w:type="spellStart"/>
      <w:r>
        <w:rPr>
          <w:lang w:val="en-US" w:eastAsia="zh-CN"/>
        </w:rPr>
        <w:t>sDCI</w:t>
      </w:r>
      <w:proofErr w:type="spellEnd"/>
      <w:r>
        <w:rPr>
          <w:lang w:val="en-US" w:eastAsia="zh-CN"/>
        </w:rPr>
        <w:t>/</w:t>
      </w:r>
      <w:proofErr w:type="spellStart"/>
      <w:r>
        <w:rPr>
          <w:lang w:val="en-US" w:eastAsia="zh-CN"/>
        </w:rPr>
        <w:t>mDCI</w:t>
      </w:r>
      <w:proofErr w:type="spellEnd"/>
      <w:r>
        <w:rPr>
          <w:lang w:val="en-US" w:eastAsia="zh-CN"/>
        </w:rPr>
        <w:t>, we present the analysis based on feasible scenarios. The dual TCI switching shall be considered for PDCCH and PDSCH separately.</w:t>
      </w:r>
    </w:p>
    <w:p w:rsidR="00C51B61" w:rsidRPr="00C51B61" w:rsidRDefault="00C51B61" w:rsidP="00D0400B">
      <w:pPr>
        <w:rPr>
          <w:b/>
          <w:lang w:val="en-US" w:eastAsia="zh-CN"/>
        </w:rPr>
      </w:pPr>
      <w:r w:rsidRPr="00C51B61">
        <w:rPr>
          <w:b/>
          <w:lang w:val="en-US" w:eastAsia="zh-CN"/>
        </w:rPr>
        <w:t>PDCCH:</w:t>
      </w:r>
    </w:p>
    <w:p w:rsidR="00C51B61" w:rsidRDefault="00C51B61" w:rsidP="00916660">
      <w:pPr>
        <w:ind w:left="420"/>
        <w:rPr>
          <w:lang w:val="en-US" w:eastAsia="zh-CN"/>
        </w:rPr>
      </w:pPr>
      <w:proofErr w:type="spellStart"/>
      <w:proofErr w:type="gramStart"/>
      <w:r>
        <w:rPr>
          <w:lang w:val="en-US" w:eastAsia="zh-CN"/>
        </w:rPr>
        <w:lastRenderedPageBreak/>
        <w:t>sDCI</w:t>
      </w:r>
      <w:proofErr w:type="spellEnd"/>
      <w:proofErr w:type="gramEnd"/>
      <w:r>
        <w:rPr>
          <w:lang w:val="en-US" w:eastAsia="zh-CN"/>
        </w:rPr>
        <w:t>: same as legacy single TCI state switching</w:t>
      </w:r>
    </w:p>
    <w:p w:rsidR="00C51B61" w:rsidRDefault="00C51B61" w:rsidP="00916660">
      <w:pPr>
        <w:ind w:left="420"/>
        <w:rPr>
          <w:lang w:val="en-US" w:eastAsia="zh-CN"/>
        </w:rPr>
      </w:pPr>
      <w:proofErr w:type="spellStart"/>
      <w:proofErr w:type="gramStart"/>
      <w:r>
        <w:rPr>
          <w:lang w:val="en-US" w:eastAsia="zh-CN"/>
        </w:rPr>
        <w:t>mDCI</w:t>
      </w:r>
      <w:proofErr w:type="spellEnd"/>
      <w:proofErr w:type="gramEnd"/>
      <w:r>
        <w:rPr>
          <w:lang w:val="en-US" w:eastAsia="zh-CN"/>
        </w:rPr>
        <w:t>: Two TCI states, an</w:t>
      </w:r>
      <w:r w:rsidR="00B6730C">
        <w:rPr>
          <w:lang w:val="en-US" w:eastAsia="zh-CN"/>
        </w:rPr>
        <w:t>d one MAC CE for each TCI state</w:t>
      </w:r>
    </w:p>
    <w:p w:rsidR="00C51B61" w:rsidRDefault="00C51B61" w:rsidP="00916660">
      <w:pPr>
        <w:ind w:left="420"/>
        <w:rPr>
          <w:lang w:val="en-US" w:eastAsia="zh-CN"/>
        </w:rPr>
      </w:pPr>
      <w:r>
        <w:rPr>
          <w:lang w:val="en-US" w:eastAsia="zh-CN"/>
        </w:rPr>
        <w:t>SFN: Two TCI state, and one MAC for both TCI states.</w:t>
      </w:r>
    </w:p>
    <w:p w:rsidR="00C51B61" w:rsidRPr="00C51B61" w:rsidRDefault="00C51B61" w:rsidP="00D0400B">
      <w:pPr>
        <w:rPr>
          <w:b/>
          <w:lang w:val="en-US" w:eastAsia="zh-CN"/>
        </w:rPr>
      </w:pPr>
      <w:r w:rsidRPr="00C51B61">
        <w:rPr>
          <w:b/>
          <w:lang w:val="en-US" w:eastAsia="zh-CN"/>
        </w:rPr>
        <w:t>PDSCH:</w:t>
      </w:r>
    </w:p>
    <w:p w:rsidR="00C51B61" w:rsidRDefault="00C51B61" w:rsidP="00916660">
      <w:pPr>
        <w:ind w:left="360"/>
        <w:rPr>
          <w:szCs w:val="24"/>
          <w:lang w:eastAsia="zh-CN"/>
        </w:rPr>
      </w:pPr>
      <w:proofErr w:type="spellStart"/>
      <w:proofErr w:type="gramStart"/>
      <w:r>
        <w:rPr>
          <w:lang w:val="en-US" w:eastAsia="zh-CN"/>
        </w:rPr>
        <w:t>sDCI</w:t>
      </w:r>
      <w:proofErr w:type="spellEnd"/>
      <w:proofErr w:type="gramEnd"/>
      <w:r>
        <w:rPr>
          <w:lang w:val="en-US" w:eastAsia="zh-CN"/>
        </w:rPr>
        <w:t>:</w:t>
      </w:r>
      <w:r w:rsidRPr="00C51B61">
        <w:rPr>
          <w:szCs w:val="24"/>
          <w:lang w:eastAsia="zh-CN"/>
        </w:rPr>
        <w:t xml:space="preserve"> </w:t>
      </w:r>
      <w:r>
        <w:rPr>
          <w:szCs w:val="24"/>
          <w:lang w:eastAsia="zh-CN"/>
        </w:rPr>
        <w:t>One DCI for two TCI states</w:t>
      </w:r>
    </w:p>
    <w:p w:rsidR="008B4341" w:rsidRPr="008B4341" w:rsidRDefault="008B4341" w:rsidP="00916660">
      <w:pPr>
        <w:pStyle w:val="ListParagraph"/>
        <w:numPr>
          <w:ilvl w:val="0"/>
          <w:numId w:val="15"/>
        </w:numPr>
        <w:ind w:left="1080" w:firstLineChars="0"/>
        <w:rPr>
          <w:i/>
          <w:szCs w:val="24"/>
          <w:lang w:eastAsia="zh-CN"/>
        </w:rPr>
      </w:pPr>
      <w:r w:rsidRPr="008B4341">
        <w:rPr>
          <w:i/>
          <w:szCs w:val="24"/>
          <w:lang w:eastAsia="zh-CN"/>
        </w:rPr>
        <w:t>single TCI to single TCI (legacy)</w:t>
      </w:r>
    </w:p>
    <w:p w:rsidR="008B4341" w:rsidRPr="008B4341" w:rsidRDefault="008B4341" w:rsidP="00916660">
      <w:pPr>
        <w:pStyle w:val="ListParagraph"/>
        <w:numPr>
          <w:ilvl w:val="0"/>
          <w:numId w:val="15"/>
        </w:numPr>
        <w:ind w:left="1080" w:firstLineChars="0"/>
        <w:rPr>
          <w:i/>
          <w:szCs w:val="24"/>
          <w:lang w:eastAsia="zh-CN"/>
        </w:rPr>
      </w:pPr>
      <w:r w:rsidRPr="008B4341">
        <w:rPr>
          <w:i/>
          <w:szCs w:val="24"/>
          <w:lang w:eastAsia="zh-CN"/>
        </w:rPr>
        <w:t>single TCI to dual TCI</w:t>
      </w:r>
    </w:p>
    <w:p w:rsidR="008B4341" w:rsidRPr="008B4341" w:rsidRDefault="008B4341" w:rsidP="00916660">
      <w:pPr>
        <w:pStyle w:val="ListParagraph"/>
        <w:numPr>
          <w:ilvl w:val="0"/>
          <w:numId w:val="15"/>
        </w:numPr>
        <w:ind w:left="1080" w:firstLineChars="0"/>
        <w:rPr>
          <w:i/>
          <w:szCs w:val="24"/>
          <w:lang w:eastAsia="zh-CN"/>
        </w:rPr>
      </w:pPr>
      <w:r w:rsidRPr="008B4341">
        <w:rPr>
          <w:i/>
          <w:szCs w:val="24"/>
          <w:lang w:eastAsia="zh-CN"/>
        </w:rPr>
        <w:t>dual TCI to single TCI</w:t>
      </w:r>
    </w:p>
    <w:p w:rsidR="008B4341" w:rsidRPr="008B4341" w:rsidRDefault="008B4341" w:rsidP="00916660">
      <w:pPr>
        <w:pStyle w:val="ListParagraph"/>
        <w:numPr>
          <w:ilvl w:val="0"/>
          <w:numId w:val="15"/>
        </w:numPr>
        <w:ind w:left="1080" w:firstLineChars="0"/>
        <w:rPr>
          <w:i/>
          <w:lang w:val="en-US" w:eastAsia="zh-CN"/>
        </w:rPr>
      </w:pPr>
      <w:r w:rsidRPr="008B4341">
        <w:rPr>
          <w:i/>
          <w:szCs w:val="24"/>
          <w:lang w:eastAsia="zh-CN"/>
        </w:rPr>
        <w:t>dual TCI to dual TCI (change one or both QCL type D RS)</w:t>
      </w:r>
    </w:p>
    <w:p w:rsidR="00C51B61" w:rsidRDefault="00C51B61" w:rsidP="00916660">
      <w:pPr>
        <w:ind w:left="360"/>
        <w:rPr>
          <w:lang w:val="en-US" w:eastAsia="zh-CN"/>
        </w:rPr>
      </w:pPr>
      <w:proofErr w:type="spellStart"/>
      <w:proofErr w:type="gramStart"/>
      <w:r>
        <w:rPr>
          <w:lang w:val="en-US" w:eastAsia="zh-CN"/>
        </w:rPr>
        <w:t>mDCI</w:t>
      </w:r>
      <w:proofErr w:type="spellEnd"/>
      <w:proofErr w:type="gramEnd"/>
      <w:r>
        <w:rPr>
          <w:lang w:val="en-US" w:eastAsia="zh-CN"/>
        </w:rPr>
        <w:t>:</w:t>
      </w:r>
      <w:r w:rsidRPr="00C51B61">
        <w:rPr>
          <w:szCs w:val="24"/>
          <w:lang w:eastAsia="zh-CN"/>
        </w:rPr>
        <w:t xml:space="preserve"> </w:t>
      </w:r>
      <w:r>
        <w:rPr>
          <w:szCs w:val="24"/>
          <w:lang w:eastAsia="zh-CN"/>
        </w:rPr>
        <w:t>Two DCI one for each TCI state</w:t>
      </w:r>
    </w:p>
    <w:p w:rsidR="00C51B61" w:rsidRPr="00BF0C46" w:rsidRDefault="00916660" w:rsidP="00D0400B">
      <w:pPr>
        <w:rPr>
          <w:lang w:val="en-US" w:eastAsia="zh-CN"/>
        </w:rPr>
      </w:pPr>
      <w:r>
        <w:rPr>
          <w:lang w:val="en-US" w:eastAsia="zh-CN"/>
        </w:rPr>
        <w:t xml:space="preserve">As listed above, for PDCCH, if only single DCI is considered, then the TCI switching is same as legacy single TCI switching. For </w:t>
      </w:r>
      <w:proofErr w:type="spellStart"/>
      <w:r>
        <w:rPr>
          <w:lang w:val="en-US" w:eastAsia="zh-CN"/>
        </w:rPr>
        <w:t>mDCI</w:t>
      </w:r>
      <w:proofErr w:type="spellEnd"/>
      <w:r>
        <w:rPr>
          <w:lang w:val="en-US" w:eastAsia="zh-CN"/>
        </w:rPr>
        <w:t xml:space="preserve"> with two </w:t>
      </w:r>
      <w:proofErr w:type="spellStart"/>
      <w:r>
        <w:rPr>
          <w:lang w:val="en-US" w:eastAsia="zh-CN"/>
        </w:rPr>
        <w:t>coresetPoolIndex</w:t>
      </w:r>
      <w:proofErr w:type="spellEnd"/>
      <w:r>
        <w:rPr>
          <w:lang w:val="en-US" w:eastAsia="zh-CN"/>
        </w:rPr>
        <w:t>, MAC can trigger the TCI switching of the beam of one PDCCH. However, for non-repetition cases, UE is not expected to monitor time-domain overlapping CORSET with two QCL type D</w:t>
      </w:r>
      <w:r w:rsidR="00BF0C46">
        <w:rPr>
          <w:lang w:val="en-US" w:eastAsia="zh-CN"/>
        </w:rPr>
        <w:t xml:space="preserve">. In other words, it means UE are using different beam for PDCCH reception but not simultaneously. For UE supporting </w:t>
      </w:r>
      <w:r w:rsidR="00BF0C46" w:rsidRPr="00BF0C46">
        <w:rPr>
          <w:i/>
          <w:lang w:val="en-US" w:eastAsia="zh-CN"/>
        </w:rPr>
        <w:t>mTRP-PDCCH-TwoQCL-TypeD-r17</w:t>
      </w:r>
      <w:r w:rsidR="00BF0C46">
        <w:rPr>
          <w:lang w:val="en-US" w:eastAsia="zh-CN"/>
        </w:rPr>
        <w:t xml:space="preserve">, there could be the case that UE are receiving time-domain overlapping CORESETs with two QCL </w:t>
      </w:r>
      <w:proofErr w:type="spellStart"/>
      <w:r w:rsidR="00BF0C46">
        <w:rPr>
          <w:lang w:val="en-US" w:eastAsia="zh-CN"/>
        </w:rPr>
        <w:t>typeD</w:t>
      </w:r>
      <w:proofErr w:type="spellEnd"/>
      <w:r w:rsidR="00BF0C46">
        <w:rPr>
          <w:lang w:val="en-US" w:eastAsia="zh-CN"/>
        </w:rPr>
        <w:t>.</w:t>
      </w: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0C46" w:rsidTr="00BF0C4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BF0C46" w:rsidRDefault="00BF0C46">
            <w:pPr>
              <w:pStyle w:val="TAL"/>
              <w:rPr>
                <w:b/>
                <w:bCs/>
                <w:i/>
                <w:iCs/>
                <w:szCs w:val="18"/>
                <w:lang w:val="en-GB" w:eastAsia="en-GB"/>
              </w:rPr>
            </w:pPr>
            <w:r>
              <w:rPr>
                <w:b/>
                <w:bCs/>
                <w:i/>
                <w:iCs/>
                <w:szCs w:val="18"/>
                <w:lang w:eastAsia="en-GB"/>
              </w:rPr>
              <w:t>mTRP-PDCCH-TwoQCL-TypeD-r17</w:t>
            </w:r>
            <w:r>
              <w:rPr>
                <w:b/>
                <w:bCs/>
                <w:i/>
                <w:iCs/>
                <w:szCs w:val="18"/>
                <w:lang w:eastAsia="en-GB"/>
              </w:rPr>
              <w:tab/>
            </w:r>
          </w:p>
          <w:p w:rsidR="00BF0C46" w:rsidRDefault="00BF0C46">
            <w:pPr>
              <w:pStyle w:val="TAL"/>
              <w:rPr>
                <w:rFonts w:eastAsia="Malgun Gothic"/>
                <w:szCs w:val="18"/>
                <w:lang w:eastAsia="ko-KR"/>
              </w:rPr>
            </w:pPr>
            <w:r>
              <w:rPr>
                <w:szCs w:val="18"/>
              </w:rPr>
              <w:t>Indicates</w:t>
            </w:r>
            <w:r>
              <w:rPr>
                <w:rFonts w:eastAsia="Malgun Gothic"/>
                <w:szCs w:val="18"/>
                <w:lang w:eastAsia="ko-KR"/>
              </w:rPr>
              <w:t xml:space="preserve"> the support of determining two QCL-</w:t>
            </w:r>
            <w:proofErr w:type="spellStart"/>
            <w:r>
              <w:rPr>
                <w:rFonts w:eastAsia="Malgun Gothic"/>
                <w:szCs w:val="18"/>
                <w:lang w:eastAsia="ko-KR"/>
              </w:rPr>
              <w:t>TypeD</w:t>
            </w:r>
            <w:proofErr w:type="spellEnd"/>
            <w:r>
              <w:rPr>
                <w:rFonts w:eastAsia="Malgun Gothic"/>
                <w:szCs w:val="18"/>
                <w:lang w:eastAsia="ko-KR"/>
              </w:rPr>
              <w:t xml:space="preserve"> for time-domain overlapping CORESETs in the same CC or for intra-band CA when UE is configured with PDCCH repetition.</w:t>
            </w:r>
          </w:p>
          <w:p w:rsidR="00BF0C46" w:rsidRDefault="00BF0C46">
            <w:pPr>
              <w:pStyle w:val="TAL"/>
              <w:rPr>
                <w:szCs w:val="18"/>
                <w:lang w:eastAsia="ja-JP"/>
              </w:rPr>
            </w:pPr>
            <w:r>
              <w:rPr>
                <w:szCs w:val="18"/>
              </w:rPr>
              <w:t xml:space="preserve">The UE indicating support of this feature shall also indicate support of </w:t>
            </w:r>
            <w:r>
              <w:rPr>
                <w:i/>
                <w:iCs/>
                <w:szCs w:val="18"/>
              </w:rPr>
              <w:t>mTRP-PDCCH-Repetition-r1</w:t>
            </w:r>
            <w:r>
              <w:rPr>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rsidR="00BF0C46" w:rsidRDefault="00BF0C46">
            <w:pPr>
              <w:pStyle w:val="TAL"/>
              <w:jc w:val="center"/>
              <w:rPr>
                <w:rFonts w:cs="Times New Roman"/>
                <w:szCs w:val="20"/>
              </w:rPr>
            </w:pPr>
            <w:r>
              <w:t>Band</w:t>
            </w:r>
          </w:p>
        </w:tc>
        <w:tc>
          <w:tcPr>
            <w:tcW w:w="567" w:type="dxa"/>
            <w:tcBorders>
              <w:top w:val="single" w:sz="4" w:space="0" w:color="808080"/>
              <w:left w:val="single" w:sz="4" w:space="0" w:color="808080"/>
              <w:bottom w:val="single" w:sz="4" w:space="0" w:color="808080"/>
              <w:right w:val="single" w:sz="4" w:space="0" w:color="808080"/>
            </w:tcBorders>
            <w:hideMark/>
          </w:tcPr>
          <w:p w:rsidR="00BF0C46" w:rsidRDefault="00BF0C4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rsidR="00BF0C46" w:rsidRDefault="00BF0C46">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rsidR="00BF0C46" w:rsidRDefault="00BF0C46">
            <w:pPr>
              <w:pStyle w:val="TAL"/>
              <w:jc w:val="center"/>
            </w:pPr>
            <w:r>
              <w:t>FR2 only</w:t>
            </w:r>
          </w:p>
        </w:tc>
      </w:tr>
    </w:tbl>
    <w:p w:rsidR="00BF0C46" w:rsidRDefault="00BF0C46" w:rsidP="00D0400B">
      <w:pPr>
        <w:rPr>
          <w:lang w:val="en-US" w:eastAsia="zh-CN"/>
        </w:rPr>
      </w:pPr>
    </w:p>
    <w:p w:rsidR="00BF0C46" w:rsidRDefault="00BF0C46" w:rsidP="00D0400B">
      <w:pPr>
        <w:rPr>
          <w:iCs/>
          <w:noProof/>
        </w:rPr>
      </w:pPr>
      <w:r>
        <w:rPr>
          <w:lang w:val="en-US" w:eastAsia="zh-CN"/>
        </w:rPr>
        <w:t xml:space="preserve">For UE support </w:t>
      </w:r>
      <w:r>
        <w:rPr>
          <w:i/>
          <w:iCs/>
          <w:noProof/>
        </w:rPr>
        <w:t>sfnSchemePdcch</w:t>
      </w:r>
      <w:r>
        <w:rPr>
          <w:iCs/>
          <w:noProof/>
        </w:rPr>
        <w:t xml:space="preserve"> two TCI states can</w:t>
      </w:r>
      <w:r w:rsidR="00222EFC">
        <w:rPr>
          <w:iCs/>
          <w:noProof/>
        </w:rPr>
        <w:t xml:space="preserve"> be configured for one CORESET, and one MAC CE (shown below)can command two TCI states switching.</w:t>
      </w:r>
    </w:p>
    <w:tbl>
      <w:tblPr>
        <w:tblStyle w:val="TableGrid"/>
        <w:tblW w:w="0" w:type="auto"/>
        <w:tblLook w:val="04A0" w:firstRow="1" w:lastRow="0" w:firstColumn="1" w:lastColumn="0" w:noHBand="0" w:noVBand="1"/>
      </w:tblPr>
      <w:tblGrid>
        <w:gridCol w:w="9562"/>
      </w:tblGrid>
      <w:tr w:rsidR="00222EFC" w:rsidTr="00222EFC">
        <w:tc>
          <w:tcPr>
            <w:tcW w:w="9562" w:type="dxa"/>
          </w:tcPr>
          <w:p w:rsidR="00222EFC" w:rsidRDefault="00222EFC" w:rsidP="00222EFC">
            <w:pPr>
              <w:pStyle w:val="TH"/>
              <w:rPr>
                <w:rFonts w:eastAsia="Times New Roman"/>
                <w:noProof/>
                <w:lang w:eastAsia="ja-JP"/>
              </w:rPr>
            </w:pPr>
            <w:r>
              <w:rPr>
                <w:rFonts w:eastAsia="Times New Roman"/>
                <w:lang w:eastAsia="ja-JP"/>
              </w:rPr>
              <w:object w:dxaOrig="5700"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pt;height:108pt" o:ole="">
                  <v:imagedata r:id="rId8" o:title=""/>
                </v:shape>
                <o:OLEObject Type="Embed" ProgID="Visio.Drawing.15" ShapeID="_x0000_i1025" DrawAspect="Content" ObjectID="_1729364774" r:id="rId9"/>
              </w:object>
            </w:r>
          </w:p>
          <w:p w:rsidR="00222EFC" w:rsidRPr="00222EFC" w:rsidRDefault="00222EFC" w:rsidP="00222EFC">
            <w:pPr>
              <w:pStyle w:val="TF"/>
              <w:rPr>
                <w:noProof/>
              </w:rPr>
            </w:pPr>
            <w:r>
              <w:rPr>
                <w:noProof/>
              </w:rPr>
              <w:t>Figure 6.1.3.44-1: Enhanced TCI States Indication for UE-specific PDCCH MAC CE</w:t>
            </w:r>
          </w:p>
        </w:tc>
      </w:tr>
    </w:tbl>
    <w:p w:rsidR="00222EFC" w:rsidRPr="00BF0C46" w:rsidRDefault="00222EFC" w:rsidP="00D0400B">
      <w:pPr>
        <w:rPr>
          <w:lang w:val="en-US" w:eastAsia="zh-CN"/>
        </w:rPr>
      </w:pPr>
    </w:p>
    <w:p w:rsidR="00C51B61" w:rsidRDefault="00222EFC" w:rsidP="00D0400B">
      <w:pPr>
        <w:rPr>
          <w:lang w:val="en-US" w:eastAsia="zh-CN"/>
        </w:rPr>
      </w:pPr>
      <w:r>
        <w:rPr>
          <w:lang w:val="en-US" w:eastAsia="zh-CN"/>
        </w:rPr>
        <w:t xml:space="preserve">For PDSCH, the most straightforward case is </w:t>
      </w:r>
      <w:proofErr w:type="spellStart"/>
      <w:r>
        <w:rPr>
          <w:lang w:val="en-US" w:eastAsia="zh-CN"/>
        </w:rPr>
        <w:t>sDCI</w:t>
      </w:r>
      <w:proofErr w:type="spellEnd"/>
      <w:r>
        <w:rPr>
          <w:lang w:val="en-US" w:eastAsia="zh-CN"/>
        </w:rPr>
        <w:t xml:space="preserve">. When mapping to different </w:t>
      </w:r>
      <w:proofErr w:type="spellStart"/>
      <w:r>
        <w:rPr>
          <w:lang w:val="en-US" w:eastAsia="zh-CN"/>
        </w:rPr>
        <w:t>codepoint</w:t>
      </w:r>
      <w:proofErr w:type="spellEnd"/>
      <w:r>
        <w:rPr>
          <w:lang w:val="en-US" w:eastAsia="zh-CN"/>
        </w:rPr>
        <w:t xml:space="preserve"> in</w:t>
      </w:r>
      <w:r w:rsidR="008A1C99">
        <w:rPr>
          <w:lang w:val="en-US" w:eastAsia="zh-CN"/>
        </w:rPr>
        <w:t xml:space="preserve"> DCI, single TCI or dual TCI can be indicated to PDSCH. For single TCI to single TCI, there is no difference from legacy TCI switching requirements. For other cases (single to dual/dual to single/dual to dual), new TCI switching requirements shall be considered. For </w:t>
      </w:r>
      <w:proofErr w:type="spellStart"/>
      <w:r w:rsidR="008A1C99">
        <w:rPr>
          <w:lang w:val="en-US" w:eastAsia="zh-CN"/>
        </w:rPr>
        <w:t>mDCI</w:t>
      </w:r>
      <w:proofErr w:type="spellEnd"/>
      <w:r w:rsidR="008A1C99">
        <w:rPr>
          <w:lang w:val="en-US" w:eastAsia="zh-CN"/>
        </w:rPr>
        <w:t xml:space="preserve"> case, it is similar as </w:t>
      </w:r>
      <w:proofErr w:type="spellStart"/>
      <w:r w:rsidR="008A1C99">
        <w:rPr>
          <w:lang w:val="en-US" w:eastAsia="zh-CN"/>
        </w:rPr>
        <w:t>mDCI</w:t>
      </w:r>
      <w:proofErr w:type="spellEnd"/>
      <w:r w:rsidR="008A1C99">
        <w:rPr>
          <w:lang w:val="en-US" w:eastAsia="zh-CN"/>
        </w:rPr>
        <w:t xml:space="preserve"> for PDCCH, the TCI states for two PDSCH are independently configured. </w:t>
      </w:r>
    </w:p>
    <w:p w:rsidR="008A1C99" w:rsidRDefault="00CC150E" w:rsidP="00D0400B">
      <w:pPr>
        <w:rPr>
          <w:lang w:val="en-US" w:eastAsia="zh-CN"/>
        </w:rPr>
      </w:pPr>
      <w:r>
        <w:rPr>
          <w:lang w:val="en-US" w:eastAsia="zh-CN"/>
        </w:rPr>
        <w:t xml:space="preserve">Thus, based on the analysis above, to further clarify the intended scenario for dual TCI switching, it is proposed to clarify dual TCI state switching as: Dual TCI state switching refers to the case when two active TCI states with QCL </w:t>
      </w:r>
      <w:proofErr w:type="spellStart"/>
      <w:r>
        <w:rPr>
          <w:lang w:val="en-US" w:eastAsia="zh-CN"/>
        </w:rPr>
        <w:t>typeD</w:t>
      </w:r>
      <w:proofErr w:type="spellEnd"/>
      <w:r>
        <w:rPr>
          <w:lang w:val="en-US" w:eastAsia="zh-CN"/>
        </w:rPr>
        <w:t xml:space="preserve"> for simultaneous reception of PDCCH/PDSCH are involved before and/or after TCI switching command. Then single TCI to single TCI is precluded from the discussion. Another controversial discussion is about the definition of simultaneous reception. </w:t>
      </w:r>
    </w:p>
    <w:p w:rsidR="00CC150E" w:rsidRDefault="00CC150E" w:rsidP="00D0400B">
      <w:pPr>
        <w:rPr>
          <w:lang w:val="en-US" w:eastAsia="zh-CN"/>
        </w:rPr>
      </w:pPr>
      <w:r>
        <w:rPr>
          <w:lang w:val="en-US" w:eastAsia="zh-CN"/>
        </w:rPr>
        <w:t>There is related discussion in [</w:t>
      </w:r>
      <w:r w:rsidR="008B4C78">
        <w:rPr>
          <w:lang w:val="en-US" w:eastAsia="zh-CN"/>
        </w:rPr>
        <w:t>1</w:t>
      </w:r>
      <w:r>
        <w:rPr>
          <w:lang w:val="en-US" w:eastAsia="zh-CN"/>
        </w:rPr>
        <w:t>]</w:t>
      </w:r>
      <w:r w:rsidR="008B4C78">
        <w:rPr>
          <w:lang w:val="en-US" w:eastAsia="zh-CN"/>
        </w:rPr>
        <w:t xml:space="preserve"> which is shown as follows:</w:t>
      </w:r>
    </w:p>
    <w:tbl>
      <w:tblPr>
        <w:tblStyle w:val="TableGrid"/>
        <w:tblW w:w="0" w:type="auto"/>
        <w:tblLook w:val="04A0" w:firstRow="1" w:lastRow="0" w:firstColumn="1" w:lastColumn="0" w:noHBand="0" w:noVBand="1"/>
      </w:tblPr>
      <w:tblGrid>
        <w:gridCol w:w="9562"/>
      </w:tblGrid>
      <w:tr w:rsidR="008B4C78" w:rsidTr="008B4C78">
        <w:tc>
          <w:tcPr>
            <w:tcW w:w="9562" w:type="dxa"/>
          </w:tcPr>
          <w:p w:rsidR="008B4C78" w:rsidRDefault="008B4C78" w:rsidP="008B4C78">
            <w:pPr>
              <w:rPr>
                <w:rFonts w:eastAsia="宋体"/>
                <w:b/>
                <w:color w:val="000000" w:themeColor="text1"/>
                <w:u w:val="single"/>
                <w:lang w:eastAsia="ko-KR"/>
              </w:rPr>
            </w:pPr>
            <w:r>
              <w:rPr>
                <w:b/>
                <w:color w:val="000000" w:themeColor="text1"/>
                <w:u w:val="single"/>
                <w:lang w:eastAsia="ko-KR"/>
              </w:rPr>
              <w:lastRenderedPageBreak/>
              <w:t>Issue 1-2-1: Definition of “simultaneous reception”</w:t>
            </w:r>
          </w:p>
          <w:p w:rsidR="008B4C78" w:rsidRDefault="008B4C78" w:rsidP="008B4C78">
            <w:pPr>
              <w:pStyle w:val="ListParagraph"/>
              <w:numPr>
                <w:ilvl w:val="0"/>
                <w:numId w:val="16"/>
              </w:numPr>
              <w:autoSpaceDN w:val="0"/>
              <w:spacing w:after="120" w:line="256" w:lineRule="auto"/>
              <w:ind w:left="720" w:firstLineChars="0"/>
              <w:rPr>
                <w:rFonts w:eastAsia="宋体"/>
                <w:color w:val="000000" w:themeColor="text1"/>
                <w:szCs w:val="24"/>
                <w:lang w:eastAsia="zh-CN"/>
              </w:rPr>
            </w:pPr>
            <w:r>
              <w:rPr>
                <w:rFonts w:eastAsia="宋体"/>
                <w:color w:val="000000" w:themeColor="text1"/>
                <w:szCs w:val="24"/>
                <w:lang w:eastAsia="zh-CN"/>
              </w:rPr>
              <w:t>Proposals</w:t>
            </w:r>
          </w:p>
          <w:p w:rsidR="008B4C78" w:rsidRDefault="008B4C78" w:rsidP="008B4C78">
            <w:pPr>
              <w:pStyle w:val="ListParagraph"/>
              <w:numPr>
                <w:ilvl w:val="1"/>
                <w:numId w:val="16"/>
              </w:numPr>
              <w:autoSpaceDN w:val="0"/>
              <w:spacing w:after="120" w:line="256" w:lineRule="auto"/>
              <w:ind w:left="1440" w:firstLineChars="0"/>
              <w:rPr>
                <w:rFonts w:eastAsia="宋体"/>
                <w:color w:val="000000" w:themeColor="text1"/>
                <w:szCs w:val="24"/>
                <w:lang w:eastAsia="zh-CN"/>
              </w:rPr>
            </w:pPr>
            <w:r>
              <w:rPr>
                <w:rFonts w:eastAsia="宋体"/>
                <w:color w:val="000000" w:themeColor="text1"/>
                <w:szCs w:val="24"/>
                <w:lang w:eastAsia="zh-CN"/>
              </w:rPr>
              <w:t xml:space="preserve">Option 1 (Ericsson): In this WI, the two RSs are considered to be received simultaneously, if their instances are received in the same or overlapping OFDM symbols, which may occur in one, some, or all RS occasions during the measurement period. </w:t>
            </w:r>
          </w:p>
          <w:p w:rsidR="008B4C78" w:rsidRDefault="008B4C78" w:rsidP="008B4C78">
            <w:pPr>
              <w:pStyle w:val="ListParagraph"/>
              <w:numPr>
                <w:ilvl w:val="1"/>
                <w:numId w:val="16"/>
              </w:numPr>
              <w:autoSpaceDN w:val="0"/>
              <w:spacing w:after="120" w:line="256" w:lineRule="auto"/>
              <w:ind w:left="1440" w:firstLineChars="0"/>
              <w:rPr>
                <w:rFonts w:eastAsia="宋体"/>
                <w:color w:val="000000" w:themeColor="text1"/>
                <w:szCs w:val="24"/>
                <w:lang w:eastAsia="zh-CN"/>
              </w:rPr>
            </w:pPr>
            <w:r>
              <w:rPr>
                <w:rFonts w:eastAsia="宋体"/>
                <w:color w:val="000000" w:themeColor="text1"/>
                <w:szCs w:val="24"/>
                <w:lang w:eastAsia="zh-CN"/>
              </w:rPr>
              <w:t>Option 2 (Nokia): In this WI, the two RSs, RS and data, or 2 data signals, are considered to be received simultaneously, if their instances are received in the same or overlapping OFDM symbols, which may occur in one, some, or all RS occasions during the measurement period.</w:t>
            </w:r>
          </w:p>
          <w:p w:rsidR="008B4C78" w:rsidRDefault="008B4C78" w:rsidP="008B4C78">
            <w:pPr>
              <w:spacing w:afterLines="50" w:after="120"/>
              <w:rPr>
                <w:rFonts w:eastAsia="宋体"/>
                <w:b/>
                <w:bCs/>
                <w:szCs w:val="24"/>
                <w:lang w:eastAsia="zh-CN"/>
              </w:rPr>
            </w:pPr>
          </w:p>
          <w:p w:rsidR="008B4C78" w:rsidRDefault="008B4C78" w:rsidP="008B4C78">
            <w:pPr>
              <w:rPr>
                <w:b/>
                <w:color w:val="000000" w:themeColor="text1"/>
                <w:u w:val="single"/>
                <w:lang w:eastAsia="ko-KR"/>
              </w:rPr>
            </w:pPr>
            <w:r>
              <w:rPr>
                <w:b/>
                <w:color w:val="000000" w:themeColor="text1"/>
                <w:u w:val="single"/>
                <w:lang w:eastAsia="ko-KR"/>
              </w:rPr>
              <w:t>Issue 1-2-2: Scenarios for “simultaneous reception”</w:t>
            </w:r>
          </w:p>
          <w:p w:rsidR="008B4C78" w:rsidRDefault="008B4C78" w:rsidP="008B4C78">
            <w:pPr>
              <w:pStyle w:val="ListParagraph"/>
              <w:numPr>
                <w:ilvl w:val="0"/>
                <w:numId w:val="16"/>
              </w:numPr>
              <w:autoSpaceDN w:val="0"/>
              <w:spacing w:after="120" w:line="256" w:lineRule="auto"/>
              <w:ind w:left="720" w:firstLineChars="0"/>
              <w:rPr>
                <w:rFonts w:eastAsia="宋体"/>
                <w:color w:val="000000" w:themeColor="text1"/>
                <w:szCs w:val="24"/>
                <w:lang w:eastAsia="zh-CN"/>
              </w:rPr>
            </w:pPr>
            <w:r>
              <w:rPr>
                <w:rFonts w:eastAsia="宋体"/>
                <w:color w:val="000000" w:themeColor="text1"/>
                <w:szCs w:val="24"/>
                <w:lang w:eastAsia="zh-CN"/>
              </w:rPr>
              <w:t>Proposals</w:t>
            </w:r>
          </w:p>
          <w:p w:rsidR="008B4C78" w:rsidRDefault="008B4C78" w:rsidP="008B4C78">
            <w:pPr>
              <w:pStyle w:val="ListParagraph"/>
              <w:numPr>
                <w:ilvl w:val="1"/>
                <w:numId w:val="16"/>
              </w:numPr>
              <w:autoSpaceDN w:val="0"/>
              <w:spacing w:after="120" w:line="256" w:lineRule="auto"/>
              <w:ind w:left="1440" w:firstLineChars="0"/>
              <w:rPr>
                <w:rFonts w:eastAsia="宋体"/>
                <w:color w:val="000000" w:themeColor="text1"/>
                <w:szCs w:val="24"/>
                <w:lang w:eastAsia="zh-CN"/>
              </w:rPr>
            </w:pPr>
            <w:r>
              <w:rPr>
                <w:rFonts w:eastAsia="宋体"/>
                <w:color w:val="000000" w:themeColor="text1"/>
                <w:szCs w:val="24"/>
                <w:lang w:eastAsia="zh-CN"/>
              </w:rPr>
              <w:t xml:space="preserve">Option 1 (ZTE): Under the assumption of non-overlapped or very limited partial overlapped between the beam direction coverage of each panel, all following candidate combinations are possible: </w:t>
            </w:r>
          </w:p>
          <w:p w:rsidR="008B4C78" w:rsidRDefault="008B4C78" w:rsidP="008B4C78">
            <w:pPr>
              <w:pStyle w:val="ListParagraph"/>
              <w:numPr>
                <w:ilvl w:val="2"/>
                <w:numId w:val="16"/>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Simultaneous fine beam reception from panel A and fine beam reception from panel B</w:t>
            </w:r>
          </w:p>
          <w:p w:rsidR="008B4C78" w:rsidRDefault="008B4C78" w:rsidP="008B4C78">
            <w:pPr>
              <w:pStyle w:val="ListParagraph"/>
              <w:numPr>
                <w:ilvl w:val="2"/>
                <w:numId w:val="16"/>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Simultaneous coarse beam reception from panel A and coarse beam reception from panel B</w:t>
            </w:r>
          </w:p>
          <w:p w:rsidR="008B4C78" w:rsidRDefault="008B4C78" w:rsidP="008B4C78">
            <w:pPr>
              <w:pStyle w:val="ListParagraph"/>
              <w:numPr>
                <w:ilvl w:val="2"/>
                <w:numId w:val="16"/>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Simultaneous fine beam reception from panel A and coarse beam reception from panel B</w:t>
            </w:r>
          </w:p>
          <w:p w:rsidR="008B4C78" w:rsidRDefault="008B4C78" w:rsidP="008B4C78">
            <w:pPr>
              <w:pStyle w:val="ListParagraph"/>
              <w:numPr>
                <w:ilvl w:val="2"/>
                <w:numId w:val="16"/>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Simultaneous coarse beam reception from panel A and fine beam reception from panel B</w:t>
            </w:r>
          </w:p>
          <w:p w:rsidR="008B4C78" w:rsidRDefault="008B4C78" w:rsidP="008B4C78">
            <w:pPr>
              <w:pStyle w:val="ListParagraph"/>
              <w:numPr>
                <w:ilvl w:val="1"/>
                <w:numId w:val="16"/>
              </w:numPr>
              <w:autoSpaceDN w:val="0"/>
              <w:spacing w:after="120" w:line="256" w:lineRule="auto"/>
              <w:ind w:left="1440" w:firstLineChars="0"/>
              <w:rPr>
                <w:rFonts w:eastAsia="宋体"/>
                <w:color w:val="000000" w:themeColor="text1"/>
                <w:szCs w:val="24"/>
                <w:lang w:eastAsia="zh-CN"/>
              </w:rPr>
            </w:pPr>
            <w:r>
              <w:rPr>
                <w:rFonts w:eastAsia="宋体"/>
                <w:color w:val="000000" w:themeColor="text1"/>
                <w:szCs w:val="24"/>
                <w:lang w:eastAsia="zh-CN"/>
              </w:rPr>
              <w:t>Option 2 (Ericsson): RAN4 agrees on the deployment scenarios A-D for discussing the requirements for simultaneous reception from two different directions:</w:t>
            </w:r>
          </w:p>
          <w:p w:rsidR="008B4C78" w:rsidRDefault="008B4C78" w:rsidP="008B4C78">
            <w:pPr>
              <w:pStyle w:val="ListParagraph"/>
              <w:numPr>
                <w:ilvl w:val="2"/>
                <w:numId w:val="16"/>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Scenario A: simultaneous reception of RS0 and RS2, same TRP, same SSB index, same cell</w:t>
            </w:r>
          </w:p>
          <w:p w:rsidR="008B4C78" w:rsidRDefault="008B4C78" w:rsidP="008B4C78">
            <w:pPr>
              <w:pStyle w:val="ListParagraph"/>
              <w:numPr>
                <w:ilvl w:val="2"/>
                <w:numId w:val="16"/>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Scenario B: simultaneous reception of RS0 and RS10, different TRPs, same SSB index, same cell</w:t>
            </w:r>
          </w:p>
          <w:p w:rsidR="008B4C78" w:rsidRDefault="008B4C78" w:rsidP="008B4C78">
            <w:pPr>
              <w:pStyle w:val="ListParagraph"/>
              <w:numPr>
                <w:ilvl w:val="2"/>
                <w:numId w:val="16"/>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Scenario C: simultaneous reception of RS0 and RS3, same TRP, different SSBs, same cell</w:t>
            </w:r>
          </w:p>
          <w:p w:rsidR="008B4C78" w:rsidRPr="008B4C78" w:rsidRDefault="008B4C78" w:rsidP="00D0400B">
            <w:pPr>
              <w:pStyle w:val="ListParagraph"/>
              <w:numPr>
                <w:ilvl w:val="2"/>
                <w:numId w:val="16"/>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Scenario D: simultaneous reception of RS0 and RS13, different TRPs, different SSBs, same cell.</w:t>
            </w:r>
          </w:p>
        </w:tc>
      </w:tr>
    </w:tbl>
    <w:p w:rsidR="008B4C78" w:rsidRDefault="008B4C78" w:rsidP="00D0400B">
      <w:pPr>
        <w:rPr>
          <w:lang w:val="en-US" w:eastAsia="zh-CN"/>
        </w:rPr>
      </w:pPr>
    </w:p>
    <w:p w:rsidR="00AC7EBA" w:rsidRDefault="008B4C78" w:rsidP="00D0400B">
      <w:pPr>
        <w:rPr>
          <w:lang w:val="en-US" w:eastAsia="zh-CN"/>
        </w:rPr>
      </w:pPr>
      <w:r>
        <w:rPr>
          <w:lang w:val="en-US" w:eastAsia="zh-CN"/>
        </w:rPr>
        <w:t>If the target scenario for dual TCI switching is only for simultaneous reception where PDCCH/PDSCHs are fully or partial overlapping in time domain,</w:t>
      </w:r>
      <w:r w:rsidR="00AC7EBA">
        <w:rPr>
          <w:lang w:val="en-US" w:eastAsia="zh-CN"/>
        </w:rPr>
        <w:t xml:space="preserve"> some case can also be skipped. For instance, though UE is activated with two TCI states with QCL type D for PDSCHs, the PDSCH are not overlapping with each other, then UE is still active one beam at a time.</w:t>
      </w:r>
    </w:p>
    <w:p w:rsidR="00CC150E" w:rsidRPr="00AC7EBA" w:rsidRDefault="00CC150E" w:rsidP="00D0400B">
      <w:pPr>
        <w:rPr>
          <w:b/>
          <w:lang w:val="en-US" w:eastAsia="zh-CN"/>
        </w:rPr>
      </w:pPr>
      <w:r w:rsidRPr="00AC7EBA">
        <w:rPr>
          <w:b/>
          <w:lang w:val="en-US" w:eastAsia="zh-CN"/>
        </w:rPr>
        <w:t xml:space="preserve">Proposal 2: </w:t>
      </w:r>
      <w:r w:rsidR="00AC7EBA" w:rsidRPr="00AC7EBA">
        <w:rPr>
          <w:b/>
          <w:lang w:val="en-US" w:eastAsia="zh-CN"/>
        </w:rPr>
        <w:t xml:space="preserve">Dual TCI state switching refers to the case when two active TCI states with QCL </w:t>
      </w:r>
      <w:proofErr w:type="spellStart"/>
      <w:r w:rsidR="00AC7EBA" w:rsidRPr="00AC7EBA">
        <w:rPr>
          <w:b/>
          <w:lang w:val="en-US" w:eastAsia="zh-CN"/>
        </w:rPr>
        <w:t>typeD</w:t>
      </w:r>
      <w:proofErr w:type="spellEnd"/>
      <w:r w:rsidR="00AC7EBA" w:rsidRPr="00AC7EBA">
        <w:rPr>
          <w:b/>
          <w:lang w:val="en-US" w:eastAsia="zh-CN"/>
        </w:rPr>
        <w:t xml:space="preserve"> for simultaneous reception of PDCCH/PDSCH are involved before and/or after TCI switching command.</w:t>
      </w:r>
    </w:p>
    <w:p w:rsidR="00AC7EBA" w:rsidRDefault="00AC7EBA" w:rsidP="00D0400B">
      <w:pPr>
        <w:rPr>
          <w:lang w:val="en-US" w:eastAsia="zh-CN"/>
        </w:rPr>
      </w:pPr>
      <w:r>
        <w:rPr>
          <w:lang w:val="en-US" w:eastAsia="zh-CN"/>
        </w:rPr>
        <w:t>Regarding the known conditions, the status are summarized as follows:</w:t>
      </w:r>
    </w:p>
    <w:tbl>
      <w:tblPr>
        <w:tblStyle w:val="TableGrid"/>
        <w:tblW w:w="0" w:type="auto"/>
        <w:tblLook w:val="04A0" w:firstRow="1" w:lastRow="0" w:firstColumn="1" w:lastColumn="0" w:noHBand="0" w:noVBand="1"/>
      </w:tblPr>
      <w:tblGrid>
        <w:gridCol w:w="9562"/>
      </w:tblGrid>
      <w:tr w:rsidR="00AC7EBA" w:rsidTr="00AC7EBA">
        <w:tc>
          <w:tcPr>
            <w:tcW w:w="9562" w:type="dxa"/>
          </w:tcPr>
          <w:p w:rsidR="00AC7EBA" w:rsidRDefault="00AC7EBA" w:rsidP="00AC7EBA">
            <w:pPr>
              <w:rPr>
                <w:rFonts w:eastAsia="Times New Roman"/>
                <w:lang w:val="en-US" w:eastAsia="zh-CN"/>
              </w:rPr>
            </w:pPr>
            <w:r>
              <w:rPr>
                <w:sz w:val="24"/>
                <w:szCs w:val="16"/>
              </w:rPr>
              <w:t xml:space="preserve">Issue 1-2-3-1:  When two TCI states are switched simultaneously, known condition for the TCI states is:   </w:t>
            </w:r>
          </w:p>
          <w:p w:rsidR="00AC7EBA" w:rsidRDefault="00AC7EBA" w:rsidP="00AC7EBA">
            <w:pPr>
              <w:rPr>
                <w:rFonts w:eastAsia="Times New Roman"/>
                <w:i/>
                <w:u w:val="single"/>
                <w:lang w:val="en-US" w:eastAsia="zh-CN"/>
              </w:rPr>
            </w:pPr>
            <w:r>
              <w:rPr>
                <w:rFonts w:eastAsia="Times New Roman"/>
                <w:i/>
                <w:u w:val="single"/>
                <w:lang w:val="en-US" w:eastAsia="zh-CN"/>
              </w:rPr>
              <w:t>Candidate options for next meeting:</w:t>
            </w:r>
          </w:p>
          <w:p w:rsidR="00AC7EBA" w:rsidRDefault="00AC7EBA" w:rsidP="00AC7EBA">
            <w:pPr>
              <w:pStyle w:val="ListParagraph"/>
              <w:numPr>
                <w:ilvl w:val="1"/>
                <w:numId w:val="16"/>
              </w:numPr>
              <w:spacing w:after="120" w:line="256" w:lineRule="auto"/>
              <w:ind w:left="1440" w:firstLineChars="0"/>
              <w:rPr>
                <w:rFonts w:eastAsia="宋体"/>
                <w:i/>
                <w:szCs w:val="24"/>
                <w:lang w:eastAsia="zh-CN"/>
              </w:rPr>
            </w:pPr>
            <w:r>
              <w:rPr>
                <w:i/>
                <w:szCs w:val="24"/>
                <w:lang w:eastAsia="zh-CN"/>
              </w:rPr>
              <w:t xml:space="preserve">Option 1: For </w:t>
            </w:r>
            <w:proofErr w:type="spellStart"/>
            <w:r>
              <w:rPr>
                <w:i/>
                <w:szCs w:val="24"/>
                <w:lang w:eastAsia="zh-CN"/>
              </w:rPr>
              <w:t>sDCI</w:t>
            </w:r>
            <w:proofErr w:type="spellEnd"/>
            <w:r>
              <w:rPr>
                <w:i/>
                <w:szCs w:val="24"/>
                <w:lang w:eastAsia="zh-CN"/>
              </w:rPr>
              <w:t xml:space="preserve"> framework, TCI state pair can be either both known or both unknown  </w:t>
            </w:r>
          </w:p>
          <w:p w:rsidR="00AC7EBA" w:rsidRDefault="00AC7EBA" w:rsidP="00AC7EBA">
            <w:pPr>
              <w:pStyle w:val="ListParagraph"/>
              <w:numPr>
                <w:ilvl w:val="1"/>
                <w:numId w:val="16"/>
              </w:numPr>
              <w:spacing w:after="120" w:line="256" w:lineRule="auto"/>
              <w:ind w:left="1440" w:firstLineChars="0"/>
              <w:rPr>
                <w:i/>
                <w:szCs w:val="24"/>
                <w:lang w:eastAsia="zh-CN"/>
              </w:rPr>
            </w:pPr>
            <w:r>
              <w:rPr>
                <w:i/>
                <w:szCs w:val="24"/>
                <w:lang w:eastAsia="zh-CN"/>
              </w:rPr>
              <w:lastRenderedPageBreak/>
              <w:t xml:space="preserve">Option 2: Dual TCI states are independent, and each of the TCI state can be known or unknown. The definition of known/unknown for individual TCI state can follow R15/R16 definition.  </w:t>
            </w:r>
          </w:p>
          <w:p w:rsidR="00AC7EBA" w:rsidRDefault="00AC7EBA" w:rsidP="00AC7EBA">
            <w:pPr>
              <w:pStyle w:val="ListParagraph"/>
              <w:numPr>
                <w:ilvl w:val="1"/>
                <w:numId w:val="16"/>
              </w:numPr>
              <w:spacing w:after="120" w:line="256" w:lineRule="auto"/>
              <w:ind w:left="1440" w:firstLineChars="0"/>
              <w:rPr>
                <w:i/>
                <w:szCs w:val="24"/>
                <w:lang w:eastAsia="zh-CN"/>
              </w:rPr>
            </w:pPr>
            <w:r>
              <w:rPr>
                <w:i/>
                <w:szCs w:val="24"/>
                <w:lang w:eastAsia="zh-CN"/>
              </w:rPr>
              <w:t>Option 3: Following conditions shall be considered for the known conditions:</w:t>
            </w:r>
          </w:p>
          <w:p w:rsidR="00AC7EBA" w:rsidRDefault="00AC7EBA" w:rsidP="00AC7EBA">
            <w:pPr>
              <w:pStyle w:val="ListParagraph"/>
              <w:numPr>
                <w:ilvl w:val="2"/>
                <w:numId w:val="16"/>
              </w:numPr>
              <w:overflowPunct w:val="0"/>
              <w:autoSpaceDE w:val="0"/>
              <w:autoSpaceDN w:val="0"/>
              <w:adjustRightInd w:val="0"/>
              <w:spacing w:after="120" w:line="256" w:lineRule="auto"/>
              <w:ind w:firstLineChars="0"/>
              <w:textAlignment w:val="baseline"/>
              <w:rPr>
                <w:i/>
                <w:szCs w:val="24"/>
                <w:lang w:eastAsia="zh-CN"/>
              </w:rPr>
            </w:pPr>
            <w:r>
              <w:rPr>
                <w:i/>
                <w:szCs w:val="24"/>
                <w:lang w:eastAsia="zh-CN"/>
              </w:rPr>
              <w:t xml:space="preserve">The UE has sent at least one L1-RSRP report for the target TCI states before the TCI state switch command where the associated QCL type D RSs are reported within one group configured by groupBasedBeamReporting-r17. </w:t>
            </w:r>
          </w:p>
          <w:p w:rsidR="00AC7EBA" w:rsidRDefault="00AC7EBA" w:rsidP="00AC7EBA">
            <w:pPr>
              <w:pStyle w:val="ListParagraph"/>
              <w:numPr>
                <w:ilvl w:val="2"/>
                <w:numId w:val="16"/>
              </w:numPr>
              <w:spacing w:after="120" w:line="256" w:lineRule="auto"/>
              <w:ind w:firstLineChars="0"/>
              <w:rPr>
                <w:i/>
                <w:szCs w:val="24"/>
                <w:lang w:eastAsia="zh-CN"/>
              </w:rPr>
            </w:pPr>
            <w:r>
              <w:rPr>
                <w:i/>
                <w:szCs w:val="24"/>
                <w:lang w:eastAsia="zh-CN"/>
              </w:rPr>
              <w:t>The associated QCL type D RSs in target TCI states satisfy the conditions that the RSs are received from different panels, where the conditions shall follow RF conclusion.</w:t>
            </w:r>
          </w:p>
          <w:p w:rsidR="00AC7EBA" w:rsidRPr="00AC7EBA" w:rsidRDefault="00AC7EBA" w:rsidP="00D0400B">
            <w:pPr>
              <w:pStyle w:val="ListParagraph"/>
              <w:numPr>
                <w:ilvl w:val="1"/>
                <w:numId w:val="16"/>
              </w:numPr>
              <w:spacing w:after="120" w:line="256" w:lineRule="auto"/>
              <w:ind w:left="1440" w:firstLineChars="0"/>
              <w:rPr>
                <w:rFonts w:eastAsia="Times New Roman"/>
                <w:i/>
                <w:lang w:val="en-US" w:eastAsia="zh-CN"/>
              </w:rPr>
            </w:pPr>
            <w:r>
              <w:rPr>
                <w:rFonts w:eastAsia="Times New Roman"/>
                <w:i/>
                <w:lang w:val="en-US" w:eastAsia="zh-CN"/>
              </w:rPr>
              <w:t>Option 4: any other option, please specify</w:t>
            </w:r>
          </w:p>
        </w:tc>
      </w:tr>
    </w:tbl>
    <w:p w:rsidR="00AC7EBA" w:rsidRDefault="00AC7EBA" w:rsidP="00D0400B">
      <w:pPr>
        <w:rPr>
          <w:lang w:val="en-US" w:eastAsia="zh-CN"/>
        </w:rPr>
      </w:pPr>
    </w:p>
    <w:p w:rsidR="00AC7EBA" w:rsidRDefault="00AC7EBA" w:rsidP="00E56EE6">
      <w:pPr>
        <w:rPr>
          <w:lang w:val="en-US" w:eastAsia="zh-CN"/>
        </w:rPr>
      </w:pPr>
      <w:r>
        <w:rPr>
          <w:lang w:val="en-US" w:eastAsia="zh-CN"/>
        </w:rPr>
        <w:t>As commented in last meeting, the known conditions for Rle-18 dual TCI states switching are having different meaning than legacy single TCI state switching.</w:t>
      </w:r>
    </w:p>
    <w:p w:rsidR="002000BB" w:rsidRDefault="002000BB" w:rsidP="00E56EE6">
      <w:pPr>
        <w:rPr>
          <w:lang w:val="en-US" w:eastAsia="zh-CN"/>
        </w:rPr>
      </w:pPr>
      <w:r>
        <w:rPr>
          <w:lang w:val="en-US" w:eastAsia="zh-CN"/>
        </w:rPr>
        <w:t>Known conditions for legacy single TCI state switching:</w:t>
      </w:r>
    </w:p>
    <w:p w:rsidR="002000BB" w:rsidRPr="002000BB" w:rsidRDefault="002000BB" w:rsidP="002000BB">
      <w:pPr>
        <w:pStyle w:val="ListParagraph"/>
        <w:numPr>
          <w:ilvl w:val="0"/>
          <w:numId w:val="17"/>
        </w:numPr>
        <w:ind w:firstLineChars="0"/>
        <w:rPr>
          <w:lang w:val="en-US" w:eastAsia="zh-CN"/>
        </w:rPr>
      </w:pPr>
      <w:r>
        <w:rPr>
          <w:lang w:val="en-US" w:eastAsia="zh-CN"/>
        </w:rPr>
        <w:t xml:space="preserve">UE knows the beam of the target TCI states and no need to perform L1-RSRP measurement </w:t>
      </w:r>
    </w:p>
    <w:p w:rsidR="002000BB" w:rsidRDefault="002000BB" w:rsidP="00E56EE6">
      <w:pPr>
        <w:rPr>
          <w:lang w:val="en-US" w:eastAsia="zh-CN"/>
        </w:rPr>
      </w:pPr>
      <w:r>
        <w:rPr>
          <w:lang w:val="en-US" w:eastAsia="zh-CN"/>
        </w:rPr>
        <w:t>Known conditions for dual TCI states switching</w:t>
      </w:r>
    </w:p>
    <w:p w:rsidR="002000BB" w:rsidRDefault="002000BB" w:rsidP="002000BB">
      <w:pPr>
        <w:pStyle w:val="ListParagraph"/>
        <w:numPr>
          <w:ilvl w:val="0"/>
          <w:numId w:val="18"/>
        </w:numPr>
        <w:ind w:firstLineChars="0"/>
        <w:rPr>
          <w:lang w:val="en-US" w:eastAsia="zh-CN"/>
        </w:rPr>
      </w:pPr>
      <w:r>
        <w:rPr>
          <w:lang w:val="en-US" w:eastAsia="zh-CN"/>
        </w:rPr>
        <w:t xml:space="preserve">UE knows the beam pair of the target TCI states and no need to perform L1-RSRP measurement </w:t>
      </w:r>
    </w:p>
    <w:p w:rsidR="002000BB" w:rsidRPr="002000BB" w:rsidRDefault="002000BB" w:rsidP="002000BB">
      <w:pPr>
        <w:pStyle w:val="ListParagraph"/>
        <w:numPr>
          <w:ilvl w:val="0"/>
          <w:numId w:val="18"/>
        </w:numPr>
        <w:ind w:firstLineChars="0"/>
        <w:rPr>
          <w:lang w:val="en-US" w:eastAsia="zh-CN"/>
        </w:rPr>
      </w:pPr>
      <w:r>
        <w:rPr>
          <w:lang w:val="en-US" w:eastAsia="zh-CN"/>
        </w:rPr>
        <w:t xml:space="preserve">The configured two TCI states can be simultaneously received by UE. </w:t>
      </w:r>
    </w:p>
    <w:p w:rsidR="002000BB" w:rsidRPr="002000BB" w:rsidRDefault="002000BB" w:rsidP="00E56EE6">
      <w:pPr>
        <w:rPr>
          <w:b/>
          <w:lang w:val="en-US" w:eastAsia="zh-CN"/>
        </w:rPr>
      </w:pPr>
      <w:r w:rsidRPr="002000BB">
        <w:rPr>
          <w:b/>
          <w:lang w:val="en-US" w:eastAsia="zh-CN"/>
        </w:rPr>
        <w:t>Observation 4: The known conditions for dual TCI states switching serve following purpose:</w:t>
      </w:r>
    </w:p>
    <w:p w:rsidR="002000BB" w:rsidRPr="002000BB" w:rsidRDefault="002000BB" w:rsidP="002000BB">
      <w:pPr>
        <w:pStyle w:val="ListParagraph"/>
        <w:numPr>
          <w:ilvl w:val="0"/>
          <w:numId w:val="19"/>
        </w:numPr>
        <w:ind w:firstLineChars="0"/>
        <w:rPr>
          <w:b/>
          <w:lang w:val="en-US" w:eastAsia="zh-CN"/>
        </w:rPr>
      </w:pPr>
      <w:r w:rsidRPr="002000BB">
        <w:rPr>
          <w:b/>
          <w:lang w:val="en-US" w:eastAsia="zh-CN"/>
        </w:rPr>
        <w:t xml:space="preserve">UE knows the beam pair of the target TCI states and no need to perform L1-RSRP measurement </w:t>
      </w:r>
    </w:p>
    <w:p w:rsidR="002000BB" w:rsidRPr="002000BB" w:rsidRDefault="002000BB" w:rsidP="002000BB">
      <w:pPr>
        <w:pStyle w:val="ListParagraph"/>
        <w:numPr>
          <w:ilvl w:val="0"/>
          <w:numId w:val="19"/>
        </w:numPr>
        <w:ind w:firstLineChars="0"/>
        <w:rPr>
          <w:b/>
          <w:lang w:val="en-US" w:eastAsia="zh-CN"/>
        </w:rPr>
      </w:pPr>
      <w:r w:rsidRPr="002000BB">
        <w:rPr>
          <w:b/>
          <w:lang w:val="en-US" w:eastAsia="zh-CN"/>
        </w:rPr>
        <w:t xml:space="preserve">The configured two TCI states can be simultaneously received by UE. </w:t>
      </w:r>
    </w:p>
    <w:p w:rsidR="002000BB" w:rsidRDefault="002000BB" w:rsidP="00E56EE6">
      <w:pPr>
        <w:rPr>
          <w:lang w:val="en-US" w:eastAsia="zh-CN"/>
        </w:rPr>
      </w:pPr>
      <w:r>
        <w:rPr>
          <w:lang w:val="en-US" w:eastAsia="zh-CN"/>
        </w:rPr>
        <w:t xml:space="preserve">For instance, based on the legacy known conditions for single TCI switching, if UE has measured target RS individually, then UE is aware of the beam of each TCI states. However, it is possible that these two TCI states cannot be simultaneously received by the UE, then even they are all fulfilling the known conditions, </w:t>
      </w:r>
      <w:r w:rsidR="000344E2">
        <w:rPr>
          <w:lang w:val="en-US" w:eastAsia="zh-CN"/>
        </w:rPr>
        <w:t>UE cannot perform correct reception using these two TCI states. Based on agreement in RAN1 in R16, it is up to UE implementation to handle the case.</w:t>
      </w:r>
    </w:p>
    <w:p w:rsidR="000344E2" w:rsidRDefault="000344E2" w:rsidP="00E56EE6">
      <w:pPr>
        <w:rPr>
          <w:b/>
          <w:lang w:val="en-US" w:eastAsia="zh-CN"/>
        </w:rPr>
      </w:pPr>
      <w:r w:rsidRPr="000344E2">
        <w:rPr>
          <w:b/>
          <w:lang w:val="en-US" w:eastAsia="zh-CN"/>
        </w:rPr>
        <w:t>Observation 5: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rsidR="000344E2" w:rsidRDefault="000344E2" w:rsidP="00E56EE6">
      <w:pPr>
        <w:rPr>
          <w:lang w:val="en-US" w:eastAsia="zh-CN"/>
        </w:rPr>
      </w:pPr>
      <w:r w:rsidRPr="000344E2">
        <w:rPr>
          <w:lang w:val="en-US" w:eastAsia="zh-CN"/>
        </w:rPr>
        <w:t xml:space="preserve">Based on the analysis above, the </w:t>
      </w:r>
      <w:r>
        <w:rPr>
          <w:lang w:val="en-US" w:eastAsia="zh-CN"/>
        </w:rPr>
        <w:t>known conditions are proposed as follows:</w:t>
      </w:r>
    </w:p>
    <w:p w:rsidR="000344E2" w:rsidRPr="000344E2" w:rsidRDefault="000344E2" w:rsidP="00E56EE6">
      <w:pPr>
        <w:rPr>
          <w:b/>
          <w:lang w:val="en-US" w:eastAsia="zh-CN"/>
        </w:rPr>
      </w:pPr>
      <w:r w:rsidRPr="000344E2">
        <w:rPr>
          <w:b/>
          <w:lang w:val="en-US" w:eastAsia="zh-CN"/>
        </w:rPr>
        <w:t xml:space="preserve">Proposal 3: </w:t>
      </w:r>
    </w:p>
    <w:p w:rsidR="000344E2" w:rsidRPr="000344E2" w:rsidRDefault="000344E2" w:rsidP="000344E2">
      <w:pPr>
        <w:rPr>
          <w:b/>
          <w:lang w:eastAsia="zh-CN"/>
        </w:rPr>
      </w:pPr>
      <w:r w:rsidRPr="000344E2">
        <w:rPr>
          <w:b/>
          <w:lang w:eastAsia="zh-CN"/>
        </w:rPr>
        <w:t>Following conditions shall be considered for the known conditions:</w:t>
      </w:r>
    </w:p>
    <w:p w:rsidR="000344E2" w:rsidRPr="000344E2" w:rsidRDefault="000344E2" w:rsidP="000344E2">
      <w:pPr>
        <w:pStyle w:val="ListParagraph"/>
        <w:numPr>
          <w:ilvl w:val="0"/>
          <w:numId w:val="20"/>
        </w:numPr>
        <w:ind w:firstLineChars="0"/>
        <w:rPr>
          <w:b/>
          <w:lang w:eastAsia="zh-CN"/>
        </w:rPr>
      </w:pPr>
      <w:r w:rsidRPr="000344E2">
        <w:rPr>
          <w:b/>
          <w:lang w:eastAsia="zh-CN"/>
        </w:rPr>
        <w:t xml:space="preserve">The UE has sent at least one L1-RSRP report for the target TCI states before the TCI state switch command where the associated QCL type D RSs are reported within one group configured by groupBasedBeamReporting-r17. </w:t>
      </w:r>
    </w:p>
    <w:p w:rsidR="000344E2" w:rsidRPr="000344E2" w:rsidRDefault="000344E2" w:rsidP="000344E2">
      <w:pPr>
        <w:pStyle w:val="ListParagraph"/>
        <w:numPr>
          <w:ilvl w:val="0"/>
          <w:numId w:val="20"/>
        </w:numPr>
        <w:ind w:firstLineChars="0"/>
        <w:rPr>
          <w:b/>
          <w:lang w:eastAsia="zh-CN"/>
        </w:rPr>
      </w:pPr>
      <w:r w:rsidRPr="000344E2">
        <w:rPr>
          <w:b/>
          <w:lang w:eastAsia="zh-CN"/>
        </w:rPr>
        <w:t>The associated QCL type D RSs in target TCI states satisfy the conditions that the RSs are received from different panels, where the conditions shall follow RF conclusion.</w:t>
      </w:r>
    </w:p>
    <w:p w:rsidR="00BE512F" w:rsidRPr="00D8753F" w:rsidRDefault="00D8753F" w:rsidP="00C6099D">
      <w:pPr>
        <w:rPr>
          <w:rFonts w:eastAsiaTheme="minorEastAsia"/>
          <w:lang w:eastAsia="zh-CN"/>
        </w:rPr>
      </w:pPr>
      <w:r w:rsidRPr="00D8753F">
        <w:rPr>
          <w:rFonts w:eastAsiaTheme="minorEastAsia"/>
          <w:lang w:eastAsia="zh-CN"/>
        </w:rPr>
        <w:t>There were very initial discussion on detailed requirements for dual TCI switching, as could be observed from above analysis, it is still premature to discuss such details with the scope and scenario are still not clear. Thus, it is proposed that the detailed requirements for dual TCI switching can be discussed after the scope of dual TCI switching is clarified.</w:t>
      </w:r>
    </w:p>
    <w:p w:rsidR="006B2B9B" w:rsidRPr="006B2B9B" w:rsidRDefault="006B2B9B" w:rsidP="00D8753F">
      <w:pPr>
        <w:rPr>
          <w:rFonts w:eastAsiaTheme="minorEastAsia"/>
          <w:b/>
          <w:lang w:eastAsia="zh-CN"/>
        </w:rPr>
      </w:pPr>
      <w:r w:rsidRPr="006B2B9B">
        <w:rPr>
          <w:rFonts w:eastAsiaTheme="minorEastAsia"/>
          <w:b/>
          <w:lang w:eastAsia="zh-CN"/>
        </w:rPr>
        <w:t>Proposal 4: The detailed requirements for dual TCI switching can be discussed after the scope of dual TCI switching is clarified.</w:t>
      </w:r>
    </w:p>
    <w:p w:rsidR="00D8753F" w:rsidRDefault="000B707B" w:rsidP="00C6099D">
      <w:pPr>
        <w:rPr>
          <w:rFonts w:eastAsiaTheme="minorEastAsia"/>
          <w:lang w:eastAsia="zh-CN"/>
        </w:rPr>
      </w:pPr>
      <w:r w:rsidRPr="000B707B">
        <w:rPr>
          <w:rFonts w:eastAsiaTheme="minorEastAsia"/>
          <w:lang w:eastAsia="zh-CN"/>
        </w:rPr>
        <w:lastRenderedPageBreak/>
        <w:t>There was also discussion on active TCI state list updating, and companies proposed detailed action about the updating, e.g. addition/removal. From our understanding, the legacy requirements for active TCI state li</w:t>
      </w:r>
      <w:r w:rsidR="00737D76">
        <w:rPr>
          <w:rFonts w:eastAsiaTheme="minorEastAsia"/>
          <w:lang w:eastAsia="zh-CN"/>
        </w:rPr>
        <w:t>st updating is referring to following procedure in TS 38.321. The TCI list updating is up to NW configuration and there is no need to further define the requirements for one particular updating action.</w:t>
      </w:r>
    </w:p>
    <w:tbl>
      <w:tblPr>
        <w:tblStyle w:val="TableGrid"/>
        <w:tblW w:w="0" w:type="auto"/>
        <w:tblLook w:val="04A0" w:firstRow="1" w:lastRow="0" w:firstColumn="1" w:lastColumn="0" w:noHBand="0" w:noVBand="1"/>
      </w:tblPr>
      <w:tblGrid>
        <w:gridCol w:w="9562"/>
      </w:tblGrid>
      <w:tr w:rsidR="00737D76" w:rsidTr="00737D76">
        <w:tc>
          <w:tcPr>
            <w:tcW w:w="9562" w:type="dxa"/>
          </w:tcPr>
          <w:p w:rsidR="00737D76" w:rsidRDefault="00737D76" w:rsidP="00737D76">
            <w:pPr>
              <w:pStyle w:val="Heading3"/>
              <w:rPr>
                <w:rFonts w:eastAsia="Times New Roman"/>
                <w:lang w:eastAsia="ko-KR"/>
              </w:rPr>
            </w:pPr>
            <w:bookmarkStart w:id="2" w:name="_Toc115557929"/>
            <w:bookmarkStart w:id="3" w:name="_Toc52796512"/>
            <w:bookmarkStart w:id="4" w:name="_Toc52752050"/>
            <w:bookmarkStart w:id="5" w:name="_Toc46490355"/>
            <w:bookmarkStart w:id="6" w:name="_Toc37296228"/>
            <w:bookmarkStart w:id="7" w:name="_Toc29239866"/>
            <w:r>
              <w:rPr>
                <w:lang w:eastAsia="ko-KR"/>
              </w:rPr>
              <w:t>5.18.4</w:t>
            </w:r>
            <w:r>
              <w:rPr>
                <w:lang w:eastAsia="ko-KR"/>
              </w:rPr>
              <w:tab/>
              <w:t>Activation/Deactivation of UE-specific PDSCH TCI state</w:t>
            </w:r>
            <w:bookmarkEnd w:id="2"/>
            <w:bookmarkEnd w:id="3"/>
            <w:bookmarkEnd w:id="4"/>
            <w:bookmarkEnd w:id="5"/>
            <w:bookmarkEnd w:id="6"/>
            <w:bookmarkEnd w:id="7"/>
          </w:p>
          <w:p w:rsidR="00737D76" w:rsidRPr="00737D76" w:rsidRDefault="00737D76" w:rsidP="00C6099D">
            <w:pPr>
              <w:rPr>
                <w:lang w:eastAsia="ko-KR"/>
              </w:rPr>
            </w:pPr>
            <w:r>
              <w:rPr>
                <w:lang w:eastAsia="ko-KR"/>
              </w:rPr>
              <w:t>The network may activate and deactivate the config</w:t>
            </w:r>
            <w:r>
              <w:rPr>
                <w:rFonts w:eastAsia="宋体"/>
                <w:lang w:eastAsia="zh-CN"/>
              </w:rPr>
              <w:t>u</w:t>
            </w:r>
            <w:r>
              <w:rPr>
                <w:lang w:eastAsia="ko-KR"/>
              </w:rPr>
              <w:t xml:space="preserve">red TCI states for PDSCH of a Serving Cell </w:t>
            </w:r>
            <w:r>
              <w:rPr>
                <w:rFonts w:eastAsia="Malgun Gothic"/>
                <w:lang w:eastAsia="ko-KR"/>
              </w:rPr>
              <w:t xml:space="preserve">or a set of Serving Cells configured in </w:t>
            </w:r>
            <w:r>
              <w:rPr>
                <w:rFonts w:eastAsia="Malgun Gothic"/>
                <w:i/>
                <w:iCs/>
                <w:lang w:eastAsia="ko-KR"/>
              </w:rPr>
              <w:t>simultaneousTCI-UpdateList1</w:t>
            </w:r>
            <w:r>
              <w:rPr>
                <w:rFonts w:eastAsia="Malgun Gothic"/>
                <w:lang w:eastAsia="ko-KR"/>
              </w:rPr>
              <w:t xml:space="preserve"> or </w:t>
            </w:r>
            <w:r>
              <w:rPr>
                <w:rFonts w:eastAsia="Malgun Gothic"/>
                <w:i/>
                <w:iCs/>
                <w:lang w:eastAsia="ko-KR"/>
              </w:rPr>
              <w:t>simultaneousTCI-UpdateList2</w:t>
            </w:r>
            <w:r>
              <w:rPr>
                <w:rFonts w:eastAsia="Malgun Gothic"/>
                <w:iCs/>
                <w:lang w:eastAsia="ko-KR"/>
              </w:rPr>
              <w:t xml:space="preserve"> </w:t>
            </w:r>
            <w:r>
              <w:rPr>
                <w:lang w:eastAsia="ko-KR"/>
              </w:rPr>
              <w:t>by sending the TCI States Activation/Deactivation for UE-specific PDSCH MAC CE described in clause 6.1.3.14. The network may activate and deactivate the config</w:t>
            </w:r>
            <w:r>
              <w:t>u</w:t>
            </w:r>
            <w:r>
              <w:rPr>
                <w:lang w:eastAsia="ko-KR"/>
              </w:rPr>
              <w:t xml:space="preserve">red TCI states for a </w:t>
            </w:r>
            <w:proofErr w:type="spellStart"/>
            <w:r>
              <w:rPr>
                <w:lang w:eastAsia="ko-KR"/>
              </w:rPr>
              <w:t>codepoint</w:t>
            </w:r>
            <w:proofErr w:type="spellEnd"/>
            <w:r>
              <w:rPr>
                <w:lang w:eastAsia="ko-KR"/>
              </w:rPr>
              <w:t xml:space="preserve"> of the DCI </w:t>
            </w:r>
            <w:r>
              <w:rPr>
                <w:i/>
              </w:rPr>
              <w:t>Transmission configuration indication</w:t>
            </w:r>
            <w:r>
              <w:rPr>
                <w:lang w:eastAsia="ko-KR"/>
              </w:rPr>
              <w:t xml:space="preserve"> field</w:t>
            </w:r>
            <w:r>
              <w:t xml:space="preserve"> as specified in TS 38.212 [9]</w:t>
            </w:r>
            <w:r>
              <w:rPr>
                <w:lang w:eastAsia="ko-KR"/>
              </w:rPr>
              <w:t xml:space="preserve"> for PDSCH of a Serving Cell by sending the Enhanced TCI States Activation/Deactivation for UE-specific PDSCH MAC CE described in clause 6.1.3.24. The configured TCI states for PDSCH are initially deactivated upon (re-)configuration by upper layers and after reconfiguration with sync.</w:t>
            </w:r>
          </w:p>
        </w:tc>
      </w:tr>
    </w:tbl>
    <w:p w:rsidR="00737D76" w:rsidRDefault="00737D76" w:rsidP="00C6099D">
      <w:pPr>
        <w:rPr>
          <w:rFonts w:eastAsiaTheme="minorEastAsia"/>
          <w:lang w:eastAsia="zh-CN"/>
        </w:rPr>
      </w:pPr>
    </w:p>
    <w:p w:rsidR="00737D76" w:rsidRPr="002A45BF" w:rsidRDefault="00737D76" w:rsidP="00C6099D">
      <w:pPr>
        <w:rPr>
          <w:rFonts w:eastAsiaTheme="minorEastAsia"/>
          <w:b/>
          <w:lang w:eastAsia="zh-CN"/>
        </w:rPr>
      </w:pPr>
      <w:r w:rsidRPr="002A45BF">
        <w:rPr>
          <w:rFonts w:eastAsiaTheme="minorEastAsia"/>
          <w:b/>
          <w:lang w:eastAsia="zh-CN"/>
        </w:rPr>
        <w:t xml:space="preserve">Proposal 5: RAN4 to discuss the </w:t>
      </w:r>
      <w:r w:rsidRPr="002A45BF">
        <w:rPr>
          <w:rFonts w:eastAsiaTheme="minorEastAsia"/>
          <w:b/>
          <w:lang w:val="en-US" w:eastAsia="zh-CN"/>
        </w:rPr>
        <w:t xml:space="preserve">active TCI state list update delay considering dual TCI state based on </w:t>
      </w:r>
      <w:r w:rsidR="002A45BF" w:rsidRPr="002A45BF">
        <w:rPr>
          <w:rFonts w:eastAsiaTheme="minorEastAsia"/>
          <w:b/>
          <w:lang w:val="en-US" w:eastAsia="zh-CN"/>
        </w:rPr>
        <w:t>Activation/Deactivation of UE-specific PDSCH TCI state described in RAN2 spec.</w:t>
      </w:r>
    </w:p>
    <w:p w:rsidR="000B707B" w:rsidRPr="000B707B" w:rsidRDefault="000B707B" w:rsidP="00C6099D">
      <w:pPr>
        <w:rPr>
          <w:rFonts w:eastAsiaTheme="minorEastAsia"/>
          <w:lang w:eastAsia="zh-CN"/>
        </w:rPr>
      </w:pPr>
    </w:p>
    <w:p w:rsidR="00DF0231" w:rsidRDefault="00DF0231" w:rsidP="00DF0231">
      <w:pPr>
        <w:pStyle w:val="Heading1"/>
        <w:numPr>
          <w:ilvl w:val="0"/>
          <w:numId w:val="1"/>
        </w:numPr>
        <w:rPr>
          <w:lang w:val="en-US"/>
        </w:rPr>
      </w:pPr>
      <w:r w:rsidRPr="002D2977">
        <w:rPr>
          <w:lang w:val="en-US"/>
        </w:rPr>
        <w:t>Conclusions</w:t>
      </w:r>
    </w:p>
    <w:p w:rsidR="002A45BF" w:rsidRPr="005943F8" w:rsidRDefault="002A45BF" w:rsidP="002A45BF">
      <w:pPr>
        <w:rPr>
          <w:b/>
          <w:lang w:val="en-US"/>
        </w:rPr>
      </w:pPr>
      <w:r w:rsidRPr="005943F8">
        <w:rPr>
          <w:b/>
          <w:lang w:val="en-US"/>
        </w:rPr>
        <w:t xml:space="preserve">Observation 1: Multiple DCI is also import to be considered for Non-ideal backhaul scenario when UE is capable of multi RX chain. </w:t>
      </w:r>
    </w:p>
    <w:p w:rsidR="002A45BF" w:rsidRPr="005943F8" w:rsidRDefault="002A45BF" w:rsidP="002A45BF">
      <w:pPr>
        <w:rPr>
          <w:b/>
          <w:lang w:val="en-US"/>
        </w:rPr>
      </w:pPr>
      <w:r w:rsidRPr="005943F8">
        <w:rPr>
          <w:b/>
          <w:lang w:val="en-US"/>
        </w:rPr>
        <w:t xml:space="preserve">Observation 2: For multiple DCI case, it is possible that </w:t>
      </w:r>
      <w:proofErr w:type="spellStart"/>
      <w:r w:rsidRPr="005943F8">
        <w:rPr>
          <w:b/>
          <w:lang w:val="en-US"/>
        </w:rPr>
        <w:t>gNB</w:t>
      </w:r>
      <w:proofErr w:type="spellEnd"/>
      <w:r w:rsidRPr="005943F8">
        <w:rPr>
          <w:b/>
          <w:lang w:val="en-US"/>
        </w:rPr>
        <w:t xml:space="preserve"> commands the TCI switching for only one of the TRP or the TCI switching for two TRP can be scheduled simultaneously.</w:t>
      </w:r>
    </w:p>
    <w:p w:rsidR="002A45BF" w:rsidRDefault="002A45BF" w:rsidP="002A45BF">
      <w:pPr>
        <w:rPr>
          <w:b/>
          <w:lang w:val="en-US"/>
        </w:rPr>
      </w:pPr>
      <w:r w:rsidRPr="005943F8">
        <w:rPr>
          <w:b/>
          <w:lang w:val="en-US"/>
        </w:rPr>
        <w:t>Observation 3: From TCI switching requirement perspective, the only difference could be the QCL source of TCI for inter-cell is the SSB with additional PCI.</w:t>
      </w:r>
    </w:p>
    <w:p w:rsidR="002A45BF" w:rsidRPr="00C51B61" w:rsidRDefault="002A45BF" w:rsidP="002A45BF">
      <w:pPr>
        <w:rPr>
          <w:b/>
          <w:lang w:val="en-US" w:eastAsia="zh-CN"/>
        </w:rPr>
      </w:pPr>
      <w:r w:rsidRPr="00C51B61">
        <w:rPr>
          <w:b/>
          <w:lang w:val="en-US" w:eastAsia="zh-CN"/>
        </w:rPr>
        <w:t xml:space="preserve">Proposal 1: From </w:t>
      </w:r>
      <w:proofErr w:type="spellStart"/>
      <w:r w:rsidRPr="00C51B61">
        <w:rPr>
          <w:b/>
          <w:lang w:val="en-US" w:eastAsia="zh-CN"/>
        </w:rPr>
        <w:t>gNB</w:t>
      </w:r>
      <w:proofErr w:type="spellEnd"/>
      <w:r w:rsidRPr="00C51B61">
        <w:rPr>
          <w:b/>
          <w:lang w:val="en-US" w:eastAsia="zh-CN"/>
        </w:rPr>
        <w:t xml:space="preserve"> configuration perspective, each of two TCI states can be configured independently. From TCI state switching perspective, whether UE can perform two TCI state switching independently depends on the conditions under discussion in RRM and RF (e.g. known conditions, </w:t>
      </w:r>
      <w:proofErr w:type="spellStart"/>
      <w:r w:rsidRPr="00C51B61">
        <w:rPr>
          <w:b/>
          <w:lang w:val="en-US" w:eastAsia="zh-CN"/>
        </w:rPr>
        <w:t>AoA</w:t>
      </w:r>
      <w:proofErr w:type="spellEnd"/>
      <w:r w:rsidRPr="00C51B61">
        <w:rPr>
          <w:b/>
          <w:lang w:val="en-US" w:eastAsia="zh-CN"/>
        </w:rPr>
        <w:t xml:space="preserve"> separation)</w:t>
      </w:r>
    </w:p>
    <w:p w:rsidR="002A45BF" w:rsidRPr="00AC7EBA" w:rsidRDefault="002A45BF" w:rsidP="002A45BF">
      <w:pPr>
        <w:rPr>
          <w:b/>
          <w:lang w:val="en-US" w:eastAsia="zh-CN"/>
        </w:rPr>
      </w:pPr>
      <w:r w:rsidRPr="00AC7EBA">
        <w:rPr>
          <w:b/>
          <w:lang w:val="en-US" w:eastAsia="zh-CN"/>
        </w:rPr>
        <w:t xml:space="preserve">Proposal 2: Dual TCI state switching refers to the case when two active TCI states with QCL </w:t>
      </w:r>
      <w:proofErr w:type="spellStart"/>
      <w:r w:rsidRPr="00AC7EBA">
        <w:rPr>
          <w:b/>
          <w:lang w:val="en-US" w:eastAsia="zh-CN"/>
        </w:rPr>
        <w:t>typeD</w:t>
      </w:r>
      <w:proofErr w:type="spellEnd"/>
      <w:r w:rsidRPr="00AC7EBA">
        <w:rPr>
          <w:b/>
          <w:lang w:val="en-US" w:eastAsia="zh-CN"/>
        </w:rPr>
        <w:t xml:space="preserve"> for simultaneous reception of PDCCH/PDSCH are involved before and/or after TCI switching command.</w:t>
      </w:r>
    </w:p>
    <w:p w:rsidR="002A45BF" w:rsidRPr="002000BB" w:rsidRDefault="002A45BF" w:rsidP="002A45BF">
      <w:pPr>
        <w:rPr>
          <w:b/>
          <w:lang w:val="en-US" w:eastAsia="zh-CN"/>
        </w:rPr>
      </w:pPr>
      <w:r w:rsidRPr="002000BB">
        <w:rPr>
          <w:b/>
          <w:lang w:val="en-US" w:eastAsia="zh-CN"/>
        </w:rPr>
        <w:t>Observation 4: The known conditions for dual TCI states switching serve following purpose:</w:t>
      </w:r>
    </w:p>
    <w:p w:rsidR="002A45BF" w:rsidRPr="002000BB" w:rsidRDefault="002A45BF" w:rsidP="002A45BF">
      <w:pPr>
        <w:pStyle w:val="ListParagraph"/>
        <w:numPr>
          <w:ilvl w:val="0"/>
          <w:numId w:val="19"/>
        </w:numPr>
        <w:ind w:firstLineChars="0"/>
        <w:rPr>
          <w:b/>
          <w:lang w:val="en-US" w:eastAsia="zh-CN"/>
        </w:rPr>
      </w:pPr>
      <w:r w:rsidRPr="002000BB">
        <w:rPr>
          <w:b/>
          <w:lang w:val="en-US" w:eastAsia="zh-CN"/>
        </w:rPr>
        <w:t xml:space="preserve">UE knows the beam pair of the target TCI states and no need to perform L1-RSRP measurement </w:t>
      </w:r>
    </w:p>
    <w:p w:rsidR="002A45BF" w:rsidRPr="002000BB" w:rsidRDefault="002A45BF" w:rsidP="002A45BF">
      <w:pPr>
        <w:pStyle w:val="ListParagraph"/>
        <w:numPr>
          <w:ilvl w:val="0"/>
          <w:numId w:val="19"/>
        </w:numPr>
        <w:ind w:firstLineChars="0"/>
        <w:rPr>
          <w:b/>
          <w:lang w:val="en-US" w:eastAsia="zh-CN"/>
        </w:rPr>
      </w:pPr>
      <w:r w:rsidRPr="002000BB">
        <w:rPr>
          <w:b/>
          <w:lang w:val="en-US" w:eastAsia="zh-CN"/>
        </w:rPr>
        <w:t xml:space="preserve">The configured two TCI states can be simultaneously received by UE. </w:t>
      </w:r>
    </w:p>
    <w:p w:rsidR="002A45BF" w:rsidRDefault="002A45BF" w:rsidP="002A45BF">
      <w:pPr>
        <w:rPr>
          <w:b/>
          <w:lang w:val="en-US" w:eastAsia="zh-CN"/>
        </w:rPr>
      </w:pPr>
      <w:r w:rsidRPr="000344E2">
        <w:rPr>
          <w:b/>
          <w:lang w:val="en-US" w:eastAsia="zh-CN"/>
        </w:rPr>
        <w:t>Observation 5: Based on legacy requirements, even the two TCI states can fulfill the known conditions, it is still possible that the indicated two TCI states cannot be received by a UE simultaneously which is up to UE implementation to handle the case, and the behavior cannot be verified.</w:t>
      </w:r>
    </w:p>
    <w:p w:rsidR="002A45BF" w:rsidRPr="000344E2" w:rsidRDefault="002A45BF" w:rsidP="002A45BF">
      <w:pPr>
        <w:rPr>
          <w:b/>
          <w:lang w:val="en-US" w:eastAsia="zh-CN"/>
        </w:rPr>
      </w:pPr>
      <w:r w:rsidRPr="000344E2">
        <w:rPr>
          <w:b/>
          <w:lang w:val="en-US" w:eastAsia="zh-CN"/>
        </w:rPr>
        <w:t xml:space="preserve">Proposal 3: </w:t>
      </w:r>
    </w:p>
    <w:p w:rsidR="002A45BF" w:rsidRPr="000344E2" w:rsidRDefault="002A45BF" w:rsidP="002A45BF">
      <w:pPr>
        <w:rPr>
          <w:b/>
          <w:lang w:eastAsia="zh-CN"/>
        </w:rPr>
      </w:pPr>
      <w:r w:rsidRPr="000344E2">
        <w:rPr>
          <w:b/>
          <w:lang w:eastAsia="zh-CN"/>
        </w:rPr>
        <w:t>Following conditions shall be considered for the known conditions:</w:t>
      </w:r>
    </w:p>
    <w:p w:rsidR="002A45BF" w:rsidRPr="000344E2" w:rsidRDefault="002A45BF" w:rsidP="002A45BF">
      <w:pPr>
        <w:pStyle w:val="ListParagraph"/>
        <w:numPr>
          <w:ilvl w:val="0"/>
          <w:numId w:val="20"/>
        </w:numPr>
        <w:ind w:firstLineChars="0"/>
        <w:rPr>
          <w:b/>
          <w:lang w:eastAsia="zh-CN"/>
        </w:rPr>
      </w:pPr>
      <w:r w:rsidRPr="000344E2">
        <w:rPr>
          <w:b/>
          <w:lang w:eastAsia="zh-CN"/>
        </w:rPr>
        <w:t xml:space="preserve">The UE has sent at least one L1-RSRP report for the target TCI states before the TCI state switch command where the associated QCL type D RSs are reported within one group configured by groupBasedBeamReporting-r17. </w:t>
      </w:r>
    </w:p>
    <w:p w:rsidR="002A45BF" w:rsidRPr="000344E2" w:rsidRDefault="002A45BF" w:rsidP="002A45BF">
      <w:pPr>
        <w:pStyle w:val="ListParagraph"/>
        <w:numPr>
          <w:ilvl w:val="0"/>
          <w:numId w:val="20"/>
        </w:numPr>
        <w:ind w:firstLineChars="0"/>
        <w:rPr>
          <w:b/>
          <w:lang w:eastAsia="zh-CN"/>
        </w:rPr>
      </w:pPr>
      <w:r w:rsidRPr="000344E2">
        <w:rPr>
          <w:b/>
          <w:lang w:eastAsia="zh-CN"/>
        </w:rPr>
        <w:t>The associated QCL type D RSs in target TCI states satisfy the conditions that the RSs are received from different panels, where the conditions shall follow RF conclusion.</w:t>
      </w:r>
    </w:p>
    <w:p w:rsidR="002A45BF" w:rsidRPr="006B2B9B" w:rsidRDefault="002A45BF" w:rsidP="002A45BF">
      <w:pPr>
        <w:rPr>
          <w:rFonts w:eastAsiaTheme="minorEastAsia"/>
          <w:b/>
          <w:lang w:eastAsia="zh-CN"/>
        </w:rPr>
      </w:pPr>
      <w:r w:rsidRPr="006B2B9B">
        <w:rPr>
          <w:rFonts w:eastAsiaTheme="minorEastAsia"/>
          <w:b/>
          <w:lang w:eastAsia="zh-CN"/>
        </w:rPr>
        <w:t>Proposal 4: The detailed requirements for dual TCI switching can be discussed after the scope of dual TCI switching is clarified.</w:t>
      </w:r>
    </w:p>
    <w:p w:rsidR="002A45BF" w:rsidRPr="002A45BF" w:rsidRDefault="002A45BF" w:rsidP="002A45BF">
      <w:pPr>
        <w:rPr>
          <w:rFonts w:eastAsiaTheme="minorEastAsia"/>
          <w:b/>
          <w:lang w:eastAsia="zh-CN"/>
        </w:rPr>
      </w:pPr>
      <w:r w:rsidRPr="002A45BF">
        <w:rPr>
          <w:rFonts w:eastAsiaTheme="minorEastAsia"/>
          <w:b/>
          <w:lang w:eastAsia="zh-CN"/>
        </w:rPr>
        <w:lastRenderedPageBreak/>
        <w:t xml:space="preserve">Proposal 5: RAN4 to discuss the </w:t>
      </w:r>
      <w:r w:rsidRPr="002A45BF">
        <w:rPr>
          <w:rFonts w:eastAsiaTheme="minorEastAsia"/>
          <w:b/>
          <w:lang w:val="en-US" w:eastAsia="zh-CN"/>
        </w:rPr>
        <w:t>active TCI state list update delay considering dual TCI state based on Activation/Deactivation of UE-specific PDSCH TCI state described in RAN2 spec.</w:t>
      </w:r>
    </w:p>
    <w:p w:rsidR="00350BBF" w:rsidRPr="00F610B6" w:rsidRDefault="00350BBF" w:rsidP="00F87DA1">
      <w:pPr>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AB319F" w:rsidRPr="00AB319F" w:rsidRDefault="00AB319F">
      <w:pPr>
        <w:rPr>
          <w:rFonts w:eastAsiaTheme="minorEastAsia"/>
          <w:lang w:eastAsia="zh-CN"/>
        </w:rPr>
      </w:pPr>
      <w:r>
        <w:rPr>
          <w:rFonts w:eastAsiaTheme="minorEastAsia"/>
          <w:lang w:eastAsia="zh-CN"/>
        </w:rPr>
        <w:t xml:space="preserve">[1] </w:t>
      </w:r>
      <w:hyperlink r:id="rId10" w:history="1">
        <w:r w:rsidR="005730CC" w:rsidRPr="006306E3">
          <w:t>R4-2217246</w:t>
        </w:r>
      </w:hyperlink>
      <w:r>
        <w:rPr>
          <w:rFonts w:eastAsiaTheme="minorEastAsia"/>
          <w:lang w:eastAsia="zh-CN"/>
        </w:rPr>
        <w:t>, WF on FR2 multi-Rx RRM,</w:t>
      </w:r>
      <w:r w:rsidRPr="00AB319F">
        <w:rPr>
          <w:rFonts w:eastAsiaTheme="minorEastAsia"/>
          <w:lang w:eastAsia="zh-CN"/>
        </w:rPr>
        <w:t xml:space="preserve"> vivo</w:t>
      </w:r>
    </w:p>
    <w:p w:rsidR="004118D3" w:rsidRPr="007E1DD2" w:rsidRDefault="001125B8">
      <w:pPr>
        <w:rPr>
          <w:rFonts w:eastAsiaTheme="minorEastAsia"/>
          <w:lang w:val="en-US" w:eastAsia="zh-CN"/>
        </w:rPr>
      </w:pPr>
      <w:r>
        <w:rPr>
          <w:rFonts w:eastAsiaTheme="minorEastAsia"/>
          <w:lang w:val="en-US" w:eastAsia="zh-CN"/>
        </w:rPr>
        <w:t>[</w:t>
      </w:r>
      <w:r w:rsidR="00AB319F">
        <w:rPr>
          <w:rFonts w:eastAsiaTheme="minorEastAsia"/>
          <w:lang w:val="en-US" w:eastAsia="zh-CN"/>
        </w:rPr>
        <w:t>2</w:t>
      </w:r>
      <w:r>
        <w:rPr>
          <w:rFonts w:eastAsiaTheme="minorEastAsia"/>
          <w:lang w:val="en-US" w:eastAsia="zh-CN"/>
        </w:rPr>
        <w:t xml:space="preserve">] </w:t>
      </w:r>
      <w:hyperlink r:id="rId11" w:history="1">
        <w:r w:rsidR="005730CC" w:rsidRPr="006306E3">
          <w:t>R4-2217248</w:t>
        </w:r>
      </w:hyperlink>
      <w:r>
        <w:rPr>
          <w:rFonts w:eastAsiaTheme="minorEastAsia"/>
          <w:lang w:val="en-US" w:eastAsia="zh-CN"/>
        </w:rPr>
        <w:t xml:space="preserve">, </w:t>
      </w:r>
      <w:r w:rsidR="00CB3A23" w:rsidRPr="00CB3A23">
        <w:rPr>
          <w:rFonts w:eastAsiaTheme="minorEastAsia"/>
          <w:lang w:val="en-US" w:eastAsia="zh-CN"/>
        </w:rPr>
        <w:t>WF on FR2 multi-Rx chain DL reception</w:t>
      </w:r>
      <w:r w:rsidR="00CB3A23">
        <w:rPr>
          <w:rFonts w:eastAsiaTheme="minorEastAsia"/>
          <w:lang w:val="en-US" w:eastAsia="zh-CN"/>
        </w:rPr>
        <w:t xml:space="preserve">, </w:t>
      </w:r>
      <w:r w:rsidR="005730CC" w:rsidRPr="005730CC">
        <w:rPr>
          <w:rFonts w:eastAsiaTheme="minorEastAsia"/>
          <w:lang w:val="en-US" w:eastAsia="zh-CN"/>
        </w:rPr>
        <w:t>Ericsson</w:t>
      </w:r>
    </w:p>
    <w:sectPr w:rsidR="004118D3" w:rsidRPr="007E1DD2"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98" w:rsidRDefault="00D12198">
      <w:pPr>
        <w:spacing w:after="0"/>
      </w:pPr>
      <w:r>
        <w:separator/>
      </w:r>
    </w:p>
  </w:endnote>
  <w:endnote w:type="continuationSeparator" w:id="0">
    <w:p w:rsidR="00D12198" w:rsidRDefault="00D121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D2DC4">
      <w:rPr>
        <w:rStyle w:val="PageNumber"/>
      </w:rPr>
      <w:t>7</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98" w:rsidRDefault="00D12198">
      <w:pPr>
        <w:spacing w:after="0"/>
      </w:pPr>
      <w:r>
        <w:separator/>
      </w:r>
    </w:p>
  </w:footnote>
  <w:footnote w:type="continuationSeparator" w:id="0">
    <w:p w:rsidR="00D12198" w:rsidRDefault="00D121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16"/>
  </w:num>
  <w:num w:numId="3">
    <w:abstractNumId w:val="9"/>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3"/>
  </w:num>
  <w:num w:numId="8">
    <w:abstractNumId w:val="4"/>
  </w:num>
  <w:num w:numId="9">
    <w:abstractNumId w:val="13"/>
  </w:num>
  <w:num w:numId="10">
    <w:abstractNumId w:val="2"/>
  </w:num>
  <w:num w:numId="11">
    <w:abstractNumId w:val="0"/>
  </w:num>
  <w:num w:numId="12">
    <w:abstractNumId w:val="7"/>
  </w:num>
  <w:num w:numId="13">
    <w:abstractNumId w:val="8"/>
  </w:num>
  <w:num w:numId="14">
    <w:abstractNumId w:val="11"/>
  </w:num>
  <w:num w:numId="15">
    <w:abstractNumId w:val="12"/>
  </w:num>
  <w:num w:numId="16">
    <w:abstractNumId w:val="9"/>
  </w:num>
  <w:num w:numId="17">
    <w:abstractNumId w:val="14"/>
  </w:num>
  <w:num w:numId="18">
    <w:abstractNumId w:val="6"/>
  </w:num>
  <w:num w:numId="19">
    <w:abstractNumId w:val="1"/>
  </w:num>
  <w:num w:numId="2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141FA"/>
    <w:rsid w:val="00025036"/>
    <w:rsid w:val="000344E2"/>
    <w:rsid w:val="00035B7C"/>
    <w:rsid w:val="00035D42"/>
    <w:rsid w:val="00035D9A"/>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2ED7"/>
    <w:rsid w:val="000A4BCB"/>
    <w:rsid w:val="000A5097"/>
    <w:rsid w:val="000A7A19"/>
    <w:rsid w:val="000B15E1"/>
    <w:rsid w:val="000B15EC"/>
    <w:rsid w:val="000B5083"/>
    <w:rsid w:val="000B707B"/>
    <w:rsid w:val="000C2147"/>
    <w:rsid w:val="000C3708"/>
    <w:rsid w:val="000D2930"/>
    <w:rsid w:val="000D59F6"/>
    <w:rsid w:val="000D6B9B"/>
    <w:rsid w:val="000E0A8A"/>
    <w:rsid w:val="000E2C03"/>
    <w:rsid w:val="000F04C6"/>
    <w:rsid w:val="000F39EE"/>
    <w:rsid w:val="000F4F43"/>
    <w:rsid w:val="000F7DE7"/>
    <w:rsid w:val="0010016B"/>
    <w:rsid w:val="00100360"/>
    <w:rsid w:val="0010262D"/>
    <w:rsid w:val="00104362"/>
    <w:rsid w:val="00107AF6"/>
    <w:rsid w:val="00110BAD"/>
    <w:rsid w:val="0011207E"/>
    <w:rsid w:val="001125B8"/>
    <w:rsid w:val="001137CA"/>
    <w:rsid w:val="001230FF"/>
    <w:rsid w:val="001241FC"/>
    <w:rsid w:val="00124231"/>
    <w:rsid w:val="00127EDD"/>
    <w:rsid w:val="001328F2"/>
    <w:rsid w:val="00132B63"/>
    <w:rsid w:val="00133BA3"/>
    <w:rsid w:val="001343DA"/>
    <w:rsid w:val="001365E9"/>
    <w:rsid w:val="001406A8"/>
    <w:rsid w:val="0014128A"/>
    <w:rsid w:val="00141870"/>
    <w:rsid w:val="001435CB"/>
    <w:rsid w:val="00151949"/>
    <w:rsid w:val="00152334"/>
    <w:rsid w:val="001531EC"/>
    <w:rsid w:val="001537D7"/>
    <w:rsid w:val="00153CFF"/>
    <w:rsid w:val="001616BF"/>
    <w:rsid w:val="00161981"/>
    <w:rsid w:val="00163724"/>
    <w:rsid w:val="00165992"/>
    <w:rsid w:val="001734E7"/>
    <w:rsid w:val="00175B04"/>
    <w:rsid w:val="0017747E"/>
    <w:rsid w:val="0018314E"/>
    <w:rsid w:val="00184719"/>
    <w:rsid w:val="0019343D"/>
    <w:rsid w:val="00197964"/>
    <w:rsid w:val="001A0A8D"/>
    <w:rsid w:val="001A1E7C"/>
    <w:rsid w:val="001B14DD"/>
    <w:rsid w:val="001C2A8C"/>
    <w:rsid w:val="001C4240"/>
    <w:rsid w:val="001C5D98"/>
    <w:rsid w:val="001D154C"/>
    <w:rsid w:val="001D3006"/>
    <w:rsid w:val="001E17E6"/>
    <w:rsid w:val="001E24D0"/>
    <w:rsid w:val="001E7174"/>
    <w:rsid w:val="001F10A3"/>
    <w:rsid w:val="001F299A"/>
    <w:rsid w:val="0020000C"/>
    <w:rsid w:val="002000BB"/>
    <w:rsid w:val="0020033A"/>
    <w:rsid w:val="00207FF4"/>
    <w:rsid w:val="00216AAB"/>
    <w:rsid w:val="00217770"/>
    <w:rsid w:val="002204E2"/>
    <w:rsid w:val="002221AC"/>
    <w:rsid w:val="00222A85"/>
    <w:rsid w:val="00222AF7"/>
    <w:rsid w:val="00222EFC"/>
    <w:rsid w:val="00224857"/>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090"/>
    <w:rsid w:val="002978A7"/>
    <w:rsid w:val="002A0BB1"/>
    <w:rsid w:val="002A235C"/>
    <w:rsid w:val="002A2EF8"/>
    <w:rsid w:val="002A45BF"/>
    <w:rsid w:val="002A5E54"/>
    <w:rsid w:val="002A677B"/>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A5CBC"/>
    <w:rsid w:val="003A5E2B"/>
    <w:rsid w:val="003B169F"/>
    <w:rsid w:val="003B3884"/>
    <w:rsid w:val="003C092B"/>
    <w:rsid w:val="003C0B24"/>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35DB"/>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30CC"/>
    <w:rsid w:val="005755A4"/>
    <w:rsid w:val="005763DF"/>
    <w:rsid w:val="00582652"/>
    <w:rsid w:val="005906DB"/>
    <w:rsid w:val="005943F8"/>
    <w:rsid w:val="00596DC0"/>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14ED"/>
    <w:rsid w:val="00604490"/>
    <w:rsid w:val="00604A0B"/>
    <w:rsid w:val="0060650F"/>
    <w:rsid w:val="00607CE8"/>
    <w:rsid w:val="00615073"/>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1F59"/>
    <w:rsid w:val="006901CA"/>
    <w:rsid w:val="006A68E5"/>
    <w:rsid w:val="006A7936"/>
    <w:rsid w:val="006A7B70"/>
    <w:rsid w:val="006B0875"/>
    <w:rsid w:val="006B21AC"/>
    <w:rsid w:val="006B2B9B"/>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37D76"/>
    <w:rsid w:val="007412AE"/>
    <w:rsid w:val="0074269F"/>
    <w:rsid w:val="00747E92"/>
    <w:rsid w:val="00751E52"/>
    <w:rsid w:val="00763EF7"/>
    <w:rsid w:val="00766048"/>
    <w:rsid w:val="007703EA"/>
    <w:rsid w:val="007711B8"/>
    <w:rsid w:val="0077159B"/>
    <w:rsid w:val="00771E1C"/>
    <w:rsid w:val="0077456D"/>
    <w:rsid w:val="007825B4"/>
    <w:rsid w:val="00782C5D"/>
    <w:rsid w:val="00784099"/>
    <w:rsid w:val="0078544A"/>
    <w:rsid w:val="00786C50"/>
    <w:rsid w:val="007902A8"/>
    <w:rsid w:val="007928FA"/>
    <w:rsid w:val="00793CB2"/>
    <w:rsid w:val="007A103E"/>
    <w:rsid w:val="007A336E"/>
    <w:rsid w:val="007A37DA"/>
    <w:rsid w:val="007A4473"/>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175BA"/>
    <w:rsid w:val="0082050A"/>
    <w:rsid w:val="00821B76"/>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1C99"/>
    <w:rsid w:val="008A2B76"/>
    <w:rsid w:val="008A4FA1"/>
    <w:rsid w:val="008A6285"/>
    <w:rsid w:val="008B2102"/>
    <w:rsid w:val="008B3970"/>
    <w:rsid w:val="008B4341"/>
    <w:rsid w:val="008B4540"/>
    <w:rsid w:val="008B4A2C"/>
    <w:rsid w:val="008B4C78"/>
    <w:rsid w:val="008B4F73"/>
    <w:rsid w:val="008B7660"/>
    <w:rsid w:val="008C31D2"/>
    <w:rsid w:val="008C398B"/>
    <w:rsid w:val="008C4172"/>
    <w:rsid w:val="008D2D3D"/>
    <w:rsid w:val="008D55C5"/>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386A"/>
    <w:rsid w:val="00923CC3"/>
    <w:rsid w:val="0092433F"/>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CE6"/>
    <w:rsid w:val="009F583E"/>
    <w:rsid w:val="009F7F10"/>
    <w:rsid w:val="00A00597"/>
    <w:rsid w:val="00A0093B"/>
    <w:rsid w:val="00A12052"/>
    <w:rsid w:val="00A1597D"/>
    <w:rsid w:val="00A22790"/>
    <w:rsid w:val="00A25160"/>
    <w:rsid w:val="00A26AB0"/>
    <w:rsid w:val="00A26C29"/>
    <w:rsid w:val="00A33A5B"/>
    <w:rsid w:val="00A34913"/>
    <w:rsid w:val="00A35F07"/>
    <w:rsid w:val="00A36D03"/>
    <w:rsid w:val="00A42E3A"/>
    <w:rsid w:val="00A43D0D"/>
    <w:rsid w:val="00A558AB"/>
    <w:rsid w:val="00A63AF5"/>
    <w:rsid w:val="00A645AF"/>
    <w:rsid w:val="00A657C7"/>
    <w:rsid w:val="00A7739E"/>
    <w:rsid w:val="00A777D8"/>
    <w:rsid w:val="00A8310C"/>
    <w:rsid w:val="00A848D0"/>
    <w:rsid w:val="00A86270"/>
    <w:rsid w:val="00A87084"/>
    <w:rsid w:val="00A91F9C"/>
    <w:rsid w:val="00A93E0D"/>
    <w:rsid w:val="00AA17A8"/>
    <w:rsid w:val="00AA31F0"/>
    <w:rsid w:val="00AB1128"/>
    <w:rsid w:val="00AB319F"/>
    <w:rsid w:val="00AC2317"/>
    <w:rsid w:val="00AC2C97"/>
    <w:rsid w:val="00AC2CD4"/>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277D5"/>
    <w:rsid w:val="00B343A3"/>
    <w:rsid w:val="00B41E6D"/>
    <w:rsid w:val="00B450D5"/>
    <w:rsid w:val="00B46C73"/>
    <w:rsid w:val="00B51F58"/>
    <w:rsid w:val="00B54E66"/>
    <w:rsid w:val="00B55463"/>
    <w:rsid w:val="00B56E67"/>
    <w:rsid w:val="00B57381"/>
    <w:rsid w:val="00B60998"/>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C24F8"/>
    <w:rsid w:val="00BC3920"/>
    <w:rsid w:val="00BC47AB"/>
    <w:rsid w:val="00BD0D7C"/>
    <w:rsid w:val="00BD2AB1"/>
    <w:rsid w:val="00BD3A7F"/>
    <w:rsid w:val="00BE09C1"/>
    <w:rsid w:val="00BE194F"/>
    <w:rsid w:val="00BE1FD4"/>
    <w:rsid w:val="00BE512F"/>
    <w:rsid w:val="00BE677A"/>
    <w:rsid w:val="00BE6A2E"/>
    <w:rsid w:val="00BF00A7"/>
    <w:rsid w:val="00BF0C46"/>
    <w:rsid w:val="00BF136F"/>
    <w:rsid w:val="00BF33D9"/>
    <w:rsid w:val="00C00BE2"/>
    <w:rsid w:val="00C075BD"/>
    <w:rsid w:val="00C11B10"/>
    <w:rsid w:val="00C12EA5"/>
    <w:rsid w:val="00C15E40"/>
    <w:rsid w:val="00C161BE"/>
    <w:rsid w:val="00C308C1"/>
    <w:rsid w:val="00C338CA"/>
    <w:rsid w:val="00C35CB3"/>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4A65"/>
    <w:rsid w:val="00CD58CB"/>
    <w:rsid w:val="00CE0DA0"/>
    <w:rsid w:val="00CE477D"/>
    <w:rsid w:val="00CE4C08"/>
    <w:rsid w:val="00CF030B"/>
    <w:rsid w:val="00CF1B90"/>
    <w:rsid w:val="00CF1DFC"/>
    <w:rsid w:val="00CF2856"/>
    <w:rsid w:val="00CF5CE7"/>
    <w:rsid w:val="00CF5EF5"/>
    <w:rsid w:val="00CF7481"/>
    <w:rsid w:val="00CF7B16"/>
    <w:rsid w:val="00CF7EE3"/>
    <w:rsid w:val="00D0400B"/>
    <w:rsid w:val="00D0739E"/>
    <w:rsid w:val="00D12198"/>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8753F"/>
    <w:rsid w:val="00D9498D"/>
    <w:rsid w:val="00D94E39"/>
    <w:rsid w:val="00D9789C"/>
    <w:rsid w:val="00DB10D2"/>
    <w:rsid w:val="00DB1DD4"/>
    <w:rsid w:val="00DB61B3"/>
    <w:rsid w:val="00DC49A6"/>
    <w:rsid w:val="00DD0915"/>
    <w:rsid w:val="00DD1DFF"/>
    <w:rsid w:val="00DD2DC4"/>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6EE6"/>
    <w:rsid w:val="00E577DD"/>
    <w:rsid w:val="00E60952"/>
    <w:rsid w:val="00E6587C"/>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164F"/>
    <w:rsid w:val="00F22DF5"/>
    <w:rsid w:val="00F2531A"/>
    <w:rsid w:val="00F303F4"/>
    <w:rsid w:val="00F31FA7"/>
    <w:rsid w:val="00F34526"/>
    <w:rsid w:val="00F413E7"/>
    <w:rsid w:val="00F42BFC"/>
    <w:rsid w:val="00F45711"/>
    <w:rsid w:val="00F4766A"/>
    <w:rsid w:val="00F52FBD"/>
    <w:rsid w:val="00F52FE8"/>
    <w:rsid w:val="00F543C6"/>
    <w:rsid w:val="00F56F3E"/>
    <w:rsid w:val="00F5790A"/>
    <w:rsid w:val="00F609CD"/>
    <w:rsid w:val="00F610B6"/>
    <w:rsid w:val="00F61DAD"/>
    <w:rsid w:val="00F66108"/>
    <w:rsid w:val="00F72D98"/>
    <w:rsid w:val="00F76B81"/>
    <w:rsid w:val="00F83F8A"/>
    <w:rsid w:val="00F87DA1"/>
    <w:rsid w:val="00F941E7"/>
    <w:rsid w:val="00FA4943"/>
    <w:rsid w:val="00FB4DC9"/>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4bis-e/InboxR4-221724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4_Radio/TSGR4_104bis-e/InboxR4-2217246.zip" TargetMode="External"/><Relationship Id="rId4" Type="http://schemas.openxmlformats.org/officeDocument/2006/relationships/settings" Target="settings.xml"/><Relationship Id="rId9" Type="http://schemas.openxmlformats.org/officeDocument/2006/relationships/package" Target="embeddings/Microsoft_Visio_Drawing6711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4CAE7-C0F3-4277-B06F-8396D12E4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16308</TotalTime>
  <Pages>7</Pages>
  <Words>2642</Words>
  <Characters>15062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RAN4#105</cp:lastModifiedBy>
  <cp:revision>307</cp:revision>
  <dcterms:created xsi:type="dcterms:W3CDTF">2019-09-18T02:52:00Z</dcterms:created>
  <dcterms:modified xsi:type="dcterms:W3CDTF">2022-11-07T12:37:00Z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(3)nCspnK0OkrIE1aCknUcanYcVl9ZfRkt+I2BU+OR7GUjCgw1NNyvusBAUX77DVsUiqq9hevYs
JESk7hcLGn214OwfdcEGQ1FfSf9dGtyqec/wx2yhNLHX1U9A24wlg2pWRpQ1UtaO8BKo4QbF
pKf/yqzPVcbGSbPaP4V+LO/nABMJ4r5GwDsnDoK2tq0JS5epSMnGhPlkoZRah2wfMtFPDReQ
8FPARjivUGt7K2+CRU</vt:lpwstr>
  </property>
  <property fmtid="{D5CDD505-2E9C-101B-9397-08002B2CF9AE}" pid="3" name="_2015_ms_pID_7253431">
    <vt:lpwstr>i5LBfkjl307RaE6f7fiorH0cC8ZTs4nOEe8/Q5qf4SOU1wFZiVdlkJ
Zcwponeqk0R8ae0E+KUJu0Sh+5LKNoilgBW5uFHdE+saVdByAyK5tqaSVbTelWIimNf7Stjz
1ZoE9KArvXX2dLZfCLpXD9uhZ/X4RiNToePtkt9mpBaow7IWSW1oBLzxNY4VK7ZpgfmbjOxQ
xxHD/nK1lWjSyGAYiDOvQ9Sv+IjOZ7MPPClb</vt:lpwstr>
  </property>
  <property fmtid="{D5CDD505-2E9C-101B-9397-08002B2CF9AE}" pid="4" name="_2015_ms_pID_7253432">
    <vt:lpwstr>on3PKKP5ovVI+xx0xpAm6Oo=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