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4351" w:rsidRPr="004A029C" w:rsidRDefault="00314351" w:rsidP="00314351">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Pr="004A029C">
        <w:rPr>
          <w:rFonts w:cs="Arial"/>
          <w:sz w:val="24"/>
          <w:szCs w:val="24"/>
        </w:rPr>
        <w:t>GPP TSG-RAN WG4 Meeting #</w:t>
      </w:r>
      <w:r w:rsidRPr="004A029C">
        <w:rPr>
          <w:rFonts w:cs="Arial"/>
        </w:rPr>
        <w:t xml:space="preserve"> </w:t>
      </w:r>
      <w:r>
        <w:rPr>
          <w:rFonts w:cs="Arial"/>
          <w:sz w:val="24"/>
          <w:szCs w:val="24"/>
        </w:rPr>
        <w:t>105</w:t>
      </w:r>
      <w:r w:rsidRPr="004A029C">
        <w:rPr>
          <w:rFonts w:cs="Arial"/>
          <w:sz w:val="24"/>
          <w:szCs w:val="24"/>
        </w:rPr>
        <w:tab/>
      </w:r>
      <w:r w:rsidR="00DA234C" w:rsidRPr="00DA234C">
        <w:rPr>
          <w:rFonts w:cs="Arial"/>
          <w:sz w:val="24"/>
          <w:szCs w:val="24"/>
        </w:rPr>
        <w:t>R4-2219241</w:t>
      </w:r>
      <w:bookmarkStart w:id="0" w:name="_GoBack"/>
      <w:bookmarkEnd w:id="0"/>
    </w:p>
    <w:p w:rsidR="00314351" w:rsidRPr="004A029C" w:rsidRDefault="00314351" w:rsidP="00314351">
      <w:pPr>
        <w:pStyle w:val="Header"/>
        <w:tabs>
          <w:tab w:val="right" w:pos="9781"/>
          <w:tab w:val="right" w:pos="13323"/>
        </w:tabs>
        <w:spacing w:before="60" w:after="60"/>
        <w:outlineLvl w:val="0"/>
        <w:rPr>
          <w:rFonts w:eastAsia="宋体" w:cs="Arial"/>
          <w:b w:val="0"/>
          <w:sz w:val="24"/>
          <w:szCs w:val="24"/>
          <w:lang w:eastAsia="zh-CN"/>
        </w:rPr>
      </w:pPr>
      <w:r>
        <w:rPr>
          <w:rFonts w:eastAsia="宋体" w:cs="Arial" w:hint="eastAsia"/>
          <w:sz w:val="24"/>
          <w:szCs w:val="24"/>
          <w:lang w:eastAsia="zh-CN"/>
        </w:rPr>
        <w:t>Toulouse,</w:t>
      </w:r>
      <w:r>
        <w:rPr>
          <w:rFonts w:eastAsia="宋体" w:cs="Arial"/>
          <w:sz w:val="24"/>
          <w:szCs w:val="24"/>
          <w:lang w:eastAsia="zh-CN"/>
        </w:rPr>
        <w:t xml:space="preserve"> France, </w:t>
      </w:r>
      <w:r>
        <w:rPr>
          <w:rFonts w:eastAsia="宋体" w:cs="Arial" w:hint="eastAsia"/>
          <w:sz w:val="24"/>
          <w:szCs w:val="24"/>
          <w:lang w:eastAsia="zh-CN"/>
        </w:rPr>
        <w:t>November</w:t>
      </w:r>
      <w:r w:rsidRPr="00090215">
        <w:rPr>
          <w:rFonts w:eastAsia="宋体" w:cs="Arial"/>
          <w:sz w:val="24"/>
          <w:szCs w:val="24"/>
          <w:lang w:eastAsia="zh-CN"/>
        </w:rPr>
        <w:t xml:space="preserve"> 1</w:t>
      </w:r>
      <w:r>
        <w:rPr>
          <w:rFonts w:eastAsia="宋体" w:cs="Arial"/>
          <w:sz w:val="24"/>
          <w:szCs w:val="24"/>
          <w:lang w:eastAsia="zh-CN"/>
        </w:rPr>
        <w:t>4</w:t>
      </w:r>
      <w:r w:rsidRPr="00090215">
        <w:rPr>
          <w:rFonts w:eastAsia="宋体" w:cs="Arial"/>
          <w:sz w:val="24"/>
          <w:szCs w:val="24"/>
          <w:lang w:eastAsia="zh-CN"/>
        </w:rPr>
        <w:t xml:space="preserve"> – </w:t>
      </w:r>
      <w:r>
        <w:rPr>
          <w:rFonts w:eastAsia="宋体" w:cs="Arial" w:hint="eastAsia"/>
          <w:sz w:val="24"/>
          <w:szCs w:val="24"/>
          <w:lang w:eastAsia="zh-CN"/>
        </w:rPr>
        <w:t>November</w:t>
      </w:r>
      <w:r w:rsidRPr="00090215">
        <w:rPr>
          <w:rFonts w:eastAsia="宋体" w:cs="Arial"/>
          <w:sz w:val="24"/>
          <w:szCs w:val="24"/>
          <w:lang w:eastAsia="zh-CN"/>
        </w:rPr>
        <w:t xml:space="preserve"> 1</w:t>
      </w:r>
      <w:r>
        <w:rPr>
          <w:rFonts w:eastAsia="宋体" w:cs="Arial"/>
          <w:sz w:val="24"/>
          <w:szCs w:val="24"/>
          <w:lang w:eastAsia="zh-CN"/>
        </w:rPr>
        <w:t>8</w:t>
      </w:r>
      <w:r w:rsidRPr="00090215">
        <w:rPr>
          <w:rFonts w:eastAsia="宋体" w:cs="Arial"/>
          <w:sz w:val="24"/>
          <w:szCs w:val="24"/>
          <w:lang w:eastAsia="zh-CN"/>
        </w:rPr>
        <w:t>, 2022</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BA08CB">
        <w:rPr>
          <w:rFonts w:ascii="Arial" w:hAnsi="Arial"/>
          <w:sz w:val="24"/>
          <w:lang w:val="en-US"/>
        </w:rPr>
        <w:t>8</w:t>
      </w:r>
      <w:r w:rsidR="00192839">
        <w:rPr>
          <w:rFonts w:ascii="Arial" w:hAnsi="Arial"/>
          <w:sz w:val="24"/>
          <w:lang w:val="en-US"/>
        </w:rPr>
        <w:t>.13.</w:t>
      </w:r>
      <w:r w:rsidR="00BA08CB">
        <w:rPr>
          <w:rFonts w:ascii="Arial" w:hAnsi="Arial"/>
          <w:sz w:val="24"/>
          <w:lang w:val="en-US"/>
        </w:rPr>
        <w:t>4.</w:t>
      </w:r>
      <w:r w:rsidR="005B08CC">
        <w:rPr>
          <w:rFonts w:ascii="Arial" w:hAnsi="Arial"/>
          <w:sz w:val="24"/>
          <w:lang w:val="en-US"/>
        </w:rPr>
        <w:t>5</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5B08CC" w:rsidRPr="005B08CC">
        <w:rPr>
          <w:rFonts w:ascii="Arial" w:hAnsi="Arial"/>
          <w:sz w:val="24"/>
          <w:lang w:val="en-US"/>
        </w:rPr>
        <w:t>Discussion on measurement requirements for ATG</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5025E0" w:rsidRPr="00622EBC" w:rsidRDefault="004118D3" w:rsidP="00622EBC">
      <w:pPr>
        <w:rPr>
          <w:rFonts w:eastAsiaTheme="minorEastAsia"/>
          <w:lang w:val="en-US" w:eastAsia="zh-CN"/>
        </w:rPr>
      </w:pPr>
      <w:r>
        <w:rPr>
          <w:rFonts w:eastAsiaTheme="minorEastAsia"/>
          <w:lang w:val="en-US" w:eastAsia="zh-CN"/>
        </w:rPr>
        <w:t>A new Rel-18 WI to support NR Air-to-ground</w:t>
      </w:r>
      <w:r w:rsidR="00297090">
        <w:rPr>
          <w:rFonts w:eastAsiaTheme="minorEastAsia"/>
          <w:lang w:val="en-US" w:eastAsia="zh-CN"/>
        </w:rPr>
        <w:t xml:space="preserve"> (ATG)</w:t>
      </w:r>
      <w:r>
        <w:rPr>
          <w:rFonts w:eastAsiaTheme="minorEastAsia"/>
          <w:lang w:val="en-US" w:eastAsia="zh-CN"/>
        </w:rPr>
        <w:t xml:space="preserve"> network for NR was approved in [1] and further revised in [2].</w:t>
      </w:r>
      <w:r w:rsidR="00297090">
        <w:rPr>
          <w:rFonts w:eastAsiaTheme="minorEastAsia"/>
          <w:lang w:val="en-US" w:eastAsia="zh-CN"/>
        </w:rPr>
        <w:t xml:space="preserve"> </w:t>
      </w:r>
      <w:r w:rsidR="00586EFF">
        <w:rPr>
          <w:rFonts w:eastAsiaTheme="minorEastAsia"/>
          <w:lang w:val="en-US" w:eastAsia="zh-CN"/>
        </w:rPr>
        <w:t>The RRM impacts were initially discussed with status captured in WF</w:t>
      </w:r>
      <w:r w:rsidR="00265E37">
        <w:rPr>
          <w:rFonts w:eastAsiaTheme="minorEastAsia"/>
          <w:lang w:val="en-US" w:eastAsia="zh-CN"/>
        </w:rPr>
        <w:t xml:space="preserve"> [3]</w:t>
      </w:r>
      <w:r w:rsidR="00586EFF">
        <w:rPr>
          <w:rFonts w:eastAsiaTheme="minorEastAsia"/>
          <w:lang w:val="en-US" w:eastAsia="zh-CN"/>
        </w:rPr>
        <w:t>. In this paper, we further provide our views on remaining issues.</w:t>
      </w:r>
    </w:p>
    <w:p w:rsidR="00A26C29" w:rsidRPr="00297090" w:rsidRDefault="00DF0231" w:rsidP="00A26C29">
      <w:pPr>
        <w:pStyle w:val="Heading1"/>
        <w:numPr>
          <w:ilvl w:val="0"/>
          <w:numId w:val="1"/>
        </w:numPr>
        <w:rPr>
          <w:lang w:val="en-US"/>
        </w:rPr>
      </w:pPr>
      <w:r w:rsidRPr="002D2977">
        <w:rPr>
          <w:lang w:val="en-US"/>
        </w:rPr>
        <w:t>Discussion</w:t>
      </w:r>
    </w:p>
    <w:p w:rsidR="00A66509" w:rsidRDefault="00061A47" w:rsidP="00586EFF">
      <w:pPr>
        <w:rPr>
          <w:rFonts w:eastAsia="宋体"/>
          <w:lang w:eastAsia="zh-CN"/>
        </w:rPr>
      </w:pPr>
      <w:r>
        <w:rPr>
          <w:rFonts w:eastAsia="宋体"/>
          <w:lang w:eastAsia="zh-CN"/>
        </w:rPr>
        <w:t>Regarding the measurement requirements, one controversial issue is about the impact on measurement gap. The status are summarized as follows:</w:t>
      </w:r>
    </w:p>
    <w:tbl>
      <w:tblPr>
        <w:tblStyle w:val="TableGrid"/>
        <w:tblW w:w="0" w:type="auto"/>
        <w:tblLook w:val="04A0" w:firstRow="1" w:lastRow="0" w:firstColumn="1" w:lastColumn="0" w:noHBand="0" w:noVBand="1"/>
      </w:tblPr>
      <w:tblGrid>
        <w:gridCol w:w="9562"/>
      </w:tblGrid>
      <w:tr w:rsidR="000943A0" w:rsidTr="000943A0">
        <w:tc>
          <w:tcPr>
            <w:tcW w:w="9562" w:type="dxa"/>
          </w:tcPr>
          <w:p w:rsidR="000943A0" w:rsidRDefault="000943A0" w:rsidP="000943A0">
            <w:pPr>
              <w:rPr>
                <w:rFonts w:eastAsia="Yu Mincho Light"/>
                <w:b/>
                <w:u w:val="single"/>
                <w:lang w:val="en-US" w:eastAsia="ko-KR"/>
              </w:rPr>
            </w:pPr>
            <w:r>
              <w:rPr>
                <w:b/>
                <w:u w:val="single"/>
                <w:lang w:eastAsia="ko-KR"/>
              </w:rPr>
              <w:t>Issue 5-1-1: Measurement gap</w:t>
            </w:r>
          </w:p>
          <w:p w:rsidR="000943A0" w:rsidRDefault="000943A0" w:rsidP="000943A0">
            <w:pPr>
              <w:numPr>
                <w:ilvl w:val="0"/>
                <w:numId w:val="46"/>
              </w:numPr>
              <w:spacing w:after="0"/>
              <w:ind w:left="935" w:hanging="357"/>
              <w:rPr>
                <w:rFonts w:eastAsia="宋体"/>
                <w:lang w:eastAsia="zh-CN"/>
              </w:rPr>
            </w:pPr>
            <w:r>
              <w:rPr>
                <w:rFonts w:eastAsia="宋体"/>
              </w:rPr>
              <w:t>Option 1: Reuse the legacy MG requirements as baseline for R18 ATG. (CMCC, HW, CATT, Ericsson, LGE, Ericsson)</w:t>
            </w:r>
          </w:p>
          <w:p w:rsidR="000943A0" w:rsidRDefault="000943A0" w:rsidP="000943A0">
            <w:pPr>
              <w:numPr>
                <w:ilvl w:val="1"/>
                <w:numId w:val="46"/>
              </w:numPr>
              <w:spacing w:after="0"/>
              <w:rPr>
                <w:rFonts w:eastAsia="宋体"/>
              </w:rPr>
            </w:pPr>
            <w:r>
              <w:rPr>
                <w:rFonts w:eastAsia="宋体"/>
              </w:rPr>
              <w:t xml:space="preserve">RAN4 can further discuss the possible changes if RAN4 identifies a valid issue for MG </w:t>
            </w:r>
          </w:p>
          <w:p w:rsidR="000943A0" w:rsidRDefault="000943A0" w:rsidP="000943A0">
            <w:pPr>
              <w:numPr>
                <w:ilvl w:val="0"/>
                <w:numId w:val="46"/>
              </w:numPr>
              <w:spacing w:after="0"/>
              <w:ind w:left="935" w:hanging="357"/>
              <w:rPr>
                <w:rFonts w:eastAsia="宋体"/>
              </w:rPr>
            </w:pPr>
            <w:r>
              <w:rPr>
                <w:rFonts w:eastAsia="宋体"/>
              </w:rPr>
              <w:t xml:space="preserve">Option 2: The measurement window and measurement GAP need to be redesigned based on the propagation time difference between serving </w:t>
            </w:r>
            <w:proofErr w:type="spellStart"/>
            <w:r>
              <w:rPr>
                <w:rFonts w:eastAsia="宋体"/>
              </w:rPr>
              <w:t>gNB</w:t>
            </w:r>
            <w:proofErr w:type="spellEnd"/>
            <w:r>
              <w:rPr>
                <w:rFonts w:eastAsia="宋体"/>
              </w:rPr>
              <w:t xml:space="preserve"> and </w:t>
            </w:r>
            <w:proofErr w:type="spellStart"/>
            <w:r>
              <w:rPr>
                <w:rFonts w:eastAsia="宋体"/>
              </w:rPr>
              <w:t>neighbor</w:t>
            </w:r>
            <w:proofErr w:type="spellEnd"/>
            <w:r>
              <w:rPr>
                <w:rFonts w:eastAsia="宋体"/>
              </w:rPr>
              <w:t xml:space="preserve"> </w:t>
            </w:r>
            <w:proofErr w:type="spellStart"/>
            <w:r>
              <w:rPr>
                <w:rFonts w:eastAsia="宋体"/>
              </w:rPr>
              <w:t>gNB</w:t>
            </w:r>
            <w:proofErr w:type="spellEnd"/>
            <w:r>
              <w:rPr>
                <w:rFonts w:eastAsia="宋体"/>
              </w:rPr>
              <w:t>. (Apple, LGE)</w:t>
            </w:r>
          </w:p>
          <w:p w:rsidR="000943A0" w:rsidRDefault="000943A0" w:rsidP="000943A0">
            <w:pPr>
              <w:numPr>
                <w:ilvl w:val="0"/>
                <w:numId w:val="46"/>
              </w:numPr>
              <w:spacing w:after="0"/>
              <w:ind w:left="935" w:hanging="357"/>
              <w:rPr>
                <w:rFonts w:eastAsia="宋体"/>
              </w:rPr>
            </w:pPr>
            <w:r>
              <w:rPr>
                <w:rFonts w:eastAsia="宋体"/>
              </w:rPr>
              <w:t>Option 3: Only FR1 MG will be used in Rel-18 ATG network. (Ericsson, ZTE, CATT)</w:t>
            </w:r>
          </w:p>
          <w:p w:rsidR="000943A0" w:rsidRDefault="000943A0" w:rsidP="00586EFF">
            <w:pPr>
              <w:rPr>
                <w:rFonts w:eastAsia="宋体"/>
                <w:lang w:eastAsia="zh-CN"/>
              </w:rPr>
            </w:pPr>
          </w:p>
        </w:tc>
      </w:tr>
    </w:tbl>
    <w:p w:rsidR="00061A47" w:rsidRPr="009B778D" w:rsidRDefault="00061A47" w:rsidP="00586EFF">
      <w:pPr>
        <w:rPr>
          <w:rFonts w:eastAsia="宋体"/>
          <w:lang w:eastAsia="zh-CN"/>
        </w:rPr>
      </w:pPr>
    </w:p>
    <w:p w:rsidR="009B778D" w:rsidRDefault="000943A0" w:rsidP="00586EFF">
      <w:pPr>
        <w:rPr>
          <w:rFonts w:eastAsia="宋体"/>
        </w:rPr>
      </w:pPr>
      <w:r>
        <w:rPr>
          <w:rFonts w:eastAsia="宋体"/>
        </w:rPr>
        <w:t>Most companies agreed with the legacy MG requirements can apply to ATG. For option 3, it is straightforward only FR1 MG will be used since only FR1 band is considered. No spec impacts are identified. For option 2, the motivation and necessity is not clear. In NTN, legacy gap is used without introducing new gap pattern. Then for ATG, we did not see the need for have new MG.</w:t>
      </w:r>
    </w:p>
    <w:p w:rsidR="000943A0" w:rsidRPr="00857CA6" w:rsidRDefault="000943A0" w:rsidP="00586EFF">
      <w:pPr>
        <w:rPr>
          <w:rFonts w:eastAsia="宋体"/>
          <w:b/>
        </w:rPr>
      </w:pPr>
      <w:r w:rsidRPr="00857CA6">
        <w:rPr>
          <w:rFonts w:eastAsia="宋体"/>
          <w:b/>
        </w:rPr>
        <w:t>Proposal 1: Legacy MG requirements can apply to ATG.</w:t>
      </w:r>
    </w:p>
    <w:p w:rsidR="00857CA6" w:rsidRDefault="00857CA6" w:rsidP="00586EFF">
      <w:pPr>
        <w:rPr>
          <w:rFonts w:eastAsia="宋体"/>
        </w:rPr>
      </w:pPr>
      <w:r>
        <w:rPr>
          <w:rFonts w:eastAsia="宋体"/>
        </w:rPr>
        <w:t>For the detailed measurement requirements, the status are summarized as follows:</w:t>
      </w:r>
    </w:p>
    <w:tbl>
      <w:tblPr>
        <w:tblStyle w:val="TableGrid"/>
        <w:tblW w:w="0" w:type="auto"/>
        <w:tblLook w:val="04A0" w:firstRow="1" w:lastRow="0" w:firstColumn="1" w:lastColumn="0" w:noHBand="0" w:noVBand="1"/>
      </w:tblPr>
      <w:tblGrid>
        <w:gridCol w:w="9562"/>
      </w:tblGrid>
      <w:tr w:rsidR="00857CA6" w:rsidTr="00857CA6">
        <w:tc>
          <w:tcPr>
            <w:tcW w:w="9562" w:type="dxa"/>
          </w:tcPr>
          <w:p w:rsidR="00857CA6" w:rsidRDefault="00857CA6" w:rsidP="00857CA6">
            <w:pPr>
              <w:rPr>
                <w:rFonts w:eastAsia="Yu Mincho Light"/>
                <w:b/>
                <w:u w:val="single"/>
                <w:lang w:val="en-US" w:eastAsia="ko-KR"/>
              </w:rPr>
            </w:pPr>
            <w:r>
              <w:rPr>
                <w:b/>
                <w:u w:val="single"/>
                <w:lang w:eastAsia="ko-KR"/>
              </w:rPr>
              <w:t>Issue 5-1-3: CSSF</w:t>
            </w:r>
          </w:p>
          <w:p w:rsidR="00857CA6" w:rsidRDefault="00857CA6" w:rsidP="00857CA6">
            <w:pPr>
              <w:numPr>
                <w:ilvl w:val="0"/>
                <w:numId w:val="46"/>
              </w:numPr>
              <w:spacing w:after="0"/>
              <w:rPr>
                <w:rFonts w:eastAsia="宋体"/>
                <w:lang w:eastAsia="zh-CN"/>
              </w:rPr>
            </w:pPr>
            <w:r>
              <w:rPr>
                <w:rFonts w:eastAsia="宋体"/>
              </w:rPr>
              <w:t>Option 1: Take 2 searchers as the assumption when defining the CSSF requirement (CMCC, Ericsson, ZTE, CATT, HW)</w:t>
            </w:r>
          </w:p>
          <w:p w:rsidR="00857CA6" w:rsidRDefault="00857CA6" w:rsidP="00857CA6">
            <w:pPr>
              <w:numPr>
                <w:ilvl w:val="0"/>
                <w:numId w:val="46"/>
              </w:numPr>
              <w:spacing w:after="0"/>
              <w:rPr>
                <w:rFonts w:eastAsia="宋体"/>
              </w:rPr>
            </w:pPr>
            <w:r>
              <w:rPr>
                <w:rFonts w:eastAsia="宋体"/>
              </w:rPr>
              <w:t xml:space="preserve">Option2: For intra-frequency measurement without measurement gap, </w:t>
            </w:r>
            <w:proofErr w:type="spellStart"/>
            <w:r>
              <w:rPr>
                <w:rFonts w:eastAsia="宋体"/>
              </w:rPr>
              <w:t>CSSFintra</w:t>
            </w:r>
            <w:proofErr w:type="spellEnd"/>
            <w:r>
              <w:rPr>
                <w:rFonts w:eastAsia="宋体"/>
              </w:rPr>
              <w:t xml:space="preserve"> = 1 for ATG. (CMCC, HW, Ericsson, ZTE)</w:t>
            </w:r>
          </w:p>
          <w:p w:rsidR="00857CA6" w:rsidRDefault="00857CA6" w:rsidP="00857CA6">
            <w:pPr>
              <w:numPr>
                <w:ilvl w:val="0"/>
                <w:numId w:val="46"/>
              </w:numPr>
              <w:spacing w:after="0"/>
              <w:rPr>
                <w:rFonts w:eastAsia="宋体"/>
              </w:rPr>
            </w:pPr>
            <w:r>
              <w:rPr>
                <w:rFonts w:eastAsia="宋体"/>
              </w:rPr>
              <w:t xml:space="preserve">Option 3: For CSSF, the CSSF under </w:t>
            </w:r>
            <w:proofErr w:type="spellStart"/>
            <w:r>
              <w:rPr>
                <w:rFonts w:eastAsia="宋体"/>
              </w:rPr>
              <w:t>RedCap</w:t>
            </w:r>
            <w:proofErr w:type="spellEnd"/>
            <w:r>
              <w:rPr>
                <w:rFonts w:eastAsia="宋体"/>
              </w:rPr>
              <w:t xml:space="preserve"> single carrier case can be a reference. (ZTE, Ericsson)</w:t>
            </w:r>
          </w:p>
          <w:p w:rsidR="00857CA6" w:rsidRDefault="00857CA6" w:rsidP="00857CA6">
            <w:pPr>
              <w:numPr>
                <w:ilvl w:val="0"/>
                <w:numId w:val="46"/>
              </w:numPr>
              <w:spacing w:after="0"/>
              <w:rPr>
                <w:rFonts w:eastAsia="宋体"/>
              </w:rPr>
            </w:pPr>
            <w:r>
              <w:rPr>
                <w:rFonts w:eastAsia="宋体"/>
              </w:rPr>
              <w:t>Option 4: FFS, further consider whether inter-frequency without GAP is in the scope or not (Apple, Ericsson)</w:t>
            </w:r>
          </w:p>
          <w:p w:rsidR="00857CA6" w:rsidRDefault="00857CA6" w:rsidP="00857CA6">
            <w:pPr>
              <w:rPr>
                <w:rFonts w:eastAsia="Malgun Gothic"/>
                <w:b/>
                <w:u w:val="single"/>
                <w:lang w:val="en-US" w:eastAsia="ko-KR"/>
              </w:rPr>
            </w:pPr>
            <w:r>
              <w:rPr>
                <w:rFonts w:eastAsia="Malgun Gothic"/>
                <w:b/>
                <w:u w:val="single"/>
                <w:lang w:eastAsia="ko-KR"/>
              </w:rPr>
              <w:t>Issue 5-1-4: Intra-frequency measurements requirement</w:t>
            </w:r>
          </w:p>
          <w:p w:rsidR="00857CA6" w:rsidRDefault="00857CA6" w:rsidP="00857CA6">
            <w:pPr>
              <w:numPr>
                <w:ilvl w:val="0"/>
                <w:numId w:val="46"/>
              </w:numPr>
              <w:spacing w:after="0"/>
              <w:ind w:left="935" w:hanging="357"/>
              <w:rPr>
                <w:rFonts w:eastAsia="宋体"/>
                <w:lang w:eastAsia="zh-CN"/>
              </w:rPr>
            </w:pPr>
            <w:r>
              <w:rPr>
                <w:rFonts w:eastAsia="宋体"/>
              </w:rPr>
              <w:t>Option 1: The legacy NR intra-frequency measurements requirement can be reused for R18 ATG. (CMCC, HW, ZTE, LGE, Ericsson, CATT)</w:t>
            </w:r>
          </w:p>
          <w:p w:rsidR="00857CA6" w:rsidRDefault="00857CA6" w:rsidP="00857CA6">
            <w:pPr>
              <w:numPr>
                <w:ilvl w:val="0"/>
                <w:numId w:val="46"/>
              </w:numPr>
              <w:spacing w:after="0"/>
              <w:ind w:left="935" w:hanging="357"/>
              <w:rPr>
                <w:rFonts w:eastAsia="宋体"/>
              </w:rPr>
            </w:pPr>
            <w:r>
              <w:rPr>
                <w:rFonts w:eastAsia="宋体"/>
              </w:rPr>
              <w:t>Option 2: This need to be discussed later after we concluded 5-1-1/2/3. (Apple, Ericsson)</w:t>
            </w:r>
          </w:p>
          <w:p w:rsidR="00857CA6" w:rsidRDefault="00857CA6" w:rsidP="00857CA6">
            <w:pPr>
              <w:rPr>
                <w:rFonts w:eastAsia="Malgun Gothic"/>
                <w:b/>
                <w:u w:val="single"/>
                <w:lang w:eastAsia="ko-KR"/>
              </w:rPr>
            </w:pPr>
            <w:r>
              <w:rPr>
                <w:rFonts w:eastAsia="Malgun Gothic"/>
                <w:b/>
                <w:u w:val="single"/>
                <w:lang w:eastAsia="ko-KR"/>
              </w:rPr>
              <w:t>Issue 5-1-5: Inter-frequency measurements requirement</w:t>
            </w:r>
          </w:p>
          <w:p w:rsidR="00857CA6" w:rsidRDefault="00857CA6" w:rsidP="00857CA6">
            <w:pPr>
              <w:numPr>
                <w:ilvl w:val="0"/>
                <w:numId w:val="46"/>
              </w:numPr>
              <w:spacing w:after="0"/>
              <w:ind w:left="935" w:hanging="357"/>
              <w:rPr>
                <w:rFonts w:eastAsia="宋体"/>
                <w:lang w:eastAsia="zh-CN"/>
              </w:rPr>
            </w:pPr>
            <w:r>
              <w:rPr>
                <w:rFonts w:eastAsia="宋体"/>
              </w:rPr>
              <w:lastRenderedPageBreak/>
              <w:t>Option 1: The legacy NR inter-frequency measurements requirement can be reused for R18 ATG. (CMCC, HW, ZTE, CATT, LGE)</w:t>
            </w:r>
          </w:p>
          <w:p w:rsidR="00857CA6" w:rsidRDefault="00857CA6" w:rsidP="00857CA6">
            <w:pPr>
              <w:numPr>
                <w:ilvl w:val="0"/>
                <w:numId w:val="46"/>
              </w:numPr>
              <w:spacing w:after="0"/>
              <w:ind w:left="935" w:hanging="357"/>
              <w:rPr>
                <w:rFonts w:eastAsia="宋体"/>
              </w:rPr>
            </w:pPr>
            <w:r>
              <w:rPr>
                <w:rFonts w:eastAsia="宋体"/>
              </w:rPr>
              <w:t>Option 2: RAN4 to study the trade-off between Inter-frequency measurement within MG and the data throughput due to large cell coverage. (Ericsson, LGE)</w:t>
            </w:r>
          </w:p>
          <w:p w:rsidR="00857CA6" w:rsidRDefault="00857CA6" w:rsidP="00857CA6">
            <w:pPr>
              <w:numPr>
                <w:ilvl w:val="0"/>
                <w:numId w:val="46"/>
              </w:numPr>
              <w:spacing w:after="0"/>
              <w:ind w:left="935" w:hanging="357"/>
              <w:rPr>
                <w:rFonts w:eastAsia="宋体"/>
              </w:rPr>
            </w:pPr>
            <w:r>
              <w:rPr>
                <w:rFonts w:eastAsia="宋体"/>
              </w:rPr>
              <w:t>Option 3: This need to be discussed later after we concluded 5-1-1/2/3. (Apple)</w:t>
            </w:r>
          </w:p>
          <w:p w:rsidR="00857CA6" w:rsidRDefault="00857CA6" w:rsidP="00586EFF">
            <w:pPr>
              <w:rPr>
                <w:rFonts w:eastAsia="宋体"/>
              </w:rPr>
            </w:pPr>
          </w:p>
        </w:tc>
      </w:tr>
    </w:tbl>
    <w:p w:rsidR="00857CA6" w:rsidRDefault="00857CA6" w:rsidP="00586EFF">
      <w:pPr>
        <w:rPr>
          <w:rFonts w:eastAsia="宋体"/>
        </w:rPr>
      </w:pPr>
    </w:p>
    <w:p w:rsidR="00857CA6" w:rsidRDefault="00360FBE" w:rsidP="00586EFF">
      <w:pPr>
        <w:rPr>
          <w:rFonts w:eastAsia="宋体"/>
        </w:rPr>
      </w:pPr>
      <w:r>
        <w:rPr>
          <w:rFonts w:eastAsia="宋体"/>
        </w:rPr>
        <w:t xml:space="preserve">For CSSF, companies are almost aligned in last meeting on the basic concepts. For CSSF outside gap, if inter-frequency without gap is not considered, then </w:t>
      </w:r>
      <w:proofErr w:type="spellStart"/>
      <w:r>
        <w:rPr>
          <w:rFonts w:eastAsia="宋体"/>
        </w:rPr>
        <w:t>CSSFintra</w:t>
      </w:r>
      <w:proofErr w:type="spellEnd"/>
      <w:r>
        <w:rPr>
          <w:rFonts w:eastAsia="宋体"/>
        </w:rPr>
        <w:t xml:space="preserve"> is always equal to one since CA/DC is not considered. For inter-frequency without gap, the feature is considered when the target frequency layer is within the active BWP of current CC. considering the real scenarios of ATG, power saving may be not the main considerations. Thus, it is more likely that ATG UE is configured with a large BWP for better throughput performance. Thus, inter-frequency without gap maybe not a typical scenarios to be considered. </w:t>
      </w:r>
    </w:p>
    <w:p w:rsidR="00360FBE" w:rsidRPr="00360FBE" w:rsidRDefault="00360FBE" w:rsidP="00586EFF">
      <w:pPr>
        <w:rPr>
          <w:rFonts w:eastAsia="宋体"/>
          <w:b/>
        </w:rPr>
      </w:pPr>
      <w:r w:rsidRPr="00360FBE">
        <w:rPr>
          <w:rFonts w:eastAsia="宋体"/>
          <w:b/>
        </w:rPr>
        <w:t>Observation 2: It is more likely that the target SSB of the same channel bandwidth is contained within the active BWP of the UE.</w:t>
      </w:r>
    </w:p>
    <w:p w:rsidR="00360FBE" w:rsidRDefault="00360FBE" w:rsidP="00586EFF">
      <w:pPr>
        <w:rPr>
          <w:rFonts w:eastAsia="宋体"/>
          <w:b/>
        </w:rPr>
      </w:pPr>
      <w:r w:rsidRPr="00360FBE">
        <w:rPr>
          <w:rFonts w:eastAsia="宋体"/>
          <w:b/>
        </w:rPr>
        <w:t xml:space="preserve">Proposal 2: For intra-frequency measurement without measurement gap, </w:t>
      </w:r>
      <w:proofErr w:type="spellStart"/>
      <w:r w:rsidRPr="00360FBE">
        <w:rPr>
          <w:rFonts w:eastAsia="宋体"/>
          <w:b/>
        </w:rPr>
        <w:t>CSSFintra</w:t>
      </w:r>
      <w:proofErr w:type="spellEnd"/>
      <w:r w:rsidRPr="00360FBE">
        <w:rPr>
          <w:rFonts w:eastAsia="宋体"/>
          <w:b/>
        </w:rPr>
        <w:t xml:space="preserve"> = 1 for ATG, without considering inter-frequency without gap.</w:t>
      </w:r>
      <w:r>
        <w:rPr>
          <w:rFonts w:eastAsia="宋体"/>
          <w:b/>
        </w:rPr>
        <w:t xml:space="preserve"> Legacy CSSF outside gap can apply to ATG.</w:t>
      </w:r>
    </w:p>
    <w:p w:rsidR="00360FBE" w:rsidRDefault="000F1E5C" w:rsidP="00586EFF">
      <w:pPr>
        <w:rPr>
          <w:rFonts w:eastAsia="宋体"/>
        </w:rPr>
      </w:pPr>
      <w:r w:rsidRPr="000F1E5C">
        <w:rPr>
          <w:rFonts w:eastAsia="宋体"/>
        </w:rPr>
        <w:t>As commented by operators that inter-frequency is also import for ATG deployment,</w:t>
      </w:r>
      <w:r>
        <w:rPr>
          <w:rFonts w:eastAsia="宋体"/>
        </w:rPr>
        <w:t xml:space="preserve"> thus inter-frequency measure should also be considered. Thus, based on analysis above for related issues, it is suggested that legacy intra-frequency and inter-frequency measurement can apply to ATG.</w:t>
      </w:r>
    </w:p>
    <w:p w:rsidR="00360FBE" w:rsidRPr="000F1E5C" w:rsidRDefault="000F1E5C" w:rsidP="00586EFF">
      <w:pPr>
        <w:rPr>
          <w:rFonts w:eastAsia="宋体"/>
          <w:b/>
        </w:rPr>
      </w:pPr>
      <w:r w:rsidRPr="000F1E5C">
        <w:rPr>
          <w:rFonts w:eastAsia="宋体"/>
          <w:b/>
        </w:rPr>
        <w:t>Proposal 3: Legacy intra-frequency and inter-frequency measurement can apply to ATG.</w:t>
      </w:r>
    </w:p>
    <w:p w:rsidR="00360FBE" w:rsidRPr="00A26E54" w:rsidRDefault="00360FBE" w:rsidP="00586EFF">
      <w:pPr>
        <w:rPr>
          <w:rFonts w:eastAsia="宋体"/>
        </w:rPr>
      </w:pPr>
    </w:p>
    <w:p w:rsidR="00DF0231" w:rsidRDefault="00DF0231" w:rsidP="00DF0231">
      <w:pPr>
        <w:pStyle w:val="Heading1"/>
        <w:numPr>
          <w:ilvl w:val="0"/>
          <w:numId w:val="1"/>
        </w:numPr>
        <w:rPr>
          <w:lang w:val="en-US"/>
        </w:rPr>
      </w:pPr>
      <w:r w:rsidRPr="002D2977">
        <w:rPr>
          <w:lang w:val="en-US"/>
        </w:rPr>
        <w:t>Conclusions</w:t>
      </w:r>
    </w:p>
    <w:p w:rsidR="005B08CC" w:rsidRPr="00857CA6" w:rsidRDefault="005B08CC" w:rsidP="005B08CC">
      <w:pPr>
        <w:rPr>
          <w:rFonts w:eastAsia="宋体"/>
          <w:b/>
        </w:rPr>
      </w:pPr>
      <w:r w:rsidRPr="00857CA6">
        <w:rPr>
          <w:rFonts w:eastAsia="宋体"/>
          <w:b/>
        </w:rPr>
        <w:t>Proposal 1: Legacy MG requirements can apply to ATG.</w:t>
      </w:r>
    </w:p>
    <w:p w:rsidR="005B08CC" w:rsidRPr="00360FBE" w:rsidRDefault="005B08CC" w:rsidP="005B08CC">
      <w:pPr>
        <w:rPr>
          <w:rFonts w:eastAsia="宋体"/>
          <w:b/>
        </w:rPr>
      </w:pPr>
      <w:r w:rsidRPr="00360FBE">
        <w:rPr>
          <w:rFonts w:eastAsia="宋体"/>
          <w:b/>
        </w:rPr>
        <w:t>Observation 2: It is more likely that the target SSB of the same channel bandwidth is contained within the active BWP of the UE.</w:t>
      </w:r>
    </w:p>
    <w:p w:rsidR="005B08CC" w:rsidRDefault="005B08CC" w:rsidP="005B08CC">
      <w:pPr>
        <w:rPr>
          <w:rFonts w:eastAsia="宋体"/>
          <w:b/>
        </w:rPr>
      </w:pPr>
      <w:r w:rsidRPr="00360FBE">
        <w:rPr>
          <w:rFonts w:eastAsia="宋体"/>
          <w:b/>
        </w:rPr>
        <w:t xml:space="preserve">Proposal 2: For intra-frequency measurement without measurement gap, </w:t>
      </w:r>
      <w:proofErr w:type="spellStart"/>
      <w:r w:rsidRPr="00360FBE">
        <w:rPr>
          <w:rFonts w:eastAsia="宋体"/>
          <w:b/>
        </w:rPr>
        <w:t>CSSFintra</w:t>
      </w:r>
      <w:proofErr w:type="spellEnd"/>
      <w:r w:rsidRPr="00360FBE">
        <w:rPr>
          <w:rFonts w:eastAsia="宋体"/>
          <w:b/>
        </w:rPr>
        <w:t xml:space="preserve"> = 1 for ATG, without considering inter-frequency without gap.</w:t>
      </w:r>
      <w:r>
        <w:rPr>
          <w:rFonts w:eastAsia="宋体"/>
          <w:b/>
        </w:rPr>
        <w:t xml:space="preserve"> Legacy CSSF outside gap can apply to ATG.</w:t>
      </w:r>
    </w:p>
    <w:p w:rsidR="008641BB" w:rsidRPr="005B08CC" w:rsidRDefault="005B08CC" w:rsidP="00F87DA1">
      <w:pPr>
        <w:rPr>
          <w:rFonts w:eastAsia="宋体"/>
          <w:b/>
        </w:rPr>
      </w:pPr>
      <w:r w:rsidRPr="000F1E5C">
        <w:rPr>
          <w:rFonts w:eastAsia="宋体"/>
          <w:b/>
        </w:rPr>
        <w:t>Proposal 3: Legacy intra-frequency and inter-frequency measurement can apply to ATG.</w:t>
      </w:r>
    </w:p>
    <w:p w:rsidR="00DF0231" w:rsidRPr="002D2977" w:rsidRDefault="00DF0231" w:rsidP="00DF0231">
      <w:pPr>
        <w:pStyle w:val="Heading1"/>
        <w:tabs>
          <w:tab w:val="clear" w:pos="432"/>
        </w:tabs>
        <w:ind w:left="0" w:firstLine="0"/>
        <w:rPr>
          <w:lang w:val="en-US"/>
        </w:rPr>
      </w:pPr>
      <w:r w:rsidRPr="002D2977">
        <w:rPr>
          <w:lang w:val="en-US"/>
        </w:rPr>
        <w:t>References</w:t>
      </w:r>
    </w:p>
    <w:p w:rsidR="007E1DD2" w:rsidRDefault="004118D3">
      <w:pPr>
        <w:rPr>
          <w:rFonts w:eastAsiaTheme="minorEastAsia"/>
          <w:lang w:eastAsia="zh-CN"/>
        </w:rPr>
      </w:pPr>
      <w:r>
        <w:rPr>
          <w:rFonts w:eastAsiaTheme="minorEastAsia"/>
          <w:lang w:eastAsia="zh-CN"/>
        </w:rPr>
        <w:t xml:space="preserve">[1] </w:t>
      </w:r>
      <w:r w:rsidRPr="004118D3">
        <w:rPr>
          <w:rFonts w:eastAsiaTheme="minorEastAsia"/>
          <w:lang w:eastAsia="zh-CN"/>
        </w:rPr>
        <w:t>RP-220962</w:t>
      </w:r>
      <w:r>
        <w:rPr>
          <w:rFonts w:eastAsiaTheme="minorEastAsia"/>
          <w:lang w:eastAsia="zh-CN"/>
        </w:rPr>
        <w:t xml:space="preserve"> </w:t>
      </w:r>
      <w:r w:rsidRPr="004118D3">
        <w:rPr>
          <w:rFonts w:eastAsiaTheme="minorEastAsia"/>
          <w:lang w:eastAsia="zh-CN"/>
        </w:rPr>
        <w:t>New WID: Air-to-ground network for NR</w:t>
      </w:r>
      <w:r>
        <w:rPr>
          <w:rFonts w:eastAsiaTheme="minorEastAsia"/>
          <w:lang w:eastAsia="zh-CN"/>
        </w:rPr>
        <w:t>, CMCC</w:t>
      </w:r>
    </w:p>
    <w:p w:rsidR="004118D3" w:rsidRDefault="004118D3">
      <w:pPr>
        <w:rPr>
          <w:rFonts w:eastAsiaTheme="minorEastAsia"/>
          <w:lang w:eastAsia="zh-CN"/>
        </w:rPr>
      </w:pPr>
      <w:r>
        <w:rPr>
          <w:rFonts w:eastAsiaTheme="minorEastAsia"/>
          <w:lang w:eastAsia="zh-CN"/>
        </w:rPr>
        <w:t xml:space="preserve">[2] </w:t>
      </w:r>
      <w:r w:rsidRPr="004118D3">
        <w:rPr>
          <w:rFonts w:eastAsiaTheme="minorEastAsia"/>
          <w:lang w:eastAsia="zh-CN"/>
        </w:rPr>
        <w:t>RP-221369</w:t>
      </w:r>
      <w:r w:rsidRPr="004118D3">
        <w:t xml:space="preserve"> </w:t>
      </w:r>
      <w:r w:rsidRPr="004118D3">
        <w:rPr>
          <w:rFonts w:eastAsiaTheme="minorEastAsia"/>
          <w:lang w:eastAsia="zh-CN"/>
        </w:rPr>
        <w:t>Revised WID on Air-to-ground network for NR</w:t>
      </w:r>
      <w:r>
        <w:rPr>
          <w:rFonts w:eastAsiaTheme="minorEastAsia"/>
          <w:lang w:eastAsia="zh-CN"/>
        </w:rPr>
        <w:t>, CMCC</w:t>
      </w:r>
    </w:p>
    <w:p w:rsidR="00586EFF" w:rsidRDefault="00586EFF">
      <w:pPr>
        <w:rPr>
          <w:rFonts w:eastAsiaTheme="minorEastAsia"/>
          <w:lang w:eastAsia="zh-CN"/>
        </w:rPr>
      </w:pPr>
      <w:r>
        <w:rPr>
          <w:rFonts w:eastAsiaTheme="minorEastAsia"/>
          <w:lang w:eastAsia="zh-CN"/>
        </w:rPr>
        <w:t>[3]</w:t>
      </w:r>
      <w:r w:rsidRPr="00586EFF">
        <w:t xml:space="preserve"> </w:t>
      </w:r>
      <w:r w:rsidR="004628CB" w:rsidRPr="004628CB">
        <w:rPr>
          <w:rFonts w:eastAsiaTheme="minorEastAsia"/>
          <w:lang w:eastAsia="zh-CN"/>
        </w:rPr>
        <w:t>R4-2217256</w:t>
      </w:r>
      <w:r w:rsidR="004628CB">
        <w:rPr>
          <w:rFonts w:eastAsiaTheme="minorEastAsia"/>
          <w:lang w:eastAsia="zh-CN"/>
        </w:rPr>
        <w:t xml:space="preserve"> </w:t>
      </w:r>
      <w:r w:rsidR="004628CB" w:rsidRPr="004628CB">
        <w:rPr>
          <w:rFonts w:eastAsiaTheme="minorEastAsia"/>
          <w:lang w:eastAsia="zh-CN"/>
        </w:rPr>
        <w:t>WF on NR ATG RRM core requirements</w:t>
      </w:r>
      <w:r>
        <w:rPr>
          <w:rFonts w:eastAsiaTheme="minorEastAsia"/>
          <w:lang w:eastAsia="zh-CN"/>
        </w:rPr>
        <w:t>, CMCC</w:t>
      </w:r>
    </w:p>
    <w:p w:rsidR="00581258" w:rsidRPr="007E1DD2" w:rsidRDefault="00581258">
      <w:pPr>
        <w:rPr>
          <w:rFonts w:eastAsiaTheme="minorEastAsia"/>
          <w:lang w:val="en-US" w:eastAsia="zh-CN"/>
        </w:rPr>
      </w:pPr>
    </w:p>
    <w:sectPr w:rsidR="00581258" w:rsidRPr="007E1DD2"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7DE8" w:rsidRDefault="00407DE8">
      <w:pPr>
        <w:spacing w:after="0"/>
      </w:pPr>
      <w:r>
        <w:separator/>
      </w:r>
    </w:p>
  </w:endnote>
  <w:endnote w:type="continuationSeparator" w:id="0">
    <w:p w:rsidR="00407DE8" w:rsidRDefault="00407D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Light">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FBE" w:rsidRDefault="00360F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360FBE" w:rsidRDefault="00360FB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FBE" w:rsidRDefault="00360F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A234C">
      <w:rPr>
        <w:rStyle w:val="PageNumber"/>
      </w:rPr>
      <w:t>1</w:t>
    </w:r>
    <w:r>
      <w:rPr>
        <w:rStyle w:val="PageNumber"/>
      </w:rPr>
      <w:fldChar w:fldCharType="end"/>
    </w:r>
  </w:p>
  <w:p w:rsidR="00360FBE" w:rsidRDefault="00360FB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7DE8" w:rsidRDefault="00407DE8">
      <w:pPr>
        <w:spacing w:after="0"/>
      </w:pPr>
      <w:r>
        <w:separator/>
      </w:r>
    </w:p>
  </w:footnote>
  <w:footnote w:type="continuationSeparator" w:id="0">
    <w:p w:rsidR="00407DE8" w:rsidRDefault="00407DE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AB6D19"/>
    <w:multiLevelType w:val="hybridMultilevel"/>
    <w:tmpl w:val="5524C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118F4033"/>
    <w:multiLevelType w:val="hybridMultilevel"/>
    <w:tmpl w:val="6B9843DC"/>
    <w:lvl w:ilvl="0" w:tplc="C5BE8FFC">
      <w:start w:val="1"/>
      <w:numFmt w:val="bullet"/>
      <w:lvlText w:val="•"/>
      <w:lvlJc w:val="left"/>
      <w:pPr>
        <w:tabs>
          <w:tab w:val="num" w:pos="720"/>
        </w:tabs>
        <w:ind w:left="720" w:hanging="360"/>
      </w:pPr>
      <w:rPr>
        <w:rFonts w:ascii="Arial" w:hAnsi="Arial" w:hint="default"/>
      </w:rPr>
    </w:lvl>
    <w:lvl w:ilvl="1" w:tplc="29BA16A6">
      <w:numFmt w:val="bullet"/>
      <w:lvlText w:val="–"/>
      <w:lvlJc w:val="left"/>
      <w:pPr>
        <w:tabs>
          <w:tab w:val="num" w:pos="1440"/>
        </w:tabs>
        <w:ind w:left="1440" w:hanging="360"/>
      </w:pPr>
      <w:rPr>
        <w:rFonts w:ascii="Arial" w:hAnsi="Arial" w:hint="default"/>
      </w:rPr>
    </w:lvl>
    <w:lvl w:ilvl="2" w:tplc="6332FBE6">
      <w:numFmt w:val="bullet"/>
      <w:lvlText w:val="•"/>
      <w:lvlJc w:val="left"/>
      <w:pPr>
        <w:tabs>
          <w:tab w:val="num" w:pos="2160"/>
        </w:tabs>
        <w:ind w:left="2160" w:hanging="360"/>
      </w:pPr>
      <w:rPr>
        <w:rFonts w:ascii="Arial" w:hAnsi="Arial" w:hint="default"/>
      </w:rPr>
    </w:lvl>
    <w:lvl w:ilvl="3" w:tplc="63C2A54C">
      <w:numFmt w:val="bullet"/>
      <w:lvlText w:val="–"/>
      <w:lvlJc w:val="left"/>
      <w:pPr>
        <w:tabs>
          <w:tab w:val="num" w:pos="2880"/>
        </w:tabs>
        <w:ind w:left="2880" w:hanging="360"/>
      </w:pPr>
      <w:rPr>
        <w:rFonts w:ascii="Arial" w:hAnsi="Arial" w:hint="default"/>
      </w:rPr>
    </w:lvl>
    <w:lvl w:ilvl="4" w:tplc="DC381216">
      <w:numFmt w:val="bullet"/>
      <w:lvlText w:val="»"/>
      <w:lvlJc w:val="left"/>
      <w:pPr>
        <w:tabs>
          <w:tab w:val="num" w:pos="3600"/>
        </w:tabs>
        <w:ind w:left="3600" w:hanging="360"/>
      </w:pPr>
      <w:rPr>
        <w:rFonts w:ascii="Arial" w:hAnsi="Arial" w:hint="default"/>
      </w:rPr>
    </w:lvl>
    <w:lvl w:ilvl="5" w:tplc="22243C48" w:tentative="1">
      <w:start w:val="1"/>
      <w:numFmt w:val="bullet"/>
      <w:lvlText w:val="•"/>
      <w:lvlJc w:val="left"/>
      <w:pPr>
        <w:tabs>
          <w:tab w:val="num" w:pos="4320"/>
        </w:tabs>
        <w:ind w:left="4320" w:hanging="360"/>
      </w:pPr>
      <w:rPr>
        <w:rFonts w:ascii="Arial" w:hAnsi="Arial" w:hint="default"/>
      </w:rPr>
    </w:lvl>
    <w:lvl w:ilvl="6" w:tplc="1952DF5E" w:tentative="1">
      <w:start w:val="1"/>
      <w:numFmt w:val="bullet"/>
      <w:lvlText w:val="•"/>
      <w:lvlJc w:val="left"/>
      <w:pPr>
        <w:tabs>
          <w:tab w:val="num" w:pos="5040"/>
        </w:tabs>
        <w:ind w:left="5040" w:hanging="360"/>
      </w:pPr>
      <w:rPr>
        <w:rFonts w:ascii="Arial" w:hAnsi="Arial" w:hint="default"/>
      </w:rPr>
    </w:lvl>
    <w:lvl w:ilvl="7" w:tplc="ACD014E2" w:tentative="1">
      <w:start w:val="1"/>
      <w:numFmt w:val="bullet"/>
      <w:lvlText w:val="•"/>
      <w:lvlJc w:val="left"/>
      <w:pPr>
        <w:tabs>
          <w:tab w:val="num" w:pos="5760"/>
        </w:tabs>
        <w:ind w:left="5760" w:hanging="360"/>
      </w:pPr>
      <w:rPr>
        <w:rFonts w:ascii="Arial" w:hAnsi="Arial" w:hint="default"/>
      </w:rPr>
    </w:lvl>
    <w:lvl w:ilvl="8" w:tplc="5FF48B3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7BF24DE"/>
    <w:multiLevelType w:val="hybridMultilevel"/>
    <w:tmpl w:val="150CE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BC6769"/>
    <w:multiLevelType w:val="hybridMultilevel"/>
    <w:tmpl w:val="F6407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90F20"/>
    <w:multiLevelType w:val="hybridMultilevel"/>
    <w:tmpl w:val="DA905176"/>
    <w:lvl w:ilvl="0" w:tplc="E4A2B4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49366D7"/>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C61B79"/>
    <w:multiLevelType w:val="hybridMultilevel"/>
    <w:tmpl w:val="B1104142"/>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3ABD2C74"/>
    <w:multiLevelType w:val="hybridMultilevel"/>
    <w:tmpl w:val="5A5CD31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14C35E5"/>
    <w:multiLevelType w:val="hybridMultilevel"/>
    <w:tmpl w:val="8DF0DCDE"/>
    <w:lvl w:ilvl="0" w:tplc="DCE606D4">
      <w:start w:val="1"/>
      <w:numFmt w:val="bullet"/>
      <w:lvlText w:val="•"/>
      <w:lvlJc w:val="left"/>
      <w:pPr>
        <w:tabs>
          <w:tab w:val="num" w:pos="720"/>
        </w:tabs>
        <w:ind w:left="720" w:hanging="360"/>
      </w:pPr>
      <w:rPr>
        <w:rFonts w:ascii="Arial" w:hAnsi="Arial" w:hint="default"/>
      </w:rPr>
    </w:lvl>
    <w:lvl w:ilvl="1" w:tplc="5D4A4662">
      <w:numFmt w:val="bullet"/>
      <w:lvlText w:val="–"/>
      <w:lvlJc w:val="left"/>
      <w:pPr>
        <w:tabs>
          <w:tab w:val="num" w:pos="1440"/>
        </w:tabs>
        <w:ind w:left="1440" w:hanging="360"/>
      </w:pPr>
      <w:rPr>
        <w:rFonts w:ascii="Arial" w:hAnsi="Arial" w:hint="default"/>
      </w:rPr>
    </w:lvl>
    <w:lvl w:ilvl="2" w:tplc="A6582DE0">
      <w:numFmt w:val="bullet"/>
      <w:lvlText w:val="•"/>
      <w:lvlJc w:val="left"/>
      <w:pPr>
        <w:tabs>
          <w:tab w:val="num" w:pos="2160"/>
        </w:tabs>
        <w:ind w:left="2160" w:hanging="360"/>
      </w:pPr>
      <w:rPr>
        <w:rFonts w:ascii="Arial" w:hAnsi="Arial" w:hint="default"/>
      </w:rPr>
    </w:lvl>
    <w:lvl w:ilvl="3" w:tplc="5D6AFE4C">
      <w:numFmt w:val="bullet"/>
      <w:lvlText w:val="–"/>
      <w:lvlJc w:val="left"/>
      <w:pPr>
        <w:tabs>
          <w:tab w:val="num" w:pos="2880"/>
        </w:tabs>
        <w:ind w:left="2880" w:hanging="360"/>
      </w:pPr>
      <w:rPr>
        <w:rFonts w:ascii="Arial" w:hAnsi="Arial" w:hint="default"/>
      </w:rPr>
    </w:lvl>
    <w:lvl w:ilvl="4" w:tplc="4F40D690" w:tentative="1">
      <w:start w:val="1"/>
      <w:numFmt w:val="bullet"/>
      <w:lvlText w:val="•"/>
      <w:lvlJc w:val="left"/>
      <w:pPr>
        <w:tabs>
          <w:tab w:val="num" w:pos="3600"/>
        </w:tabs>
        <w:ind w:left="3600" w:hanging="360"/>
      </w:pPr>
      <w:rPr>
        <w:rFonts w:ascii="Arial" w:hAnsi="Arial" w:hint="default"/>
      </w:rPr>
    </w:lvl>
    <w:lvl w:ilvl="5" w:tplc="061E2A18" w:tentative="1">
      <w:start w:val="1"/>
      <w:numFmt w:val="bullet"/>
      <w:lvlText w:val="•"/>
      <w:lvlJc w:val="left"/>
      <w:pPr>
        <w:tabs>
          <w:tab w:val="num" w:pos="4320"/>
        </w:tabs>
        <w:ind w:left="4320" w:hanging="360"/>
      </w:pPr>
      <w:rPr>
        <w:rFonts w:ascii="Arial" w:hAnsi="Arial" w:hint="default"/>
      </w:rPr>
    </w:lvl>
    <w:lvl w:ilvl="6" w:tplc="53E84B4A" w:tentative="1">
      <w:start w:val="1"/>
      <w:numFmt w:val="bullet"/>
      <w:lvlText w:val="•"/>
      <w:lvlJc w:val="left"/>
      <w:pPr>
        <w:tabs>
          <w:tab w:val="num" w:pos="5040"/>
        </w:tabs>
        <w:ind w:left="5040" w:hanging="360"/>
      </w:pPr>
      <w:rPr>
        <w:rFonts w:ascii="Arial" w:hAnsi="Arial" w:hint="default"/>
      </w:rPr>
    </w:lvl>
    <w:lvl w:ilvl="7" w:tplc="ECE24894" w:tentative="1">
      <w:start w:val="1"/>
      <w:numFmt w:val="bullet"/>
      <w:lvlText w:val="•"/>
      <w:lvlJc w:val="left"/>
      <w:pPr>
        <w:tabs>
          <w:tab w:val="num" w:pos="5760"/>
        </w:tabs>
        <w:ind w:left="5760" w:hanging="360"/>
      </w:pPr>
      <w:rPr>
        <w:rFonts w:ascii="Arial" w:hAnsi="Arial" w:hint="default"/>
      </w:rPr>
    </w:lvl>
    <w:lvl w:ilvl="8" w:tplc="CFC2CE1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5F754B9"/>
    <w:multiLevelType w:val="hybridMultilevel"/>
    <w:tmpl w:val="9592A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19"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0216D4"/>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8F20F35"/>
    <w:multiLevelType w:val="hybridMultilevel"/>
    <w:tmpl w:val="364C52E8"/>
    <w:lvl w:ilvl="0" w:tplc="19448670">
      <w:start w:val="1"/>
      <w:numFmt w:val="bullet"/>
      <w:lvlText w:val="•"/>
      <w:lvlJc w:val="left"/>
      <w:pPr>
        <w:tabs>
          <w:tab w:val="num" w:pos="720"/>
        </w:tabs>
        <w:ind w:left="720" w:hanging="360"/>
      </w:pPr>
      <w:rPr>
        <w:rFonts w:ascii="Arial" w:hAnsi="Arial" w:hint="default"/>
      </w:rPr>
    </w:lvl>
    <w:lvl w:ilvl="1" w:tplc="07A8306C">
      <w:numFmt w:val="bullet"/>
      <w:lvlText w:val="–"/>
      <w:lvlJc w:val="left"/>
      <w:pPr>
        <w:tabs>
          <w:tab w:val="num" w:pos="1440"/>
        </w:tabs>
        <w:ind w:left="1440" w:hanging="360"/>
      </w:pPr>
      <w:rPr>
        <w:rFonts w:ascii="Arial" w:hAnsi="Arial" w:hint="default"/>
      </w:rPr>
    </w:lvl>
    <w:lvl w:ilvl="2" w:tplc="01127A18">
      <w:numFmt w:val="bullet"/>
      <w:lvlText w:val="•"/>
      <w:lvlJc w:val="left"/>
      <w:pPr>
        <w:tabs>
          <w:tab w:val="num" w:pos="2160"/>
        </w:tabs>
        <w:ind w:left="2160" w:hanging="360"/>
      </w:pPr>
      <w:rPr>
        <w:rFonts w:ascii="Arial" w:hAnsi="Arial" w:hint="default"/>
      </w:rPr>
    </w:lvl>
    <w:lvl w:ilvl="3" w:tplc="4BDCC816">
      <w:numFmt w:val="bullet"/>
      <w:lvlText w:val="–"/>
      <w:lvlJc w:val="left"/>
      <w:pPr>
        <w:tabs>
          <w:tab w:val="num" w:pos="2880"/>
        </w:tabs>
        <w:ind w:left="2880" w:hanging="360"/>
      </w:pPr>
      <w:rPr>
        <w:rFonts w:ascii="Arial" w:hAnsi="Arial" w:hint="default"/>
      </w:rPr>
    </w:lvl>
    <w:lvl w:ilvl="4" w:tplc="7E8C4490" w:tentative="1">
      <w:start w:val="1"/>
      <w:numFmt w:val="bullet"/>
      <w:lvlText w:val="•"/>
      <w:lvlJc w:val="left"/>
      <w:pPr>
        <w:tabs>
          <w:tab w:val="num" w:pos="3600"/>
        </w:tabs>
        <w:ind w:left="3600" w:hanging="360"/>
      </w:pPr>
      <w:rPr>
        <w:rFonts w:ascii="Arial" w:hAnsi="Arial" w:hint="default"/>
      </w:rPr>
    </w:lvl>
    <w:lvl w:ilvl="5" w:tplc="C9CE5B8E" w:tentative="1">
      <w:start w:val="1"/>
      <w:numFmt w:val="bullet"/>
      <w:lvlText w:val="•"/>
      <w:lvlJc w:val="left"/>
      <w:pPr>
        <w:tabs>
          <w:tab w:val="num" w:pos="4320"/>
        </w:tabs>
        <w:ind w:left="4320" w:hanging="360"/>
      </w:pPr>
      <w:rPr>
        <w:rFonts w:ascii="Arial" w:hAnsi="Arial" w:hint="default"/>
      </w:rPr>
    </w:lvl>
    <w:lvl w:ilvl="6" w:tplc="E5707B18" w:tentative="1">
      <w:start w:val="1"/>
      <w:numFmt w:val="bullet"/>
      <w:lvlText w:val="•"/>
      <w:lvlJc w:val="left"/>
      <w:pPr>
        <w:tabs>
          <w:tab w:val="num" w:pos="5040"/>
        </w:tabs>
        <w:ind w:left="5040" w:hanging="360"/>
      </w:pPr>
      <w:rPr>
        <w:rFonts w:ascii="Arial" w:hAnsi="Arial" w:hint="default"/>
      </w:rPr>
    </w:lvl>
    <w:lvl w:ilvl="7" w:tplc="DCB6D084" w:tentative="1">
      <w:start w:val="1"/>
      <w:numFmt w:val="bullet"/>
      <w:lvlText w:val="•"/>
      <w:lvlJc w:val="left"/>
      <w:pPr>
        <w:tabs>
          <w:tab w:val="num" w:pos="5760"/>
        </w:tabs>
        <w:ind w:left="5760" w:hanging="360"/>
      </w:pPr>
      <w:rPr>
        <w:rFonts w:ascii="Arial" w:hAnsi="Arial" w:hint="default"/>
      </w:rPr>
    </w:lvl>
    <w:lvl w:ilvl="8" w:tplc="0712AB7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BE5896"/>
    <w:multiLevelType w:val="hybridMultilevel"/>
    <w:tmpl w:val="87F08EEC"/>
    <w:lvl w:ilvl="0" w:tplc="4D1E0BE0">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267C66"/>
    <w:multiLevelType w:val="hybridMultilevel"/>
    <w:tmpl w:val="97C00A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62291B"/>
    <w:multiLevelType w:val="hybridMultilevel"/>
    <w:tmpl w:val="59B6F2E8"/>
    <w:lvl w:ilvl="0" w:tplc="4416805C">
      <w:start w:val="1"/>
      <w:numFmt w:val="bullet"/>
      <w:lvlText w:val="•"/>
      <w:lvlJc w:val="left"/>
      <w:pPr>
        <w:tabs>
          <w:tab w:val="num" w:pos="720"/>
        </w:tabs>
        <w:ind w:left="720" w:hanging="360"/>
      </w:pPr>
      <w:rPr>
        <w:rFonts w:ascii="Arial" w:hAnsi="Arial" w:hint="default"/>
      </w:rPr>
    </w:lvl>
    <w:lvl w:ilvl="1" w:tplc="D5D6EACA">
      <w:numFmt w:val="bullet"/>
      <w:lvlText w:val="–"/>
      <w:lvlJc w:val="left"/>
      <w:pPr>
        <w:tabs>
          <w:tab w:val="num" w:pos="1440"/>
        </w:tabs>
        <w:ind w:left="1440" w:hanging="360"/>
      </w:pPr>
      <w:rPr>
        <w:rFonts w:ascii="Arial" w:hAnsi="Arial" w:hint="default"/>
      </w:rPr>
    </w:lvl>
    <w:lvl w:ilvl="2" w:tplc="ED568FF8">
      <w:numFmt w:val="bullet"/>
      <w:lvlText w:val="•"/>
      <w:lvlJc w:val="left"/>
      <w:pPr>
        <w:tabs>
          <w:tab w:val="num" w:pos="2160"/>
        </w:tabs>
        <w:ind w:left="2160" w:hanging="360"/>
      </w:pPr>
      <w:rPr>
        <w:rFonts w:ascii="Arial" w:hAnsi="Arial" w:hint="default"/>
      </w:rPr>
    </w:lvl>
    <w:lvl w:ilvl="3" w:tplc="ADDEC67A">
      <w:numFmt w:val="bullet"/>
      <w:lvlText w:val="–"/>
      <w:lvlJc w:val="left"/>
      <w:pPr>
        <w:tabs>
          <w:tab w:val="num" w:pos="2880"/>
        </w:tabs>
        <w:ind w:left="2880" w:hanging="360"/>
      </w:pPr>
      <w:rPr>
        <w:rFonts w:ascii="Arial" w:hAnsi="Arial" w:hint="default"/>
      </w:rPr>
    </w:lvl>
    <w:lvl w:ilvl="4" w:tplc="AFF4B7E6" w:tentative="1">
      <w:start w:val="1"/>
      <w:numFmt w:val="bullet"/>
      <w:lvlText w:val="•"/>
      <w:lvlJc w:val="left"/>
      <w:pPr>
        <w:tabs>
          <w:tab w:val="num" w:pos="3600"/>
        </w:tabs>
        <w:ind w:left="3600" w:hanging="360"/>
      </w:pPr>
      <w:rPr>
        <w:rFonts w:ascii="Arial" w:hAnsi="Arial" w:hint="default"/>
      </w:rPr>
    </w:lvl>
    <w:lvl w:ilvl="5" w:tplc="9B0CC226" w:tentative="1">
      <w:start w:val="1"/>
      <w:numFmt w:val="bullet"/>
      <w:lvlText w:val="•"/>
      <w:lvlJc w:val="left"/>
      <w:pPr>
        <w:tabs>
          <w:tab w:val="num" w:pos="4320"/>
        </w:tabs>
        <w:ind w:left="4320" w:hanging="360"/>
      </w:pPr>
      <w:rPr>
        <w:rFonts w:ascii="Arial" w:hAnsi="Arial" w:hint="default"/>
      </w:rPr>
    </w:lvl>
    <w:lvl w:ilvl="6" w:tplc="C5F862C4" w:tentative="1">
      <w:start w:val="1"/>
      <w:numFmt w:val="bullet"/>
      <w:lvlText w:val="•"/>
      <w:lvlJc w:val="left"/>
      <w:pPr>
        <w:tabs>
          <w:tab w:val="num" w:pos="5040"/>
        </w:tabs>
        <w:ind w:left="5040" w:hanging="360"/>
      </w:pPr>
      <w:rPr>
        <w:rFonts w:ascii="Arial" w:hAnsi="Arial" w:hint="default"/>
      </w:rPr>
    </w:lvl>
    <w:lvl w:ilvl="7" w:tplc="566E1B50" w:tentative="1">
      <w:start w:val="1"/>
      <w:numFmt w:val="bullet"/>
      <w:lvlText w:val="•"/>
      <w:lvlJc w:val="left"/>
      <w:pPr>
        <w:tabs>
          <w:tab w:val="num" w:pos="5760"/>
        </w:tabs>
        <w:ind w:left="5760" w:hanging="360"/>
      </w:pPr>
      <w:rPr>
        <w:rFonts w:ascii="Arial" w:hAnsi="Arial" w:hint="default"/>
      </w:rPr>
    </w:lvl>
    <w:lvl w:ilvl="8" w:tplc="309AF9F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D00801"/>
    <w:multiLevelType w:val="hybridMultilevel"/>
    <w:tmpl w:val="61A2D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280614"/>
    <w:multiLevelType w:val="hybridMultilevel"/>
    <w:tmpl w:val="9E72F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33"/>
  </w:num>
  <w:num w:numId="3">
    <w:abstractNumId w:val="40"/>
  </w:num>
  <w:num w:numId="4">
    <w:abstractNumId w:val="39"/>
  </w:num>
  <w:num w:numId="5">
    <w:abstractNumId w:val="1"/>
  </w:num>
  <w:num w:numId="6">
    <w:abstractNumId w:val="19"/>
  </w:num>
  <w:num w:numId="7">
    <w:abstractNumId w:val="8"/>
  </w:num>
  <w:num w:numId="8">
    <w:abstractNumId w:val="27"/>
  </w:num>
  <w:num w:numId="9">
    <w:abstractNumId w:val="31"/>
  </w:num>
  <w:num w:numId="10">
    <w:abstractNumId w:val="20"/>
  </w:num>
  <w:num w:numId="11">
    <w:abstractNumId w:val="22"/>
  </w:num>
  <w:num w:numId="12">
    <w:abstractNumId w:val="6"/>
  </w:num>
  <w:num w:numId="13">
    <w:abstractNumId w:val="13"/>
  </w:num>
  <w:num w:numId="14">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num>
  <w:num w:numId="16">
    <w:abstractNumId w:val="36"/>
  </w:num>
  <w:num w:numId="17">
    <w:abstractNumId w:val="35"/>
  </w:num>
  <w:num w:numId="18">
    <w:abstractNumId w:val="15"/>
  </w:num>
  <w:num w:numId="19">
    <w:abstractNumId w:val="2"/>
  </w:num>
  <w:num w:numId="20">
    <w:abstractNumId w:val="14"/>
  </w:num>
  <w:num w:numId="21">
    <w:abstractNumId w:val="32"/>
  </w:num>
  <w:num w:numId="22">
    <w:abstractNumId w:val="25"/>
  </w:num>
  <w:num w:numId="23">
    <w:abstractNumId w:val="24"/>
  </w:num>
  <w:num w:numId="24">
    <w:abstractNumId w:val="28"/>
  </w:num>
  <w:num w:numId="25">
    <w:abstractNumId w:val="29"/>
  </w:num>
  <w:num w:numId="26">
    <w:abstractNumId w:val="3"/>
  </w:num>
  <w:num w:numId="27">
    <w:abstractNumId w:val="9"/>
  </w:num>
  <w:num w:numId="28">
    <w:abstractNumId w:val="7"/>
  </w:num>
  <w:num w:numId="29">
    <w:abstractNumId w:val="18"/>
  </w:num>
  <w:num w:numId="30">
    <w:abstractNumId w:val="30"/>
  </w:num>
  <w:num w:numId="31">
    <w:abstractNumId w:val="34"/>
  </w:num>
  <w:num w:numId="32">
    <w:abstractNumId w:val="21"/>
  </w:num>
  <w:num w:numId="33">
    <w:abstractNumId w:val="10"/>
  </w:num>
  <w:num w:numId="34">
    <w:abstractNumId w:val="23"/>
  </w:num>
  <w:num w:numId="35">
    <w:abstractNumId w:val="26"/>
  </w:num>
  <w:num w:numId="36">
    <w:abstractNumId w:val="4"/>
  </w:num>
  <w:num w:numId="37">
    <w:abstractNumId w:val="17"/>
  </w:num>
  <w:num w:numId="38">
    <w:abstractNumId w:val="24"/>
  </w:num>
  <w:num w:numId="39">
    <w:abstractNumId w:val="23"/>
  </w:num>
  <w:num w:numId="40">
    <w:abstractNumId w:val="5"/>
  </w:num>
  <w:num w:numId="41">
    <w:abstractNumId w:val="38"/>
  </w:num>
  <w:num w:numId="42">
    <w:abstractNumId w:val="11"/>
  </w:num>
  <w:num w:numId="43">
    <w:abstractNumId w:val="41"/>
  </w:num>
  <w:num w:numId="44">
    <w:abstractNumId w:val="12"/>
  </w:num>
  <w:num w:numId="45">
    <w:abstractNumId w:val="0"/>
  </w:num>
  <w:num w:numId="46">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03241"/>
    <w:rsid w:val="0000330B"/>
    <w:rsid w:val="00003EC2"/>
    <w:rsid w:val="000131D4"/>
    <w:rsid w:val="000205FC"/>
    <w:rsid w:val="00025036"/>
    <w:rsid w:val="00035B7C"/>
    <w:rsid w:val="00035D42"/>
    <w:rsid w:val="00037C03"/>
    <w:rsid w:val="00040779"/>
    <w:rsid w:val="00041051"/>
    <w:rsid w:val="0004356B"/>
    <w:rsid w:val="0004558E"/>
    <w:rsid w:val="00046547"/>
    <w:rsid w:val="00055B5D"/>
    <w:rsid w:val="00061A47"/>
    <w:rsid w:val="00063B55"/>
    <w:rsid w:val="00063E08"/>
    <w:rsid w:val="000676A1"/>
    <w:rsid w:val="00067A48"/>
    <w:rsid w:val="00067B89"/>
    <w:rsid w:val="000731A5"/>
    <w:rsid w:val="00076C0A"/>
    <w:rsid w:val="000837AC"/>
    <w:rsid w:val="00086874"/>
    <w:rsid w:val="00087858"/>
    <w:rsid w:val="000903D2"/>
    <w:rsid w:val="00092907"/>
    <w:rsid w:val="000943A0"/>
    <w:rsid w:val="00096503"/>
    <w:rsid w:val="00097E39"/>
    <w:rsid w:val="000A1106"/>
    <w:rsid w:val="000A12FD"/>
    <w:rsid w:val="000A1878"/>
    <w:rsid w:val="000A2ED7"/>
    <w:rsid w:val="000A4BCB"/>
    <w:rsid w:val="000A5097"/>
    <w:rsid w:val="000A7A19"/>
    <w:rsid w:val="000B15EC"/>
    <w:rsid w:val="000C2147"/>
    <w:rsid w:val="000C3708"/>
    <w:rsid w:val="000D2930"/>
    <w:rsid w:val="000D59F6"/>
    <w:rsid w:val="000D6B9B"/>
    <w:rsid w:val="000E0A8A"/>
    <w:rsid w:val="000E2C03"/>
    <w:rsid w:val="000F04C6"/>
    <w:rsid w:val="000F1E5C"/>
    <w:rsid w:val="000F39EE"/>
    <w:rsid w:val="000F7DE7"/>
    <w:rsid w:val="0010016B"/>
    <w:rsid w:val="00100360"/>
    <w:rsid w:val="0010262D"/>
    <w:rsid w:val="00104362"/>
    <w:rsid w:val="00107AF6"/>
    <w:rsid w:val="00110BAD"/>
    <w:rsid w:val="0011207E"/>
    <w:rsid w:val="001137CA"/>
    <w:rsid w:val="001230FF"/>
    <w:rsid w:val="001241FC"/>
    <w:rsid w:val="00124231"/>
    <w:rsid w:val="00127EDD"/>
    <w:rsid w:val="00130A0F"/>
    <w:rsid w:val="001328F2"/>
    <w:rsid w:val="00132B63"/>
    <w:rsid w:val="00133BA3"/>
    <w:rsid w:val="001343DA"/>
    <w:rsid w:val="001365E9"/>
    <w:rsid w:val="001406A8"/>
    <w:rsid w:val="0014128A"/>
    <w:rsid w:val="00141870"/>
    <w:rsid w:val="001435CB"/>
    <w:rsid w:val="00151949"/>
    <w:rsid w:val="00152334"/>
    <w:rsid w:val="001531EC"/>
    <w:rsid w:val="00153CFF"/>
    <w:rsid w:val="001616BF"/>
    <w:rsid w:val="00161981"/>
    <w:rsid w:val="00163724"/>
    <w:rsid w:val="00165992"/>
    <w:rsid w:val="001734E7"/>
    <w:rsid w:val="00175B04"/>
    <w:rsid w:val="0017747E"/>
    <w:rsid w:val="001827D3"/>
    <w:rsid w:val="0018314E"/>
    <w:rsid w:val="00184719"/>
    <w:rsid w:val="001903A1"/>
    <w:rsid w:val="00192839"/>
    <w:rsid w:val="0019343D"/>
    <w:rsid w:val="00197964"/>
    <w:rsid w:val="001A0A8D"/>
    <w:rsid w:val="001A1E7C"/>
    <w:rsid w:val="001A7E3B"/>
    <w:rsid w:val="001C4240"/>
    <w:rsid w:val="001C5D98"/>
    <w:rsid w:val="001D154C"/>
    <w:rsid w:val="001D3006"/>
    <w:rsid w:val="001E17E6"/>
    <w:rsid w:val="001E24D0"/>
    <w:rsid w:val="001E7174"/>
    <w:rsid w:val="0020000C"/>
    <w:rsid w:val="0020033A"/>
    <w:rsid w:val="00207FF4"/>
    <w:rsid w:val="00216AAB"/>
    <w:rsid w:val="00217770"/>
    <w:rsid w:val="002204E2"/>
    <w:rsid w:val="002221AC"/>
    <w:rsid w:val="00222A85"/>
    <w:rsid w:val="00222AF7"/>
    <w:rsid w:val="00224857"/>
    <w:rsid w:val="00226FDD"/>
    <w:rsid w:val="00232120"/>
    <w:rsid w:val="002328DD"/>
    <w:rsid w:val="00234AA1"/>
    <w:rsid w:val="00243552"/>
    <w:rsid w:val="00243BFC"/>
    <w:rsid w:val="002454B4"/>
    <w:rsid w:val="00245810"/>
    <w:rsid w:val="00254F38"/>
    <w:rsid w:val="00265E37"/>
    <w:rsid w:val="00267D3F"/>
    <w:rsid w:val="00272F1F"/>
    <w:rsid w:val="0027365E"/>
    <w:rsid w:val="002736F0"/>
    <w:rsid w:val="00282D3C"/>
    <w:rsid w:val="00294B79"/>
    <w:rsid w:val="00297090"/>
    <w:rsid w:val="002978A7"/>
    <w:rsid w:val="002A0BB1"/>
    <w:rsid w:val="002A235C"/>
    <w:rsid w:val="002A2EF8"/>
    <w:rsid w:val="002A5E54"/>
    <w:rsid w:val="002A677B"/>
    <w:rsid w:val="002B45C3"/>
    <w:rsid w:val="002B553D"/>
    <w:rsid w:val="002B6FD5"/>
    <w:rsid w:val="002D2FA8"/>
    <w:rsid w:val="002E109C"/>
    <w:rsid w:val="002E3A74"/>
    <w:rsid w:val="002E668C"/>
    <w:rsid w:val="002F00F2"/>
    <w:rsid w:val="002F579F"/>
    <w:rsid w:val="002F7A50"/>
    <w:rsid w:val="003069D8"/>
    <w:rsid w:val="00311CF9"/>
    <w:rsid w:val="00314351"/>
    <w:rsid w:val="003158EC"/>
    <w:rsid w:val="00321181"/>
    <w:rsid w:val="00323702"/>
    <w:rsid w:val="003356E3"/>
    <w:rsid w:val="00336939"/>
    <w:rsid w:val="003422A4"/>
    <w:rsid w:val="00352697"/>
    <w:rsid w:val="003567C2"/>
    <w:rsid w:val="00356FB6"/>
    <w:rsid w:val="00360FBE"/>
    <w:rsid w:val="003622B2"/>
    <w:rsid w:val="00362F43"/>
    <w:rsid w:val="003664ED"/>
    <w:rsid w:val="00376522"/>
    <w:rsid w:val="00377D59"/>
    <w:rsid w:val="003844DE"/>
    <w:rsid w:val="0038462A"/>
    <w:rsid w:val="0038557C"/>
    <w:rsid w:val="003866C4"/>
    <w:rsid w:val="00386A1C"/>
    <w:rsid w:val="0039404F"/>
    <w:rsid w:val="003A5CBC"/>
    <w:rsid w:val="003A5E2B"/>
    <w:rsid w:val="003B169F"/>
    <w:rsid w:val="003B3884"/>
    <w:rsid w:val="003C092B"/>
    <w:rsid w:val="003C6DC4"/>
    <w:rsid w:val="003D6F09"/>
    <w:rsid w:val="003D77C1"/>
    <w:rsid w:val="003E097F"/>
    <w:rsid w:val="003E6285"/>
    <w:rsid w:val="003E7C96"/>
    <w:rsid w:val="003F0F9F"/>
    <w:rsid w:val="003F4698"/>
    <w:rsid w:val="003F762D"/>
    <w:rsid w:val="00401473"/>
    <w:rsid w:val="00407924"/>
    <w:rsid w:val="00407DE8"/>
    <w:rsid w:val="004118D3"/>
    <w:rsid w:val="00415933"/>
    <w:rsid w:val="00423683"/>
    <w:rsid w:val="00423FB0"/>
    <w:rsid w:val="004273E7"/>
    <w:rsid w:val="00430F24"/>
    <w:rsid w:val="00433560"/>
    <w:rsid w:val="00435D65"/>
    <w:rsid w:val="00435EBD"/>
    <w:rsid w:val="00451B80"/>
    <w:rsid w:val="00455FD0"/>
    <w:rsid w:val="004569BB"/>
    <w:rsid w:val="004628CB"/>
    <w:rsid w:val="004643C5"/>
    <w:rsid w:val="00465349"/>
    <w:rsid w:val="00466D02"/>
    <w:rsid w:val="0047313A"/>
    <w:rsid w:val="004763F5"/>
    <w:rsid w:val="00477263"/>
    <w:rsid w:val="00485549"/>
    <w:rsid w:val="00492B07"/>
    <w:rsid w:val="0049501A"/>
    <w:rsid w:val="004A0F19"/>
    <w:rsid w:val="004A29B2"/>
    <w:rsid w:val="004A678E"/>
    <w:rsid w:val="004A7CF2"/>
    <w:rsid w:val="004A7F44"/>
    <w:rsid w:val="004A7F79"/>
    <w:rsid w:val="004B1ECE"/>
    <w:rsid w:val="004B4633"/>
    <w:rsid w:val="004B612D"/>
    <w:rsid w:val="004C11F4"/>
    <w:rsid w:val="004C4868"/>
    <w:rsid w:val="004D3C97"/>
    <w:rsid w:val="004D5EAE"/>
    <w:rsid w:val="004E3732"/>
    <w:rsid w:val="004E5AF1"/>
    <w:rsid w:val="004E5D51"/>
    <w:rsid w:val="004F0167"/>
    <w:rsid w:val="004F344B"/>
    <w:rsid w:val="004F6830"/>
    <w:rsid w:val="00501A1D"/>
    <w:rsid w:val="005025E0"/>
    <w:rsid w:val="00502991"/>
    <w:rsid w:val="00505B5F"/>
    <w:rsid w:val="00513ECE"/>
    <w:rsid w:val="00514A5F"/>
    <w:rsid w:val="0052002B"/>
    <w:rsid w:val="005235DB"/>
    <w:rsid w:val="00525BC9"/>
    <w:rsid w:val="00526B85"/>
    <w:rsid w:val="00527DD4"/>
    <w:rsid w:val="00530DAB"/>
    <w:rsid w:val="00530EB0"/>
    <w:rsid w:val="00533C4E"/>
    <w:rsid w:val="005347EA"/>
    <w:rsid w:val="005375AA"/>
    <w:rsid w:val="005409B9"/>
    <w:rsid w:val="00545EC2"/>
    <w:rsid w:val="0054734A"/>
    <w:rsid w:val="00552174"/>
    <w:rsid w:val="005546D8"/>
    <w:rsid w:val="00554FE5"/>
    <w:rsid w:val="005567E5"/>
    <w:rsid w:val="00557527"/>
    <w:rsid w:val="005755A4"/>
    <w:rsid w:val="005763DF"/>
    <w:rsid w:val="00577380"/>
    <w:rsid w:val="00581258"/>
    <w:rsid w:val="00582652"/>
    <w:rsid w:val="00586EFF"/>
    <w:rsid w:val="005906DB"/>
    <w:rsid w:val="005A2A55"/>
    <w:rsid w:val="005A2C70"/>
    <w:rsid w:val="005A456B"/>
    <w:rsid w:val="005B08CC"/>
    <w:rsid w:val="005B0D68"/>
    <w:rsid w:val="005B6053"/>
    <w:rsid w:val="005C337F"/>
    <w:rsid w:val="005D15A2"/>
    <w:rsid w:val="005D231A"/>
    <w:rsid w:val="005D3DC0"/>
    <w:rsid w:val="005D6BEF"/>
    <w:rsid w:val="005E29AA"/>
    <w:rsid w:val="005E4CCD"/>
    <w:rsid w:val="005F5231"/>
    <w:rsid w:val="005F74CF"/>
    <w:rsid w:val="00600C7D"/>
    <w:rsid w:val="006014ED"/>
    <w:rsid w:val="00604490"/>
    <w:rsid w:val="0060650F"/>
    <w:rsid w:val="00607CE8"/>
    <w:rsid w:val="00616123"/>
    <w:rsid w:val="0061679F"/>
    <w:rsid w:val="00622EBC"/>
    <w:rsid w:val="00622FBA"/>
    <w:rsid w:val="00625728"/>
    <w:rsid w:val="00627A7A"/>
    <w:rsid w:val="00631564"/>
    <w:rsid w:val="00637A49"/>
    <w:rsid w:val="006420CE"/>
    <w:rsid w:val="006538FE"/>
    <w:rsid w:val="0065634B"/>
    <w:rsid w:val="006617B8"/>
    <w:rsid w:val="0066186B"/>
    <w:rsid w:val="00664D04"/>
    <w:rsid w:val="0067220D"/>
    <w:rsid w:val="00672FCE"/>
    <w:rsid w:val="006769A2"/>
    <w:rsid w:val="00677991"/>
    <w:rsid w:val="00680476"/>
    <w:rsid w:val="00680775"/>
    <w:rsid w:val="00681F59"/>
    <w:rsid w:val="006901CA"/>
    <w:rsid w:val="006911B8"/>
    <w:rsid w:val="006A68E5"/>
    <w:rsid w:val="006A7936"/>
    <w:rsid w:val="006A7B70"/>
    <w:rsid w:val="006B21AC"/>
    <w:rsid w:val="006B637D"/>
    <w:rsid w:val="006C3D21"/>
    <w:rsid w:val="006C4BDB"/>
    <w:rsid w:val="006D43CD"/>
    <w:rsid w:val="006D7325"/>
    <w:rsid w:val="006E2BAB"/>
    <w:rsid w:val="006E38A1"/>
    <w:rsid w:val="006F1BAF"/>
    <w:rsid w:val="006F27CD"/>
    <w:rsid w:val="006F4D95"/>
    <w:rsid w:val="006F5874"/>
    <w:rsid w:val="00701598"/>
    <w:rsid w:val="007028B4"/>
    <w:rsid w:val="00702FA5"/>
    <w:rsid w:val="00703B4D"/>
    <w:rsid w:val="007069DA"/>
    <w:rsid w:val="00712395"/>
    <w:rsid w:val="00712608"/>
    <w:rsid w:val="00714064"/>
    <w:rsid w:val="007166C4"/>
    <w:rsid w:val="007200C7"/>
    <w:rsid w:val="00723883"/>
    <w:rsid w:val="00732D90"/>
    <w:rsid w:val="007334B6"/>
    <w:rsid w:val="00734B34"/>
    <w:rsid w:val="00736D84"/>
    <w:rsid w:val="007412AE"/>
    <w:rsid w:val="00747E92"/>
    <w:rsid w:val="00747E96"/>
    <w:rsid w:val="00751E52"/>
    <w:rsid w:val="00763EF7"/>
    <w:rsid w:val="00766048"/>
    <w:rsid w:val="007711B8"/>
    <w:rsid w:val="0077159B"/>
    <w:rsid w:val="00771E1C"/>
    <w:rsid w:val="007825B4"/>
    <w:rsid w:val="00782C5D"/>
    <w:rsid w:val="00784099"/>
    <w:rsid w:val="0078544A"/>
    <w:rsid w:val="00786C50"/>
    <w:rsid w:val="007902A8"/>
    <w:rsid w:val="007A103E"/>
    <w:rsid w:val="007A336E"/>
    <w:rsid w:val="007A37DA"/>
    <w:rsid w:val="007A52D1"/>
    <w:rsid w:val="007A535E"/>
    <w:rsid w:val="007A6ED4"/>
    <w:rsid w:val="007A793C"/>
    <w:rsid w:val="007B119C"/>
    <w:rsid w:val="007B18BC"/>
    <w:rsid w:val="007B3DC0"/>
    <w:rsid w:val="007B57F3"/>
    <w:rsid w:val="007B7B6A"/>
    <w:rsid w:val="007C0D2E"/>
    <w:rsid w:val="007C5B24"/>
    <w:rsid w:val="007D0DF7"/>
    <w:rsid w:val="007D2DFC"/>
    <w:rsid w:val="007D3409"/>
    <w:rsid w:val="007D58F5"/>
    <w:rsid w:val="007D67F0"/>
    <w:rsid w:val="007E00DE"/>
    <w:rsid w:val="007E1DD2"/>
    <w:rsid w:val="007E2057"/>
    <w:rsid w:val="007E2E8A"/>
    <w:rsid w:val="007E423D"/>
    <w:rsid w:val="007E5F97"/>
    <w:rsid w:val="007E67EC"/>
    <w:rsid w:val="007F045C"/>
    <w:rsid w:val="007F2371"/>
    <w:rsid w:val="007F2E6A"/>
    <w:rsid w:val="007F7E14"/>
    <w:rsid w:val="008001CA"/>
    <w:rsid w:val="00804945"/>
    <w:rsid w:val="008074F6"/>
    <w:rsid w:val="00814B83"/>
    <w:rsid w:val="00821B76"/>
    <w:rsid w:val="008255C7"/>
    <w:rsid w:val="00826A80"/>
    <w:rsid w:val="00826D4C"/>
    <w:rsid w:val="00835745"/>
    <w:rsid w:val="008364E5"/>
    <w:rsid w:val="00836937"/>
    <w:rsid w:val="00836C28"/>
    <w:rsid w:val="008408E7"/>
    <w:rsid w:val="00840E09"/>
    <w:rsid w:val="00841386"/>
    <w:rsid w:val="008446CE"/>
    <w:rsid w:val="00851458"/>
    <w:rsid w:val="00852630"/>
    <w:rsid w:val="00857CA6"/>
    <w:rsid w:val="0086032B"/>
    <w:rsid w:val="00861078"/>
    <w:rsid w:val="008641BB"/>
    <w:rsid w:val="008708B9"/>
    <w:rsid w:val="0087326D"/>
    <w:rsid w:val="00873C1C"/>
    <w:rsid w:val="00873F55"/>
    <w:rsid w:val="00874D51"/>
    <w:rsid w:val="008766C3"/>
    <w:rsid w:val="00885469"/>
    <w:rsid w:val="008921D4"/>
    <w:rsid w:val="008924AB"/>
    <w:rsid w:val="00892EAE"/>
    <w:rsid w:val="00893C66"/>
    <w:rsid w:val="00895188"/>
    <w:rsid w:val="008A1C4E"/>
    <w:rsid w:val="008A29C5"/>
    <w:rsid w:val="008A2B76"/>
    <w:rsid w:val="008A3DE2"/>
    <w:rsid w:val="008A4FA1"/>
    <w:rsid w:val="008B3970"/>
    <w:rsid w:val="008B4540"/>
    <w:rsid w:val="008B4A2C"/>
    <w:rsid w:val="008B4F73"/>
    <w:rsid w:val="008B7660"/>
    <w:rsid w:val="008C31D2"/>
    <w:rsid w:val="008C398B"/>
    <w:rsid w:val="008D2D3D"/>
    <w:rsid w:val="008D55C5"/>
    <w:rsid w:val="008E1F3F"/>
    <w:rsid w:val="008E2591"/>
    <w:rsid w:val="008E446A"/>
    <w:rsid w:val="008E5C09"/>
    <w:rsid w:val="008E79C6"/>
    <w:rsid w:val="008F37CA"/>
    <w:rsid w:val="008F4CD0"/>
    <w:rsid w:val="008F67CF"/>
    <w:rsid w:val="008F7053"/>
    <w:rsid w:val="00904C87"/>
    <w:rsid w:val="0090797C"/>
    <w:rsid w:val="009118FA"/>
    <w:rsid w:val="00914A03"/>
    <w:rsid w:val="00915DEA"/>
    <w:rsid w:val="0092386A"/>
    <w:rsid w:val="00923CC3"/>
    <w:rsid w:val="0092433F"/>
    <w:rsid w:val="00931830"/>
    <w:rsid w:val="009333B5"/>
    <w:rsid w:val="009450D8"/>
    <w:rsid w:val="00947D6F"/>
    <w:rsid w:val="009524AD"/>
    <w:rsid w:val="00957098"/>
    <w:rsid w:val="009660E3"/>
    <w:rsid w:val="009708D0"/>
    <w:rsid w:val="00972D26"/>
    <w:rsid w:val="00973C4C"/>
    <w:rsid w:val="009814D6"/>
    <w:rsid w:val="0099102E"/>
    <w:rsid w:val="009968CF"/>
    <w:rsid w:val="009A355B"/>
    <w:rsid w:val="009A5118"/>
    <w:rsid w:val="009A5F4B"/>
    <w:rsid w:val="009B778D"/>
    <w:rsid w:val="009B7C4C"/>
    <w:rsid w:val="009C2BCD"/>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DC8"/>
    <w:rsid w:val="009E7810"/>
    <w:rsid w:val="009F583E"/>
    <w:rsid w:val="009F7F10"/>
    <w:rsid w:val="00A00597"/>
    <w:rsid w:val="00A0093B"/>
    <w:rsid w:val="00A019F3"/>
    <w:rsid w:val="00A12052"/>
    <w:rsid w:val="00A1597D"/>
    <w:rsid w:val="00A22790"/>
    <w:rsid w:val="00A25160"/>
    <w:rsid w:val="00A26AB0"/>
    <w:rsid w:val="00A26C29"/>
    <w:rsid w:val="00A26E54"/>
    <w:rsid w:val="00A33A5B"/>
    <w:rsid w:val="00A34913"/>
    <w:rsid w:val="00A35F07"/>
    <w:rsid w:val="00A36D03"/>
    <w:rsid w:val="00A42E3A"/>
    <w:rsid w:val="00A558AB"/>
    <w:rsid w:val="00A63AF5"/>
    <w:rsid w:val="00A645AF"/>
    <w:rsid w:val="00A657C7"/>
    <w:rsid w:val="00A66509"/>
    <w:rsid w:val="00A7434F"/>
    <w:rsid w:val="00A7739E"/>
    <w:rsid w:val="00A777D8"/>
    <w:rsid w:val="00A848D0"/>
    <w:rsid w:val="00A86270"/>
    <w:rsid w:val="00A87084"/>
    <w:rsid w:val="00A93E0D"/>
    <w:rsid w:val="00A97B02"/>
    <w:rsid w:val="00AA17A8"/>
    <w:rsid w:val="00AA31F0"/>
    <w:rsid w:val="00AB1128"/>
    <w:rsid w:val="00AB4E66"/>
    <w:rsid w:val="00AB5415"/>
    <w:rsid w:val="00AC2317"/>
    <w:rsid w:val="00AC2C97"/>
    <w:rsid w:val="00AC2CD4"/>
    <w:rsid w:val="00AC7A7B"/>
    <w:rsid w:val="00AD0679"/>
    <w:rsid w:val="00AD14F0"/>
    <w:rsid w:val="00AD3837"/>
    <w:rsid w:val="00AD65F4"/>
    <w:rsid w:val="00AD69AA"/>
    <w:rsid w:val="00AE1670"/>
    <w:rsid w:val="00AE1773"/>
    <w:rsid w:val="00AE32F9"/>
    <w:rsid w:val="00AE3383"/>
    <w:rsid w:val="00AE384C"/>
    <w:rsid w:val="00AE57ED"/>
    <w:rsid w:val="00AE67DF"/>
    <w:rsid w:val="00AE6BE0"/>
    <w:rsid w:val="00AF02CB"/>
    <w:rsid w:val="00AF5966"/>
    <w:rsid w:val="00B02A13"/>
    <w:rsid w:val="00B07979"/>
    <w:rsid w:val="00B10C6E"/>
    <w:rsid w:val="00B1402B"/>
    <w:rsid w:val="00B22016"/>
    <w:rsid w:val="00B23292"/>
    <w:rsid w:val="00B26D02"/>
    <w:rsid w:val="00B277D5"/>
    <w:rsid w:val="00B343A3"/>
    <w:rsid w:val="00B41E6D"/>
    <w:rsid w:val="00B450D5"/>
    <w:rsid w:val="00B51F58"/>
    <w:rsid w:val="00B54E66"/>
    <w:rsid w:val="00B55463"/>
    <w:rsid w:val="00B56E67"/>
    <w:rsid w:val="00B57381"/>
    <w:rsid w:val="00B60998"/>
    <w:rsid w:val="00B71C35"/>
    <w:rsid w:val="00B72BEC"/>
    <w:rsid w:val="00B73A82"/>
    <w:rsid w:val="00B76F4D"/>
    <w:rsid w:val="00B77351"/>
    <w:rsid w:val="00B77412"/>
    <w:rsid w:val="00B77752"/>
    <w:rsid w:val="00B83BC0"/>
    <w:rsid w:val="00B87A6F"/>
    <w:rsid w:val="00B91712"/>
    <w:rsid w:val="00B92509"/>
    <w:rsid w:val="00BA08CB"/>
    <w:rsid w:val="00BA0FB3"/>
    <w:rsid w:val="00BA4C0A"/>
    <w:rsid w:val="00BB2A32"/>
    <w:rsid w:val="00BB6484"/>
    <w:rsid w:val="00BC24F8"/>
    <w:rsid w:val="00BC3920"/>
    <w:rsid w:val="00BC47AB"/>
    <w:rsid w:val="00BD0D7C"/>
    <w:rsid w:val="00BD2AB1"/>
    <w:rsid w:val="00BD3A7F"/>
    <w:rsid w:val="00BE056E"/>
    <w:rsid w:val="00BE09C1"/>
    <w:rsid w:val="00BE194F"/>
    <w:rsid w:val="00BE1FD4"/>
    <w:rsid w:val="00BE677A"/>
    <w:rsid w:val="00BE6A2E"/>
    <w:rsid w:val="00BF00A7"/>
    <w:rsid w:val="00BF136F"/>
    <w:rsid w:val="00BF33D9"/>
    <w:rsid w:val="00C075BD"/>
    <w:rsid w:val="00C11B10"/>
    <w:rsid w:val="00C12EA5"/>
    <w:rsid w:val="00C15E40"/>
    <w:rsid w:val="00C161BE"/>
    <w:rsid w:val="00C338CA"/>
    <w:rsid w:val="00C35CB3"/>
    <w:rsid w:val="00C50A0A"/>
    <w:rsid w:val="00C5128E"/>
    <w:rsid w:val="00C572D7"/>
    <w:rsid w:val="00C60016"/>
    <w:rsid w:val="00C638D8"/>
    <w:rsid w:val="00C63D6B"/>
    <w:rsid w:val="00C64128"/>
    <w:rsid w:val="00C710B7"/>
    <w:rsid w:val="00C73515"/>
    <w:rsid w:val="00C74442"/>
    <w:rsid w:val="00C754BC"/>
    <w:rsid w:val="00C76E52"/>
    <w:rsid w:val="00C77DA3"/>
    <w:rsid w:val="00C83525"/>
    <w:rsid w:val="00C943F5"/>
    <w:rsid w:val="00C95356"/>
    <w:rsid w:val="00CA0475"/>
    <w:rsid w:val="00CA1729"/>
    <w:rsid w:val="00CA1984"/>
    <w:rsid w:val="00CA1DAE"/>
    <w:rsid w:val="00CA234E"/>
    <w:rsid w:val="00CA55EE"/>
    <w:rsid w:val="00CA7429"/>
    <w:rsid w:val="00CA7A1F"/>
    <w:rsid w:val="00CB6216"/>
    <w:rsid w:val="00CC09A6"/>
    <w:rsid w:val="00CC3973"/>
    <w:rsid w:val="00CC4578"/>
    <w:rsid w:val="00CC5C60"/>
    <w:rsid w:val="00CD0284"/>
    <w:rsid w:val="00CD0A91"/>
    <w:rsid w:val="00CD160F"/>
    <w:rsid w:val="00CD1A9E"/>
    <w:rsid w:val="00CE0DA0"/>
    <w:rsid w:val="00CE477D"/>
    <w:rsid w:val="00CF030B"/>
    <w:rsid w:val="00CF1B90"/>
    <w:rsid w:val="00CF1DFC"/>
    <w:rsid w:val="00CF2856"/>
    <w:rsid w:val="00CF5CE7"/>
    <w:rsid w:val="00CF5EF5"/>
    <w:rsid w:val="00CF7481"/>
    <w:rsid w:val="00CF7EE3"/>
    <w:rsid w:val="00D01A4D"/>
    <w:rsid w:val="00D0739E"/>
    <w:rsid w:val="00D13FC8"/>
    <w:rsid w:val="00D14E7C"/>
    <w:rsid w:val="00D26163"/>
    <w:rsid w:val="00D2768C"/>
    <w:rsid w:val="00D3442D"/>
    <w:rsid w:val="00D34F1B"/>
    <w:rsid w:val="00D35ED3"/>
    <w:rsid w:val="00D41D2D"/>
    <w:rsid w:val="00D463A3"/>
    <w:rsid w:val="00D51833"/>
    <w:rsid w:val="00D55894"/>
    <w:rsid w:val="00D569DF"/>
    <w:rsid w:val="00D57BE5"/>
    <w:rsid w:val="00D67ABE"/>
    <w:rsid w:val="00D73373"/>
    <w:rsid w:val="00D74CA3"/>
    <w:rsid w:val="00D76666"/>
    <w:rsid w:val="00D828E1"/>
    <w:rsid w:val="00D8441F"/>
    <w:rsid w:val="00D850B9"/>
    <w:rsid w:val="00D94E39"/>
    <w:rsid w:val="00D9789C"/>
    <w:rsid w:val="00DA234C"/>
    <w:rsid w:val="00DB10D2"/>
    <w:rsid w:val="00DB1DD4"/>
    <w:rsid w:val="00DB61B3"/>
    <w:rsid w:val="00DC49A6"/>
    <w:rsid w:val="00DD0915"/>
    <w:rsid w:val="00DD1DFF"/>
    <w:rsid w:val="00DD33CF"/>
    <w:rsid w:val="00DE3896"/>
    <w:rsid w:val="00DE4435"/>
    <w:rsid w:val="00DF0231"/>
    <w:rsid w:val="00DF6E96"/>
    <w:rsid w:val="00E00985"/>
    <w:rsid w:val="00E035EA"/>
    <w:rsid w:val="00E04C43"/>
    <w:rsid w:val="00E11FA9"/>
    <w:rsid w:val="00E13E91"/>
    <w:rsid w:val="00E16040"/>
    <w:rsid w:val="00E16D37"/>
    <w:rsid w:val="00E17E17"/>
    <w:rsid w:val="00E17F78"/>
    <w:rsid w:val="00E217E9"/>
    <w:rsid w:val="00E21B03"/>
    <w:rsid w:val="00E222F0"/>
    <w:rsid w:val="00E22D0F"/>
    <w:rsid w:val="00E26722"/>
    <w:rsid w:val="00E31284"/>
    <w:rsid w:val="00E34071"/>
    <w:rsid w:val="00E35403"/>
    <w:rsid w:val="00E406F2"/>
    <w:rsid w:val="00E41266"/>
    <w:rsid w:val="00E415BA"/>
    <w:rsid w:val="00E42C77"/>
    <w:rsid w:val="00E470EC"/>
    <w:rsid w:val="00E527F4"/>
    <w:rsid w:val="00E5666B"/>
    <w:rsid w:val="00E577DD"/>
    <w:rsid w:val="00E60952"/>
    <w:rsid w:val="00E706B8"/>
    <w:rsid w:val="00E72064"/>
    <w:rsid w:val="00E7293E"/>
    <w:rsid w:val="00E76A71"/>
    <w:rsid w:val="00E76BF1"/>
    <w:rsid w:val="00E82ED7"/>
    <w:rsid w:val="00E83483"/>
    <w:rsid w:val="00E85BF2"/>
    <w:rsid w:val="00E91110"/>
    <w:rsid w:val="00E9184C"/>
    <w:rsid w:val="00E94DD3"/>
    <w:rsid w:val="00EA0120"/>
    <w:rsid w:val="00EA2254"/>
    <w:rsid w:val="00EA2D77"/>
    <w:rsid w:val="00EA49BA"/>
    <w:rsid w:val="00EA4E79"/>
    <w:rsid w:val="00EA5149"/>
    <w:rsid w:val="00EB02DF"/>
    <w:rsid w:val="00EB2795"/>
    <w:rsid w:val="00EB7895"/>
    <w:rsid w:val="00EC2B97"/>
    <w:rsid w:val="00ED11FF"/>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4526"/>
    <w:rsid w:val="00F413E7"/>
    <w:rsid w:val="00F42BFC"/>
    <w:rsid w:val="00F45711"/>
    <w:rsid w:val="00F4766A"/>
    <w:rsid w:val="00F52FBD"/>
    <w:rsid w:val="00F52FE8"/>
    <w:rsid w:val="00F543C6"/>
    <w:rsid w:val="00F56F15"/>
    <w:rsid w:val="00F56F3E"/>
    <w:rsid w:val="00F5790A"/>
    <w:rsid w:val="00F609CD"/>
    <w:rsid w:val="00F61DAD"/>
    <w:rsid w:val="00F66108"/>
    <w:rsid w:val="00F7293F"/>
    <w:rsid w:val="00F72D98"/>
    <w:rsid w:val="00F76B81"/>
    <w:rsid w:val="00F83F8A"/>
    <w:rsid w:val="00F87DA1"/>
    <w:rsid w:val="00F941E7"/>
    <w:rsid w:val="00FA4943"/>
    <w:rsid w:val="00FB6BD9"/>
    <w:rsid w:val="00FC0544"/>
    <w:rsid w:val="00FC0F9D"/>
    <w:rsid w:val="00FC3492"/>
    <w:rsid w:val="00FD1CDD"/>
    <w:rsid w:val="00FD518E"/>
    <w:rsid w:val="00FE1A35"/>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0924">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9981491">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06404813">
      <w:bodyDiv w:val="1"/>
      <w:marLeft w:val="0"/>
      <w:marRight w:val="0"/>
      <w:marTop w:val="0"/>
      <w:marBottom w:val="0"/>
      <w:divBdr>
        <w:top w:val="none" w:sz="0" w:space="0" w:color="auto"/>
        <w:left w:val="none" w:sz="0" w:space="0" w:color="auto"/>
        <w:bottom w:val="none" w:sz="0" w:space="0" w:color="auto"/>
        <w:right w:val="none" w:sz="0" w:space="0" w:color="auto"/>
      </w:divBdr>
    </w:div>
    <w:div w:id="1242787960">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0352685">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11281000">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4072819">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0908271">
      <w:bodyDiv w:val="1"/>
      <w:marLeft w:val="0"/>
      <w:marRight w:val="0"/>
      <w:marTop w:val="0"/>
      <w:marBottom w:val="0"/>
      <w:divBdr>
        <w:top w:val="none" w:sz="0" w:space="0" w:color="auto"/>
        <w:left w:val="none" w:sz="0" w:space="0" w:color="auto"/>
        <w:bottom w:val="none" w:sz="0" w:space="0" w:color="auto"/>
        <w:right w:val="none" w:sz="0" w:space="0" w:color="auto"/>
      </w:divBdr>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1996647514">
      <w:bodyDiv w:val="1"/>
      <w:marLeft w:val="0"/>
      <w:marRight w:val="0"/>
      <w:marTop w:val="0"/>
      <w:marBottom w:val="0"/>
      <w:divBdr>
        <w:top w:val="none" w:sz="0" w:space="0" w:color="auto"/>
        <w:left w:val="none" w:sz="0" w:space="0" w:color="auto"/>
        <w:bottom w:val="none" w:sz="0" w:space="0" w:color="auto"/>
        <w:right w:val="none" w:sz="0" w:space="0" w:color="auto"/>
      </w:divBdr>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07731775">
      <w:bodyDiv w:val="1"/>
      <w:marLeft w:val="0"/>
      <w:marRight w:val="0"/>
      <w:marTop w:val="0"/>
      <w:marBottom w:val="0"/>
      <w:divBdr>
        <w:top w:val="none" w:sz="0" w:space="0" w:color="auto"/>
        <w:left w:val="none" w:sz="0" w:space="0" w:color="auto"/>
        <w:bottom w:val="none" w:sz="0" w:space="0" w:color="auto"/>
        <w:right w:val="none" w:sz="0" w:space="0" w:color="auto"/>
      </w:divBdr>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37264-5CBE-4FB4-9F4D-EBA6E4CC0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16507</TotalTime>
  <Pages>2</Pages>
  <Words>703</Words>
  <Characters>4010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RAN4#105</cp:lastModifiedBy>
  <cp:revision>313</cp:revision>
  <dcterms:created xsi:type="dcterms:W3CDTF">2019-09-18T02:52:00Z</dcterms:created>
  <dcterms:modified xsi:type="dcterms:W3CDTF">2022-11-07T12:37:00Z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(3)fqM+q1ICE55+LJY/cFSS0oXWbFhAAxTokjQ0BYktyVobsMZi5NbQi0qzELLEklYfCGLTuYER
KLO6XBM47atmGy2qRBAIi1vQVT5URsiqbESqAEFRHOoDFwCRltcOmwXbmBD9ER24v/EfI+eL
/2YfaMhJkZVdTlFZy13xQ4XmS48JZppFNpnMWHKZ+i5l7mutsPEzOvXlEDzlPdiH/QU5eKR/
qPNqXLrMiDWy8kIy0N</vt:lpwstr>
  </property>
  <property fmtid="{D5CDD505-2E9C-101B-9397-08002B2CF9AE}" pid="3" name="_2015_ms_pID_7253431">
    <vt:lpwstr>uiLrKYFja4gzTjL9lE+zXQWpZYVUGHlvdGz0U/PUaOlz9EQXpSrywr
xq2rLw2RmVWLqN/fZYzLuHsXS2keImAs8dO/Xl49JvFwcRuocCsTym2sDh0ESKnfc3d2nFKd
h/2/5gcXEke2d+MYcpTRKQhfhRQRY/lBIqLeiXSUIJ5piMcdua+FKJc/9tCPZGWaUDYF729b
wVfrMbq25YSXQOTA551H52v7bU43VwABwvnE</vt:lpwstr>
  </property>
  <property fmtid="{D5CDD505-2E9C-101B-9397-08002B2CF9AE}" pid="4" name="_2015_ms_pID_7253432">
    <vt:lpwstr>6c9x85lfJhwAAB48YXG5H5o=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1667474044</vt:lpwstr>
  </property>
</Properties>
</file>