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975E1" w14:textId="70F29893" w:rsidR="008F099C" w:rsidRPr="00B0343F" w:rsidRDefault="008F099C" w:rsidP="008F099C">
      <w:pPr>
        <w:pStyle w:val="CH"/>
        <w:rPr>
          <w:rFonts w:eastAsia="MS Mincho"/>
          <w:sz w:val="24"/>
          <w:szCs w:val="24"/>
          <w:lang w:val="en-US"/>
        </w:rPr>
      </w:pPr>
      <w:bookmarkStart w:id="0" w:name="Title"/>
      <w:bookmarkStart w:id="1" w:name="DocumentFor"/>
      <w:bookmarkEnd w:id="0"/>
      <w:bookmarkEnd w:id="1"/>
      <w:r w:rsidRPr="00B0343F">
        <w:rPr>
          <w:rFonts w:eastAsia="MS Mincho"/>
          <w:sz w:val="24"/>
          <w:szCs w:val="24"/>
          <w:lang w:val="en-US"/>
        </w:rPr>
        <w:t>3GPP TSG-RAN WG4 Meeting # 105</w:t>
      </w:r>
      <w:r w:rsidRPr="00B0343F">
        <w:rPr>
          <w:rFonts w:eastAsia="MS Mincho"/>
          <w:sz w:val="24"/>
          <w:szCs w:val="24"/>
          <w:lang w:val="en-US"/>
        </w:rPr>
        <w:tab/>
      </w:r>
      <w:r w:rsidRPr="00B0343F">
        <w:rPr>
          <w:rFonts w:eastAsia="MS Mincho"/>
          <w:sz w:val="24"/>
          <w:szCs w:val="24"/>
          <w:lang w:val="en-US"/>
        </w:rPr>
        <w:tab/>
      </w:r>
      <w:r w:rsidR="008716C6" w:rsidRPr="008716C6">
        <w:rPr>
          <w:rFonts w:eastAsia="MS Mincho"/>
          <w:sz w:val="24"/>
          <w:szCs w:val="24"/>
          <w:lang w:val="en-US"/>
        </w:rPr>
        <w:t>R4-2218187</w:t>
      </w:r>
    </w:p>
    <w:p w14:paraId="1DBC20C7" w14:textId="77777777" w:rsidR="008F099C" w:rsidRPr="00B0343F" w:rsidRDefault="008F099C" w:rsidP="008F099C">
      <w:pPr>
        <w:pStyle w:val="CH"/>
        <w:rPr>
          <w:rFonts w:eastAsia="MS Mincho"/>
          <w:sz w:val="24"/>
          <w:szCs w:val="24"/>
          <w:lang w:val="en-US"/>
        </w:rPr>
      </w:pPr>
      <w:r w:rsidRPr="00B0343F">
        <w:rPr>
          <w:rFonts w:eastAsia="MS Mincho"/>
          <w:sz w:val="24"/>
          <w:szCs w:val="24"/>
          <w:lang w:val="en-US"/>
        </w:rPr>
        <w:t>Toulouse, France, November 14 – November 18, 2022</w:t>
      </w:r>
    </w:p>
    <w:p w14:paraId="5542410B" w14:textId="01968CCC" w:rsidR="008F099C" w:rsidRPr="002045D3" w:rsidRDefault="008F099C" w:rsidP="008F099C">
      <w:pPr>
        <w:pStyle w:val="CH"/>
        <w:spacing w:before="240"/>
        <w:rPr>
          <w:sz w:val="24"/>
          <w:szCs w:val="24"/>
          <w:lang w:val="en-US"/>
        </w:rPr>
      </w:pPr>
      <w:r w:rsidRPr="002045D3">
        <w:rPr>
          <w:sz w:val="24"/>
          <w:szCs w:val="24"/>
          <w:lang w:val="en-US"/>
        </w:rPr>
        <w:t>Agenda item:</w:t>
      </w:r>
      <w:r w:rsidRPr="002045D3">
        <w:rPr>
          <w:sz w:val="24"/>
          <w:szCs w:val="24"/>
          <w:lang w:val="en-US"/>
        </w:rPr>
        <w:tab/>
        <w:t>6.5.</w:t>
      </w:r>
      <w:r>
        <w:rPr>
          <w:sz w:val="24"/>
          <w:szCs w:val="24"/>
          <w:lang w:val="en-US"/>
        </w:rPr>
        <w:t>2</w:t>
      </w:r>
    </w:p>
    <w:p w14:paraId="69C61929" w14:textId="77777777" w:rsidR="008F099C" w:rsidRPr="002045D3" w:rsidRDefault="008F099C" w:rsidP="008F099C">
      <w:pPr>
        <w:pStyle w:val="CH"/>
        <w:rPr>
          <w:sz w:val="24"/>
          <w:szCs w:val="24"/>
          <w:lang w:val="en-US"/>
        </w:rPr>
      </w:pPr>
      <w:r w:rsidRPr="002045D3">
        <w:rPr>
          <w:sz w:val="24"/>
          <w:szCs w:val="24"/>
          <w:lang w:val="en-US"/>
        </w:rPr>
        <w:t>Source:</w:t>
      </w:r>
      <w:r w:rsidRPr="002045D3">
        <w:rPr>
          <w:sz w:val="24"/>
          <w:szCs w:val="24"/>
          <w:lang w:val="en-US"/>
        </w:rPr>
        <w:tab/>
        <w:t>Apple</w:t>
      </w:r>
    </w:p>
    <w:p w14:paraId="6FC035C0" w14:textId="53FD8482" w:rsidR="008F099C" w:rsidRPr="002045D3" w:rsidRDefault="008F099C" w:rsidP="008F099C">
      <w:pPr>
        <w:pStyle w:val="CH"/>
        <w:ind w:left="2250" w:hanging="2250"/>
        <w:rPr>
          <w:sz w:val="24"/>
          <w:szCs w:val="24"/>
          <w:lang w:val="en-US"/>
        </w:rPr>
      </w:pPr>
      <w:r w:rsidRPr="002045D3">
        <w:rPr>
          <w:sz w:val="24"/>
          <w:szCs w:val="24"/>
          <w:lang w:val="en-US"/>
        </w:rPr>
        <w:t>Title:</w:t>
      </w:r>
      <w:r w:rsidRPr="002045D3">
        <w:rPr>
          <w:sz w:val="24"/>
          <w:szCs w:val="24"/>
          <w:lang w:val="en-US"/>
        </w:rPr>
        <w:tab/>
        <w:t xml:space="preserve">On Remaining Issues for </w:t>
      </w:r>
      <w:proofErr w:type="spellStart"/>
      <w:r w:rsidRPr="002045D3">
        <w:rPr>
          <w:sz w:val="24"/>
          <w:szCs w:val="24"/>
          <w:lang w:val="en-US"/>
        </w:rPr>
        <w:t>FeMIMO</w:t>
      </w:r>
      <w:proofErr w:type="spellEnd"/>
      <w:r w:rsidRPr="002045D3">
        <w:rPr>
          <w:sz w:val="24"/>
          <w:szCs w:val="24"/>
          <w:lang w:val="en-US"/>
        </w:rPr>
        <w:t xml:space="preserve"> </w:t>
      </w:r>
      <w:r>
        <w:rPr>
          <w:sz w:val="24"/>
          <w:szCs w:val="24"/>
          <w:lang w:val="en-US"/>
        </w:rPr>
        <w:t>Performance</w:t>
      </w:r>
      <w:r w:rsidRPr="002045D3">
        <w:rPr>
          <w:sz w:val="24"/>
          <w:szCs w:val="24"/>
          <w:lang w:val="en-US"/>
        </w:rPr>
        <w:t xml:space="preserve"> Requirements</w:t>
      </w:r>
    </w:p>
    <w:p w14:paraId="3BDAEA41" w14:textId="77777777" w:rsidR="008F099C" w:rsidRPr="002045D3" w:rsidRDefault="008F099C" w:rsidP="008F099C">
      <w:pPr>
        <w:pStyle w:val="CH"/>
        <w:rPr>
          <w:sz w:val="24"/>
          <w:szCs w:val="24"/>
          <w:lang w:val="en-US"/>
        </w:rPr>
      </w:pPr>
      <w:r w:rsidRPr="002045D3">
        <w:rPr>
          <w:sz w:val="24"/>
          <w:szCs w:val="24"/>
          <w:lang w:val="en-US"/>
        </w:rPr>
        <w:t>Release:</w:t>
      </w:r>
      <w:r w:rsidRPr="002045D3">
        <w:rPr>
          <w:sz w:val="24"/>
          <w:szCs w:val="24"/>
          <w:lang w:val="en-US"/>
        </w:rPr>
        <w:tab/>
        <w:t>Rel-17</w:t>
      </w:r>
    </w:p>
    <w:p w14:paraId="5859A1D8" w14:textId="77777777" w:rsidR="008F099C" w:rsidRPr="002045D3" w:rsidRDefault="008F099C" w:rsidP="008F099C">
      <w:pPr>
        <w:pStyle w:val="CH"/>
        <w:rPr>
          <w:sz w:val="24"/>
          <w:szCs w:val="24"/>
          <w:lang w:val="en-US"/>
        </w:rPr>
      </w:pPr>
      <w:r w:rsidRPr="002045D3">
        <w:rPr>
          <w:sz w:val="24"/>
          <w:szCs w:val="24"/>
          <w:lang w:val="en-US"/>
        </w:rPr>
        <w:t>Document for:</w:t>
      </w:r>
      <w:r w:rsidRPr="002045D3">
        <w:rPr>
          <w:sz w:val="24"/>
          <w:szCs w:val="24"/>
          <w:lang w:val="en-US"/>
        </w:rPr>
        <w:tab/>
        <w:t>Discussion</w:t>
      </w:r>
    </w:p>
    <w:p w14:paraId="56611F79" w14:textId="77777777" w:rsidR="008F099C" w:rsidRPr="008F099C" w:rsidRDefault="008F099C" w:rsidP="008F099C">
      <w:pPr>
        <w:keepNext/>
        <w:keepLines/>
        <w:pBdr>
          <w:top w:val="single" w:sz="12" w:space="3" w:color="auto"/>
        </w:pBdr>
        <w:spacing w:before="240" w:after="180"/>
        <w:ind w:left="1134" w:hanging="1134"/>
        <w:outlineLvl w:val="0"/>
        <w:rPr>
          <w:rFonts w:ascii="Arial" w:hAnsi="Arial"/>
          <w:sz w:val="36"/>
          <w:szCs w:val="20"/>
        </w:rPr>
      </w:pPr>
      <w:r w:rsidRPr="008F099C">
        <w:rPr>
          <w:rFonts w:ascii="Arial" w:hAnsi="Arial"/>
          <w:sz w:val="36"/>
          <w:szCs w:val="20"/>
        </w:rPr>
        <w:t xml:space="preserve">1. Introduction </w:t>
      </w:r>
    </w:p>
    <w:p w14:paraId="670135F4" w14:textId="465274F6" w:rsidR="008F099C" w:rsidRPr="008F099C" w:rsidRDefault="008F099C" w:rsidP="008F099C">
      <w:pPr>
        <w:spacing w:after="120"/>
        <w:rPr>
          <w:sz w:val="20"/>
          <w:szCs w:val="20"/>
        </w:rPr>
      </w:pPr>
      <w:r w:rsidRPr="008F099C">
        <w:rPr>
          <w:sz w:val="20"/>
          <w:szCs w:val="20"/>
        </w:rPr>
        <w:t xml:space="preserve">In RAN4#104-bis-e </w:t>
      </w:r>
      <w:r w:rsidR="00301491">
        <w:rPr>
          <w:sz w:val="20"/>
          <w:szCs w:val="20"/>
        </w:rPr>
        <w:t>performance testcases</w:t>
      </w:r>
      <w:r w:rsidRPr="008F099C">
        <w:rPr>
          <w:sz w:val="20"/>
          <w:szCs w:val="20"/>
        </w:rPr>
        <w:t xml:space="preserve"> for </w:t>
      </w:r>
      <w:proofErr w:type="spellStart"/>
      <w:r w:rsidR="00301491">
        <w:rPr>
          <w:sz w:val="20"/>
          <w:szCs w:val="20"/>
        </w:rPr>
        <w:t>FeMIMO</w:t>
      </w:r>
      <w:proofErr w:type="spellEnd"/>
      <w:r w:rsidRPr="008F099C">
        <w:rPr>
          <w:sz w:val="20"/>
          <w:szCs w:val="20"/>
        </w:rPr>
        <w:t xml:space="preserve"> were discussed and way forward [1</w:t>
      </w:r>
      <w:r w:rsidR="00FC440E">
        <w:rPr>
          <w:sz w:val="20"/>
          <w:szCs w:val="20"/>
        </w:rPr>
        <w:t>]</w:t>
      </w:r>
      <w:r w:rsidR="00301491">
        <w:rPr>
          <w:sz w:val="20"/>
          <w:szCs w:val="20"/>
        </w:rPr>
        <w:t xml:space="preserve"> was</w:t>
      </w:r>
      <w:r w:rsidRPr="008F099C">
        <w:rPr>
          <w:sz w:val="20"/>
          <w:szCs w:val="20"/>
        </w:rPr>
        <w:t xml:space="preserve"> agreed.  In this contribution we present our views on open issues on</w:t>
      </w:r>
      <w:r w:rsidR="00301491">
        <w:rPr>
          <w:sz w:val="20"/>
          <w:szCs w:val="20"/>
        </w:rPr>
        <w:t xml:space="preserve"> performance</w:t>
      </w:r>
      <w:r w:rsidRPr="008F099C">
        <w:rPr>
          <w:sz w:val="20"/>
          <w:szCs w:val="20"/>
        </w:rPr>
        <w:t xml:space="preserve"> requirements </w:t>
      </w:r>
      <w:proofErr w:type="spellStart"/>
      <w:r w:rsidR="00301491">
        <w:rPr>
          <w:sz w:val="20"/>
          <w:szCs w:val="20"/>
        </w:rPr>
        <w:t>FeMIMO</w:t>
      </w:r>
      <w:proofErr w:type="spellEnd"/>
      <w:r w:rsidRPr="008F099C">
        <w:rPr>
          <w:sz w:val="20"/>
          <w:szCs w:val="20"/>
        </w:rPr>
        <w:t xml:space="preserve">.   </w:t>
      </w:r>
    </w:p>
    <w:p w14:paraId="347FB90B" w14:textId="77777777" w:rsidR="008F099C" w:rsidRPr="008F099C" w:rsidRDefault="008F099C" w:rsidP="008F099C">
      <w:pPr>
        <w:keepNext/>
        <w:keepLines/>
        <w:pBdr>
          <w:top w:val="single" w:sz="12" w:space="3" w:color="auto"/>
        </w:pBdr>
        <w:spacing w:before="240" w:after="180"/>
        <w:ind w:left="1134" w:hanging="1134"/>
        <w:outlineLvl w:val="0"/>
        <w:rPr>
          <w:rFonts w:ascii="Arial" w:hAnsi="Arial"/>
          <w:sz w:val="36"/>
          <w:szCs w:val="20"/>
        </w:rPr>
      </w:pPr>
      <w:r w:rsidRPr="008F099C">
        <w:rPr>
          <w:rFonts w:ascii="Arial" w:hAnsi="Arial"/>
          <w:sz w:val="36"/>
          <w:szCs w:val="20"/>
        </w:rPr>
        <w:t>2. Discussion</w:t>
      </w:r>
    </w:p>
    <w:p w14:paraId="71280ED2" w14:textId="19CDB62C" w:rsidR="004331C9" w:rsidRPr="004331C9" w:rsidRDefault="004331C9" w:rsidP="004331C9">
      <w:pPr>
        <w:keepNext/>
        <w:keepLines/>
        <w:numPr>
          <w:ilvl w:val="1"/>
          <w:numId w:val="0"/>
        </w:numPr>
        <w:tabs>
          <w:tab w:val="left" w:pos="851"/>
        </w:tabs>
        <w:overflowPunct w:val="0"/>
        <w:autoSpaceDE w:val="0"/>
        <w:autoSpaceDN w:val="0"/>
        <w:adjustRightInd w:val="0"/>
        <w:spacing w:before="180" w:after="180"/>
        <w:ind w:left="720" w:hanging="720"/>
        <w:textAlignment w:val="baseline"/>
        <w:outlineLvl w:val="1"/>
        <w:rPr>
          <w:rFonts w:ascii="Arial" w:hAnsi="Arial" w:cs="Arial"/>
          <w:sz w:val="28"/>
          <w:szCs w:val="18"/>
        </w:rPr>
      </w:pPr>
      <w:r>
        <w:rPr>
          <w:rFonts w:ascii="Arial" w:hAnsi="Arial" w:cs="Arial"/>
          <w:sz w:val="28"/>
          <w:szCs w:val="18"/>
        </w:rPr>
        <w:t xml:space="preserve">2.1 </w:t>
      </w:r>
      <w:r w:rsidRPr="004331C9">
        <w:rPr>
          <w:rFonts w:ascii="Arial" w:hAnsi="Arial" w:cs="Arial"/>
          <w:sz w:val="28"/>
          <w:szCs w:val="18"/>
        </w:rPr>
        <w:t>Unified TCI</w:t>
      </w:r>
      <w:r>
        <w:rPr>
          <w:rFonts w:ascii="Arial" w:hAnsi="Arial" w:cs="Arial"/>
          <w:sz w:val="28"/>
          <w:szCs w:val="18"/>
        </w:rPr>
        <w:t xml:space="preserve"> State switching requirements </w:t>
      </w:r>
    </w:p>
    <w:p w14:paraId="28CD75FE" w14:textId="77777777" w:rsidR="004331C9" w:rsidRPr="004331C9" w:rsidRDefault="004331C9" w:rsidP="004331C9">
      <w:pPr>
        <w:spacing w:after="120"/>
      </w:pPr>
    </w:p>
    <w:p w14:paraId="6D3453BB" w14:textId="74713266" w:rsidR="004331C9" w:rsidRPr="004331C9" w:rsidRDefault="004331C9" w:rsidP="004331C9">
      <w:pPr>
        <w:spacing w:after="120"/>
        <w:rPr>
          <w:sz w:val="20"/>
          <w:szCs w:val="20"/>
        </w:rPr>
      </w:pPr>
      <w:r w:rsidRPr="004331C9">
        <w:rPr>
          <w:sz w:val="20"/>
          <w:szCs w:val="20"/>
        </w:rPr>
        <w:t xml:space="preserve">The open issues related to Unified TCI </w:t>
      </w:r>
      <w:r>
        <w:rPr>
          <w:sz w:val="20"/>
          <w:szCs w:val="20"/>
        </w:rPr>
        <w:t xml:space="preserve">switching delay </w:t>
      </w:r>
      <w:r w:rsidRPr="004331C9">
        <w:rPr>
          <w:sz w:val="20"/>
          <w:szCs w:val="20"/>
        </w:rPr>
        <w:t>requirements are:</w:t>
      </w:r>
    </w:p>
    <w:p w14:paraId="76E5E7DF" w14:textId="77777777" w:rsidR="004331C9" w:rsidRDefault="004331C9" w:rsidP="004331C9">
      <w:pPr>
        <w:numPr>
          <w:ilvl w:val="1"/>
          <w:numId w:val="2"/>
        </w:numPr>
        <w:spacing w:after="120"/>
        <w:rPr>
          <w:sz w:val="20"/>
          <w:szCs w:val="20"/>
        </w:rPr>
      </w:pPr>
      <w:r w:rsidRPr="004331C9">
        <w:rPr>
          <w:sz w:val="20"/>
          <w:szCs w:val="20"/>
        </w:rPr>
        <w:t xml:space="preserve">Whether PL-RS is maintained or not maintained in joint TCI test cases </w:t>
      </w:r>
    </w:p>
    <w:p w14:paraId="54AF6F13" w14:textId="4F1BB594" w:rsidR="004331C9" w:rsidRDefault="004331C9" w:rsidP="004331C9">
      <w:pPr>
        <w:numPr>
          <w:ilvl w:val="1"/>
          <w:numId w:val="2"/>
        </w:numPr>
        <w:spacing w:after="120"/>
        <w:rPr>
          <w:sz w:val="20"/>
          <w:szCs w:val="20"/>
        </w:rPr>
      </w:pPr>
      <w:r>
        <w:rPr>
          <w:sz w:val="20"/>
          <w:szCs w:val="20"/>
        </w:rPr>
        <w:t>How to configure maintain/ not-maintained PL-RS</w:t>
      </w:r>
    </w:p>
    <w:p w14:paraId="2F63D400" w14:textId="77777777" w:rsidR="004331C9" w:rsidRDefault="004331C9" w:rsidP="004331C9">
      <w:pPr>
        <w:numPr>
          <w:ilvl w:val="1"/>
          <w:numId w:val="2"/>
        </w:numPr>
        <w:spacing w:after="120"/>
        <w:rPr>
          <w:sz w:val="20"/>
          <w:szCs w:val="20"/>
        </w:rPr>
      </w:pPr>
      <w:r w:rsidRPr="004331C9">
        <w:rPr>
          <w:sz w:val="20"/>
          <w:szCs w:val="20"/>
        </w:rPr>
        <w:t>How to define PL-RS of target TCI</w:t>
      </w:r>
    </w:p>
    <w:p w14:paraId="6991EE31" w14:textId="5C722D1B" w:rsidR="004331C9" w:rsidRDefault="004331C9" w:rsidP="004331C9">
      <w:pPr>
        <w:numPr>
          <w:ilvl w:val="1"/>
          <w:numId w:val="2"/>
        </w:numPr>
        <w:spacing w:after="120"/>
        <w:rPr>
          <w:sz w:val="20"/>
          <w:szCs w:val="20"/>
        </w:rPr>
      </w:pPr>
      <w:r w:rsidRPr="004331C9">
        <w:rPr>
          <w:sz w:val="20"/>
          <w:szCs w:val="20"/>
        </w:rPr>
        <w:t>RRC configuration of the cell of additional PCI</w:t>
      </w:r>
    </w:p>
    <w:p w14:paraId="79E41FCC" w14:textId="1E378130" w:rsidR="004331C9" w:rsidRDefault="004331C9">
      <w:pPr>
        <w:rPr>
          <w:sz w:val="20"/>
          <w:szCs w:val="20"/>
        </w:rPr>
      </w:pPr>
    </w:p>
    <w:p w14:paraId="1664D7D0" w14:textId="72E9712E" w:rsidR="00081F6E" w:rsidRPr="00081F6E" w:rsidRDefault="00081F6E" w:rsidP="00A52A14">
      <w:pPr>
        <w:spacing w:after="240"/>
        <w:rPr>
          <w:b/>
          <w:bCs/>
          <w:sz w:val="20"/>
          <w:szCs w:val="20"/>
          <w:u w:val="single"/>
        </w:rPr>
      </w:pPr>
      <w:r w:rsidRPr="00081F6E">
        <w:rPr>
          <w:b/>
          <w:bCs/>
          <w:sz w:val="20"/>
          <w:szCs w:val="20"/>
          <w:u w:val="single"/>
        </w:rPr>
        <w:t>PL-RS configuration</w:t>
      </w:r>
    </w:p>
    <w:p w14:paraId="00A7E392" w14:textId="1ABF994C" w:rsidR="00081F6E" w:rsidRDefault="00A52A14">
      <w:pPr>
        <w:rPr>
          <w:sz w:val="20"/>
          <w:szCs w:val="20"/>
        </w:rPr>
      </w:pPr>
      <w:r>
        <w:rPr>
          <w:sz w:val="20"/>
          <w:szCs w:val="20"/>
        </w:rPr>
        <w:t xml:space="preserve">The open issues related to PL-RS configuration in [1]: </w:t>
      </w:r>
    </w:p>
    <w:p w14:paraId="474A4FA4" w14:textId="77777777" w:rsidR="00081F6E" w:rsidRPr="00081F6E" w:rsidRDefault="00081F6E" w:rsidP="00081F6E">
      <w:pPr>
        <w:spacing w:before="100" w:beforeAutospacing="1" w:after="180"/>
        <w:ind w:left="420"/>
        <w:jc w:val="left"/>
        <w:rPr>
          <w:rFonts w:eastAsia="Times New Roman"/>
          <w:b/>
          <w:kern w:val="0"/>
          <w:sz w:val="20"/>
          <w:szCs w:val="20"/>
          <w:u w:val="single"/>
        </w:rPr>
      </w:pPr>
      <w:r w:rsidRPr="00081F6E">
        <w:rPr>
          <w:rFonts w:eastAsia="Times New Roman"/>
          <w:b/>
          <w:kern w:val="0"/>
          <w:sz w:val="20"/>
          <w:szCs w:val="20"/>
          <w:u w:val="single"/>
        </w:rPr>
        <w:t>Issues 1-1-1-b/Issue 1-1-3: Whether PL-RS is maintained or not maintained in joint TCI test cases and how to config?</w:t>
      </w:r>
    </w:p>
    <w:p w14:paraId="08DE2777" w14:textId="4FA46BD4" w:rsidR="00081F6E" w:rsidRPr="00081F6E" w:rsidRDefault="00081F6E" w:rsidP="00081F6E">
      <w:pPr>
        <w:numPr>
          <w:ilvl w:val="0"/>
          <w:numId w:val="4"/>
        </w:numPr>
        <w:overflowPunct w:val="0"/>
        <w:autoSpaceDE w:val="0"/>
        <w:autoSpaceDN w:val="0"/>
        <w:adjustRightInd w:val="0"/>
        <w:spacing w:before="100" w:beforeAutospacing="1" w:after="180"/>
        <w:ind w:left="840"/>
        <w:jc w:val="left"/>
        <w:textAlignment w:val="baseline"/>
        <w:rPr>
          <w:rFonts w:eastAsia="Times New Roman"/>
          <w:kern w:val="0"/>
          <w:sz w:val="20"/>
          <w:szCs w:val="20"/>
        </w:rPr>
      </w:pPr>
      <w:r w:rsidRPr="00081F6E">
        <w:rPr>
          <w:rFonts w:eastAsia="Times New Roman"/>
          <w:kern w:val="0"/>
          <w:sz w:val="20"/>
          <w:szCs w:val="20"/>
        </w:rPr>
        <w:t xml:space="preserve">Option 1: Pathloss RS is maintained in joint TCI test cases </w:t>
      </w:r>
    </w:p>
    <w:p w14:paraId="4D9CAE63" w14:textId="71C97250" w:rsidR="00081F6E" w:rsidRPr="00081F6E" w:rsidRDefault="00081F6E" w:rsidP="00081F6E">
      <w:pPr>
        <w:numPr>
          <w:ilvl w:val="1"/>
          <w:numId w:val="4"/>
        </w:numPr>
        <w:overflowPunct w:val="0"/>
        <w:autoSpaceDE w:val="0"/>
        <w:autoSpaceDN w:val="0"/>
        <w:adjustRightInd w:val="0"/>
        <w:spacing w:before="100" w:beforeAutospacing="1" w:after="180"/>
        <w:ind w:left="1260"/>
        <w:jc w:val="left"/>
        <w:textAlignment w:val="baseline"/>
        <w:rPr>
          <w:rFonts w:eastAsia="Times New Roman"/>
          <w:kern w:val="0"/>
          <w:sz w:val="20"/>
          <w:szCs w:val="20"/>
        </w:rPr>
      </w:pPr>
      <w:r w:rsidRPr="00081F6E">
        <w:rPr>
          <w:rFonts w:eastAsia="Times New Roman"/>
          <w:kern w:val="0"/>
          <w:sz w:val="20"/>
          <w:szCs w:val="20"/>
        </w:rPr>
        <w:t xml:space="preserve">Option 1a: </w:t>
      </w:r>
      <w:r w:rsidRPr="00081F6E">
        <w:rPr>
          <w:rFonts w:eastAsia="Times New Roman"/>
          <w:bCs/>
          <w:kern w:val="0"/>
          <w:sz w:val="20"/>
          <w:szCs w:val="20"/>
        </w:rPr>
        <w:t xml:space="preserve">If only two TCI states in total are configured to UE during the test, UE can be assumed to maintain the PL-RS in the two TCI states. If more than 4 TCI states in total are configured to UE, then whether a PL-RS in a TCI state is maintained is up to UE implementation. </w:t>
      </w:r>
    </w:p>
    <w:p w14:paraId="0EDAE19C" w14:textId="58336025" w:rsidR="00081F6E" w:rsidRPr="00081F6E" w:rsidRDefault="00081F6E" w:rsidP="00081F6E">
      <w:pPr>
        <w:numPr>
          <w:ilvl w:val="1"/>
          <w:numId w:val="4"/>
        </w:numPr>
        <w:overflowPunct w:val="0"/>
        <w:autoSpaceDE w:val="0"/>
        <w:autoSpaceDN w:val="0"/>
        <w:adjustRightInd w:val="0"/>
        <w:spacing w:before="100" w:beforeAutospacing="1" w:after="180"/>
        <w:ind w:left="1260"/>
        <w:jc w:val="left"/>
        <w:textAlignment w:val="baseline"/>
        <w:rPr>
          <w:rFonts w:eastAsia="Times New Roman"/>
          <w:kern w:val="0"/>
          <w:sz w:val="20"/>
          <w:szCs w:val="20"/>
        </w:rPr>
      </w:pPr>
      <w:r w:rsidRPr="00081F6E">
        <w:rPr>
          <w:rFonts w:eastAsia="Times New Roman"/>
          <w:bCs/>
          <w:kern w:val="0"/>
          <w:sz w:val="20"/>
          <w:szCs w:val="20"/>
        </w:rPr>
        <w:t>Option 1b:</w:t>
      </w:r>
      <w:r w:rsidRPr="00081F6E">
        <w:rPr>
          <w:rFonts w:eastAsia="DengXian"/>
          <w:kern w:val="0"/>
          <w:sz w:val="20"/>
          <w:szCs w:val="20"/>
        </w:rPr>
        <w:t xml:space="preserve"> implicit configuration for PL-RS, for the known TCI state test cases, PL-RS can be maintained </w:t>
      </w:r>
    </w:p>
    <w:p w14:paraId="7E0DE8BF" w14:textId="45FC59A9" w:rsidR="00081F6E" w:rsidRPr="00081F6E" w:rsidRDefault="00081F6E" w:rsidP="00081F6E">
      <w:pPr>
        <w:numPr>
          <w:ilvl w:val="0"/>
          <w:numId w:val="4"/>
        </w:numPr>
        <w:overflowPunct w:val="0"/>
        <w:autoSpaceDE w:val="0"/>
        <w:autoSpaceDN w:val="0"/>
        <w:adjustRightInd w:val="0"/>
        <w:spacing w:before="100" w:beforeAutospacing="1" w:after="180"/>
        <w:ind w:left="840"/>
        <w:jc w:val="left"/>
        <w:textAlignment w:val="baseline"/>
        <w:rPr>
          <w:rFonts w:eastAsia="Times New Roman"/>
          <w:kern w:val="0"/>
          <w:sz w:val="20"/>
          <w:szCs w:val="20"/>
        </w:rPr>
      </w:pPr>
      <w:r w:rsidRPr="00081F6E">
        <w:rPr>
          <w:rFonts w:eastAsia="Times New Roman"/>
          <w:kern w:val="0"/>
          <w:sz w:val="20"/>
          <w:szCs w:val="20"/>
        </w:rPr>
        <w:t xml:space="preserve">Option 2: Pathloss RS is not maintained in joint TCI test cases </w:t>
      </w:r>
    </w:p>
    <w:p w14:paraId="76A6E7BC" w14:textId="7D0889A6" w:rsidR="00081F6E" w:rsidRPr="00081F6E" w:rsidRDefault="00081F6E" w:rsidP="00081F6E">
      <w:pPr>
        <w:numPr>
          <w:ilvl w:val="1"/>
          <w:numId w:val="4"/>
        </w:numPr>
        <w:overflowPunct w:val="0"/>
        <w:autoSpaceDE w:val="0"/>
        <w:autoSpaceDN w:val="0"/>
        <w:adjustRightInd w:val="0"/>
        <w:spacing w:before="100" w:beforeAutospacing="1" w:after="180"/>
        <w:ind w:left="1260"/>
        <w:jc w:val="left"/>
        <w:textAlignment w:val="baseline"/>
        <w:rPr>
          <w:rFonts w:eastAsia="Times New Roman"/>
          <w:kern w:val="0"/>
          <w:sz w:val="20"/>
          <w:szCs w:val="20"/>
        </w:rPr>
      </w:pPr>
      <w:r w:rsidRPr="00081F6E">
        <w:rPr>
          <w:rFonts w:eastAsia="Times New Roman"/>
          <w:kern w:val="0"/>
          <w:sz w:val="20"/>
          <w:szCs w:val="20"/>
        </w:rPr>
        <w:t xml:space="preserve">Option 2a: In the test cases, only define the test cases for PL-RS is not maintained. For the test setup, configure a new RS as PL-RS, it is a “not maintained PL-RS” </w:t>
      </w:r>
    </w:p>
    <w:p w14:paraId="7C151D57" w14:textId="4B959CAA" w:rsidR="00081F6E" w:rsidRPr="00081F6E" w:rsidRDefault="00081F6E" w:rsidP="00081F6E">
      <w:pPr>
        <w:numPr>
          <w:ilvl w:val="1"/>
          <w:numId w:val="4"/>
        </w:numPr>
        <w:overflowPunct w:val="0"/>
        <w:autoSpaceDE w:val="0"/>
        <w:autoSpaceDN w:val="0"/>
        <w:adjustRightInd w:val="0"/>
        <w:spacing w:before="100" w:beforeAutospacing="1" w:after="180"/>
        <w:ind w:left="1260"/>
        <w:jc w:val="left"/>
        <w:textAlignment w:val="baseline"/>
        <w:rPr>
          <w:rFonts w:eastAsia="Times New Roman"/>
          <w:kern w:val="0"/>
          <w:sz w:val="20"/>
          <w:szCs w:val="20"/>
        </w:rPr>
      </w:pPr>
      <w:r w:rsidRPr="00081F6E">
        <w:rPr>
          <w:rFonts w:eastAsia="Times New Roman"/>
          <w:kern w:val="0"/>
          <w:sz w:val="20"/>
          <w:szCs w:val="20"/>
        </w:rPr>
        <w:t xml:space="preserve">Option 2b: In the test cases, only define the test cases for PL-RS is not maintained. </w:t>
      </w:r>
      <w:r w:rsidRPr="00081F6E">
        <w:rPr>
          <w:rFonts w:eastAsia="DengXian"/>
          <w:kern w:val="0"/>
          <w:sz w:val="20"/>
          <w:szCs w:val="20"/>
        </w:rPr>
        <w:t xml:space="preserve">If only 1 active TCI state is configured, and with TCI switch a new TCI state and new PL-RS is activated, then it would be PL-RS not maintained. The PL-RS and RS in UL/Joint TCI state should be the same or </w:t>
      </w:r>
      <w:r w:rsidRPr="00081F6E">
        <w:rPr>
          <w:rFonts w:eastAsia="DengXian"/>
          <w:kern w:val="0"/>
          <w:sz w:val="20"/>
          <w:szCs w:val="20"/>
        </w:rPr>
        <w:lastRenderedPageBreak/>
        <w:t xml:space="preserve">QCL Type D with each other, and the target UL /joint TCI should be configured for L1 measurement to ensure known state. </w:t>
      </w:r>
    </w:p>
    <w:p w14:paraId="51139129" w14:textId="5B108AB7" w:rsidR="00081F6E" w:rsidRPr="00085BA6" w:rsidRDefault="00081F6E" w:rsidP="00081F6E">
      <w:pPr>
        <w:numPr>
          <w:ilvl w:val="1"/>
          <w:numId w:val="4"/>
        </w:numPr>
        <w:overflowPunct w:val="0"/>
        <w:autoSpaceDE w:val="0"/>
        <w:autoSpaceDN w:val="0"/>
        <w:adjustRightInd w:val="0"/>
        <w:spacing w:before="100" w:beforeAutospacing="1" w:after="180"/>
        <w:ind w:left="1260"/>
        <w:jc w:val="left"/>
        <w:textAlignment w:val="baseline"/>
        <w:rPr>
          <w:rFonts w:eastAsia="Times New Roman"/>
          <w:kern w:val="0"/>
          <w:sz w:val="20"/>
          <w:szCs w:val="20"/>
        </w:rPr>
      </w:pPr>
      <w:r w:rsidRPr="00081F6E">
        <w:rPr>
          <w:rFonts w:eastAsia="DengXian" w:hint="eastAsia"/>
          <w:kern w:val="0"/>
          <w:sz w:val="20"/>
          <w:szCs w:val="20"/>
        </w:rPr>
        <w:t>O</w:t>
      </w:r>
      <w:r w:rsidRPr="00081F6E">
        <w:rPr>
          <w:rFonts w:eastAsia="DengXian"/>
          <w:kern w:val="0"/>
          <w:sz w:val="20"/>
          <w:szCs w:val="20"/>
        </w:rPr>
        <w:t xml:space="preserve">ption 2c: </w:t>
      </w:r>
      <w:r w:rsidRPr="00081F6E">
        <w:rPr>
          <w:rFonts w:eastAsia="Times New Roman"/>
          <w:bCs/>
          <w:kern w:val="0"/>
          <w:sz w:val="20"/>
          <w:szCs w:val="20"/>
        </w:rPr>
        <w:t xml:space="preserve">PL-RS is included in UL TCI state and PL-RS is identical to source RS in target UL TCI state. it’s the first activation for the UL TCI state. L1-RSRP based on the RS has been reported before. </w:t>
      </w:r>
    </w:p>
    <w:p w14:paraId="063720CB" w14:textId="77777777" w:rsidR="00085BA6" w:rsidRPr="00085BA6" w:rsidRDefault="00085BA6" w:rsidP="00085BA6">
      <w:pPr>
        <w:ind w:left="420"/>
        <w:rPr>
          <w:rFonts w:eastAsia="Times New Roman"/>
          <w:b/>
          <w:kern w:val="0"/>
          <w:sz w:val="20"/>
          <w:szCs w:val="20"/>
          <w:u w:val="single"/>
        </w:rPr>
      </w:pPr>
      <w:r w:rsidRPr="00085BA6">
        <w:rPr>
          <w:b/>
          <w:sz w:val="20"/>
          <w:szCs w:val="20"/>
          <w:u w:val="single"/>
        </w:rPr>
        <w:t>Issue 1-1-2: How to define PL-RS of target TCI?</w:t>
      </w:r>
    </w:p>
    <w:p w14:paraId="0BF1B6FC" w14:textId="77777777" w:rsidR="00085BA6" w:rsidRPr="00085BA6" w:rsidRDefault="00085BA6" w:rsidP="00085BA6">
      <w:pPr>
        <w:pStyle w:val="a"/>
        <w:numPr>
          <w:ilvl w:val="0"/>
          <w:numId w:val="5"/>
        </w:numPr>
        <w:overflowPunct w:val="0"/>
        <w:autoSpaceDE w:val="0"/>
        <w:autoSpaceDN w:val="0"/>
        <w:adjustRightInd w:val="0"/>
        <w:ind w:left="840" w:firstLineChars="0"/>
        <w:textAlignment w:val="baseline"/>
        <w:rPr>
          <w:sz w:val="20"/>
          <w:szCs w:val="20"/>
        </w:rPr>
      </w:pPr>
      <w:r w:rsidRPr="00085BA6">
        <w:rPr>
          <w:sz w:val="20"/>
          <w:szCs w:val="20"/>
        </w:rPr>
        <w:t>Option 1 (vivo)</w:t>
      </w:r>
    </w:p>
    <w:p w14:paraId="53058D9B" w14:textId="77777777" w:rsidR="00085BA6" w:rsidRPr="00085BA6" w:rsidRDefault="00085BA6" w:rsidP="00085BA6">
      <w:pPr>
        <w:pStyle w:val="a"/>
        <w:numPr>
          <w:ilvl w:val="0"/>
          <w:numId w:val="6"/>
        </w:numPr>
        <w:spacing w:after="120"/>
        <w:ind w:left="1356" w:firstLineChars="0"/>
        <w:rPr>
          <w:sz w:val="20"/>
          <w:szCs w:val="20"/>
        </w:rPr>
      </w:pPr>
      <w:r w:rsidRPr="00085BA6">
        <w:rPr>
          <w:sz w:val="20"/>
          <w:szCs w:val="20"/>
        </w:rPr>
        <w:t xml:space="preserve">RAN4 design test cases for unified TCI by configuring that PL RS of target TCI is not QCL-D with the any PL RS of the TCI in the currently activated TCI list. </w:t>
      </w:r>
    </w:p>
    <w:p w14:paraId="171645A8" w14:textId="77777777" w:rsidR="00085BA6" w:rsidRPr="00085BA6" w:rsidRDefault="00085BA6" w:rsidP="00085BA6">
      <w:pPr>
        <w:pStyle w:val="a"/>
        <w:numPr>
          <w:ilvl w:val="0"/>
          <w:numId w:val="5"/>
        </w:numPr>
        <w:overflowPunct w:val="0"/>
        <w:autoSpaceDE w:val="0"/>
        <w:autoSpaceDN w:val="0"/>
        <w:adjustRightInd w:val="0"/>
        <w:ind w:left="840" w:firstLineChars="0"/>
        <w:textAlignment w:val="baseline"/>
        <w:rPr>
          <w:sz w:val="20"/>
          <w:szCs w:val="20"/>
        </w:rPr>
      </w:pPr>
      <w:r w:rsidRPr="00085BA6">
        <w:rPr>
          <w:sz w:val="20"/>
          <w:szCs w:val="20"/>
        </w:rPr>
        <w:t>Option 2 (Huawei, Apple)</w:t>
      </w:r>
    </w:p>
    <w:p w14:paraId="4C7B0969" w14:textId="77777777" w:rsidR="00085BA6" w:rsidRPr="00085BA6" w:rsidRDefault="00085BA6" w:rsidP="00085BA6">
      <w:pPr>
        <w:pStyle w:val="a"/>
        <w:numPr>
          <w:ilvl w:val="0"/>
          <w:numId w:val="6"/>
        </w:numPr>
        <w:spacing w:after="120"/>
        <w:ind w:left="1356" w:firstLineChars="0"/>
        <w:rPr>
          <w:sz w:val="20"/>
          <w:szCs w:val="20"/>
        </w:rPr>
      </w:pPr>
      <w:r w:rsidRPr="00085BA6">
        <w:rPr>
          <w:sz w:val="20"/>
          <w:szCs w:val="20"/>
        </w:rPr>
        <w:t xml:space="preserve">In the test cases, the PL-RS of the target TCI shall be QCL type D with the source RS of the target TCI. </w:t>
      </w:r>
    </w:p>
    <w:p w14:paraId="24A6791B" w14:textId="77777777" w:rsidR="00085BA6" w:rsidRPr="00081F6E" w:rsidRDefault="00085BA6" w:rsidP="00085BA6">
      <w:pPr>
        <w:overflowPunct w:val="0"/>
        <w:autoSpaceDE w:val="0"/>
        <w:autoSpaceDN w:val="0"/>
        <w:adjustRightInd w:val="0"/>
        <w:spacing w:before="100" w:beforeAutospacing="1" w:after="180"/>
        <w:jc w:val="left"/>
        <w:textAlignment w:val="baseline"/>
        <w:rPr>
          <w:rFonts w:eastAsia="Times New Roman"/>
          <w:kern w:val="0"/>
          <w:sz w:val="20"/>
          <w:szCs w:val="20"/>
        </w:rPr>
      </w:pPr>
    </w:p>
    <w:p w14:paraId="3E9322C7" w14:textId="2DA9FBA5" w:rsidR="00621CD3" w:rsidRDefault="00081F6E" w:rsidP="00621CD3">
      <w:pPr>
        <w:spacing w:after="240"/>
        <w:rPr>
          <w:sz w:val="20"/>
          <w:szCs w:val="20"/>
        </w:rPr>
      </w:pPr>
      <w:r>
        <w:rPr>
          <w:sz w:val="20"/>
          <w:szCs w:val="20"/>
        </w:rPr>
        <w:t xml:space="preserve">Based on RAN1 agreements and confirmation from </w:t>
      </w:r>
      <w:proofErr w:type="gramStart"/>
      <w:r>
        <w:rPr>
          <w:sz w:val="20"/>
          <w:szCs w:val="20"/>
        </w:rPr>
        <w:t>reply</w:t>
      </w:r>
      <w:proofErr w:type="gramEnd"/>
      <w:r>
        <w:rPr>
          <w:sz w:val="20"/>
          <w:szCs w:val="20"/>
        </w:rPr>
        <w:t xml:space="preserve"> LS from RAN1</w:t>
      </w:r>
      <w:r w:rsidR="00621CD3">
        <w:rPr>
          <w:sz w:val="20"/>
          <w:szCs w:val="20"/>
        </w:rPr>
        <w:t xml:space="preserve"> [2]</w:t>
      </w:r>
      <w:r>
        <w:rPr>
          <w:sz w:val="20"/>
          <w:szCs w:val="20"/>
        </w:rPr>
        <w:t xml:space="preserve">, for PL-RS to be maintained, it must be part of the active UL TCI state prior to the TCI state switch. The number of TCI states in active TCI state list </w:t>
      </w:r>
      <w:r w:rsidR="00621CD3">
        <w:rPr>
          <w:sz w:val="20"/>
          <w:szCs w:val="20"/>
        </w:rPr>
        <w:t xml:space="preserve">for DL or UL </w:t>
      </w:r>
      <w:r>
        <w:rPr>
          <w:sz w:val="20"/>
          <w:szCs w:val="20"/>
        </w:rPr>
        <w:t xml:space="preserve">is based on UE capability. If UE is capability </w:t>
      </w:r>
      <w:r w:rsidR="00621CD3">
        <w:rPr>
          <w:sz w:val="20"/>
          <w:szCs w:val="20"/>
        </w:rPr>
        <w:t xml:space="preserve">doesn’t support more than 1 active UL TCI in the TCI state list, then only 1 active UL TCI state can be configured, and we cannot configure a test case with PL-RS maintained prior to the UL or Joint TCI state switch. </w:t>
      </w:r>
      <w:r>
        <w:rPr>
          <w:sz w:val="20"/>
          <w:szCs w:val="20"/>
        </w:rPr>
        <w:t xml:space="preserve"> </w:t>
      </w:r>
    </w:p>
    <w:p w14:paraId="6D27AA20" w14:textId="086F47CA" w:rsidR="00621CD3" w:rsidRPr="00621CD3" w:rsidRDefault="00621CD3" w:rsidP="00621CD3">
      <w:pPr>
        <w:spacing w:after="240"/>
        <w:rPr>
          <w:i/>
          <w:iCs/>
          <w:sz w:val="20"/>
          <w:szCs w:val="20"/>
        </w:rPr>
      </w:pPr>
      <w:r>
        <w:rPr>
          <w:b/>
          <w:bCs/>
          <w:i/>
          <w:iCs/>
          <w:sz w:val="20"/>
          <w:szCs w:val="20"/>
        </w:rPr>
        <w:t xml:space="preserve">Observation #1: </w:t>
      </w:r>
      <w:r w:rsidR="00085BA6">
        <w:rPr>
          <w:i/>
          <w:iCs/>
          <w:sz w:val="20"/>
          <w:szCs w:val="20"/>
        </w:rPr>
        <w:t xml:space="preserve">Configuring test case with target PL-RS maintained is subject to additional UE capability of supporting &gt; 1 active TCI states in active joint/UL TCI list. </w:t>
      </w:r>
    </w:p>
    <w:p w14:paraId="02732FF6" w14:textId="4A43F986" w:rsidR="00081F6E" w:rsidRPr="00081F6E" w:rsidRDefault="00621CD3" w:rsidP="00085BA6">
      <w:pPr>
        <w:spacing w:after="240"/>
        <w:rPr>
          <w:sz w:val="20"/>
          <w:szCs w:val="20"/>
        </w:rPr>
      </w:pPr>
      <w:r>
        <w:rPr>
          <w:sz w:val="20"/>
          <w:szCs w:val="20"/>
        </w:rPr>
        <w:t>Since configuring test case with target PL-RS maintained prior to TCI state switch is subject to additional UE capability, we propose to introduce test case for joint TCI with target PL-RS not maintained.</w:t>
      </w:r>
    </w:p>
    <w:p w14:paraId="5263CAD4" w14:textId="244FE28E" w:rsidR="004331C9" w:rsidRDefault="004331C9" w:rsidP="00085BA6">
      <w:pPr>
        <w:spacing w:after="240"/>
        <w:rPr>
          <w:b/>
          <w:bCs/>
          <w:sz w:val="20"/>
          <w:szCs w:val="20"/>
        </w:rPr>
      </w:pPr>
      <w:r>
        <w:rPr>
          <w:b/>
          <w:bCs/>
          <w:sz w:val="20"/>
          <w:szCs w:val="20"/>
        </w:rPr>
        <w:t xml:space="preserve">Proposal #1: </w:t>
      </w:r>
      <w:r w:rsidR="00E11A56">
        <w:rPr>
          <w:b/>
          <w:bCs/>
          <w:sz w:val="20"/>
          <w:szCs w:val="20"/>
        </w:rPr>
        <w:t>Configure</w:t>
      </w:r>
      <w:r w:rsidR="00085BA6">
        <w:rPr>
          <w:b/>
          <w:bCs/>
          <w:sz w:val="20"/>
          <w:szCs w:val="20"/>
        </w:rPr>
        <w:t xml:space="preserve"> target</w:t>
      </w:r>
      <w:r w:rsidR="00E11A56">
        <w:rPr>
          <w:b/>
          <w:bCs/>
          <w:sz w:val="20"/>
          <w:szCs w:val="20"/>
        </w:rPr>
        <w:t xml:space="preserve"> PL-RS as ‘not maintained’ in Joint TCI state switching test case</w:t>
      </w:r>
    </w:p>
    <w:p w14:paraId="48E3B7C7" w14:textId="23E3FF88" w:rsidR="00085BA6" w:rsidRDefault="00085BA6" w:rsidP="00085BA6">
      <w:pPr>
        <w:spacing w:after="240"/>
        <w:rPr>
          <w:b/>
          <w:bCs/>
          <w:sz w:val="20"/>
          <w:szCs w:val="20"/>
        </w:rPr>
      </w:pPr>
      <w:r>
        <w:rPr>
          <w:b/>
          <w:bCs/>
          <w:sz w:val="20"/>
          <w:szCs w:val="20"/>
        </w:rPr>
        <w:t>Proposal #2: PL-RS is configured as not-maintained by not including it in active TCI state list for UL or Joint TCI</w:t>
      </w:r>
    </w:p>
    <w:p w14:paraId="17EE2A17" w14:textId="757A861D" w:rsidR="00E11A56" w:rsidRDefault="00085BA6" w:rsidP="00085BA6">
      <w:pPr>
        <w:spacing w:after="240"/>
        <w:rPr>
          <w:sz w:val="20"/>
          <w:szCs w:val="20"/>
        </w:rPr>
      </w:pPr>
      <w:r>
        <w:rPr>
          <w:sz w:val="20"/>
          <w:szCs w:val="20"/>
        </w:rPr>
        <w:t xml:space="preserve">The target PL-RS can be the same as the RS for target joint TCI state or QCL Type D to the RS in the target joint TCI state. For simplicity of test configuration, the same RS can be configured as RS in joint TCI state and PL-RS. </w:t>
      </w:r>
    </w:p>
    <w:p w14:paraId="7877EB76" w14:textId="045F6685" w:rsidR="00085BA6" w:rsidRPr="00085BA6" w:rsidRDefault="00085BA6" w:rsidP="00085BA6">
      <w:pPr>
        <w:spacing w:after="240"/>
        <w:rPr>
          <w:i/>
          <w:iCs/>
          <w:sz w:val="20"/>
          <w:szCs w:val="20"/>
        </w:rPr>
      </w:pPr>
      <w:r>
        <w:rPr>
          <w:b/>
          <w:bCs/>
          <w:i/>
          <w:iCs/>
          <w:sz w:val="20"/>
          <w:szCs w:val="20"/>
        </w:rPr>
        <w:t xml:space="preserve">Observation #2: </w:t>
      </w:r>
      <w:r>
        <w:rPr>
          <w:i/>
          <w:iCs/>
          <w:sz w:val="20"/>
          <w:szCs w:val="20"/>
        </w:rPr>
        <w:t xml:space="preserve">The </w:t>
      </w:r>
      <w:r w:rsidR="00A52A14">
        <w:rPr>
          <w:i/>
          <w:iCs/>
          <w:sz w:val="20"/>
          <w:szCs w:val="20"/>
        </w:rPr>
        <w:t xml:space="preserve">target </w:t>
      </w:r>
      <w:r>
        <w:rPr>
          <w:i/>
          <w:iCs/>
          <w:sz w:val="20"/>
          <w:szCs w:val="20"/>
        </w:rPr>
        <w:t xml:space="preserve">PL-RS is configured </w:t>
      </w:r>
      <w:r w:rsidR="00A52A14">
        <w:rPr>
          <w:i/>
          <w:iCs/>
          <w:sz w:val="20"/>
          <w:szCs w:val="20"/>
        </w:rPr>
        <w:t xml:space="preserve">same as the RS in target UL/joint TCI state or QCL-Type D to RS in target TCI state. </w:t>
      </w:r>
    </w:p>
    <w:p w14:paraId="345C808B" w14:textId="7E253BF8" w:rsidR="00085BA6" w:rsidRDefault="00085BA6" w:rsidP="00085BA6">
      <w:pPr>
        <w:spacing w:after="240"/>
        <w:rPr>
          <w:b/>
          <w:bCs/>
          <w:sz w:val="20"/>
          <w:szCs w:val="20"/>
        </w:rPr>
      </w:pPr>
      <w:r>
        <w:rPr>
          <w:b/>
          <w:bCs/>
          <w:sz w:val="20"/>
          <w:szCs w:val="20"/>
        </w:rPr>
        <w:t xml:space="preserve">Proposal #3: PL-RS of target TCI state is defined as the RS in UL / Joint TCI state for simplifying the test configuration. </w:t>
      </w:r>
    </w:p>
    <w:p w14:paraId="45884BC3" w14:textId="47B100C3" w:rsidR="00A52A14" w:rsidRPr="00081F6E" w:rsidRDefault="00A52A14" w:rsidP="00A52A14">
      <w:pPr>
        <w:spacing w:after="240"/>
        <w:rPr>
          <w:b/>
          <w:bCs/>
          <w:sz w:val="20"/>
          <w:szCs w:val="20"/>
          <w:u w:val="single"/>
        </w:rPr>
      </w:pPr>
      <w:r>
        <w:rPr>
          <w:b/>
          <w:bCs/>
          <w:sz w:val="20"/>
          <w:szCs w:val="20"/>
          <w:u w:val="single"/>
        </w:rPr>
        <w:t>RRC</w:t>
      </w:r>
      <w:r w:rsidRPr="00081F6E">
        <w:rPr>
          <w:b/>
          <w:bCs/>
          <w:sz w:val="20"/>
          <w:szCs w:val="20"/>
          <w:u w:val="single"/>
        </w:rPr>
        <w:t xml:space="preserve"> configuration</w:t>
      </w:r>
      <w:r>
        <w:rPr>
          <w:b/>
          <w:bCs/>
          <w:sz w:val="20"/>
          <w:szCs w:val="20"/>
          <w:u w:val="single"/>
        </w:rPr>
        <w:t xml:space="preserve"> for cell of additional PCI</w:t>
      </w:r>
    </w:p>
    <w:p w14:paraId="2A72A084" w14:textId="74E96DCB" w:rsidR="00085BA6" w:rsidRDefault="00A52A14" w:rsidP="00A52A14">
      <w:pPr>
        <w:spacing w:after="240"/>
        <w:rPr>
          <w:sz w:val="20"/>
          <w:szCs w:val="20"/>
        </w:rPr>
      </w:pPr>
      <w:r>
        <w:rPr>
          <w:sz w:val="20"/>
          <w:szCs w:val="20"/>
        </w:rPr>
        <w:t xml:space="preserve">There was a discussion in RAN4#104-bis-e </w:t>
      </w:r>
      <w:proofErr w:type="spellStart"/>
      <w:r>
        <w:rPr>
          <w:sz w:val="20"/>
          <w:szCs w:val="20"/>
        </w:rPr>
        <w:t>whethere</w:t>
      </w:r>
      <w:proofErr w:type="spellEnd"/>
      <w:r>
        <w:rPr>
          <w:sz w:val="20"/>
          <w:szCs w:val="20"/>
        </w:rPr>
        <w:t xml:space="preserve"> the RRC configuration should be provided for cell with additional PCI:</w:t>
      </w:r>
    </w:p>
    <w:p w14:paraId="031F942F" w14:textId="77777777" w:rsidR="00A52A14" w:rsidRPr="00A52A14" w:rsidRDefault="00A52A14" w:rsidP="00A52A14">
      <w:pPr>
        <w:spacing w:after="240"/>
        <w:ind w:left="420"/>
        <w:rPr>
          <w:b/>
          <w:sz w:val="20"/>
          <w:szCs w:val="20"/>
        </w:rPr>
      </w:pPr>
      <w:r w:rsidRPr="00A52A14">
        <w:rPr>
          <w:b/>
          <w:sz w:val="20"/>
          <w:szCs w:val="20"/>
          <w:u w:val="single"/>
        </w:rPr>
        <w:t>Issue 1-2-2: Whether to provide RRC configuration of the cell of additional PCI?</w:t>
      </w:r>
    </w:p>
    <w:p w14:paraId="6D84750F" w14:textId="0E68FFF7" w:rsidR="00A52A14" w:rsidRPr="00A52A14" w:rsidRDefault="00A52A14" w:rsidP="00A52A14">
      <w:pPr>
        <w:numPr>
          <w:ilvl w:val="0"/>
          <w:numId w:val="7"/>
        </w:numPr>
        <w:spacing w:after="240"/>
        <w:ind w:left="840"/>
        <w:rPr>
          <w:sz w:val="20"/>
          <w:szCs w:val="20"/>
        </w:rPr>
      </w:pPr>
      <w:r w:rsidRPr="00A52A14">
        <w:rPr>
          <w:sz w:val="20"/>
          <w:szCs w:val="20"/>
        </w:rPr>
        <w:t xml:space="preserve">Option 1 </w:t>
      </w:r>
    </w:p>
    <w:p w14:paraId="0D8BC42E" w14:textId="77777777" w:rsidR="00A52A14" w:rsidRPr="00A52A14" w:rsidRDefault="00A52A14" w:rsidP="00A52A14">
      <w:pPr>
        <w:numPr>
          <w:ilvl w:val="0"/>
          <w:numId w:val="8"/>
        </w:numPr>
        <w:spacing w:after="240"/>
        <w:ind w:left="1356"/>
        <w:rPr>
          <w:sz w:val="20"/>
          <w:szCs w:val="20"/>
        </w:rPr>
      </w:pPr>
      <w:r w:rsidRPr="00A52A14">
        <w:rPr>
          <w:sz w:val="20"/>
          <w:szCs w:val="20"/>
        </w:rPr>
        <w:lastRenderedPageBreak/>
        <w:t>Prefer not to provide RRC configuration of the cell of additional PCI in the test cases since they are not actually used by UE.</w:t>
      </w:r>
    </w:p>
    <w:p w14:paraId="45F1C957" w14:textId="77777777" w:rsidR="00A52A14" w:rsidRPr="00A52A14" w:rsidRDefault="00A52A14" w:rsidP="00A52A14">
      <w:pPr>
        <w:numPr>
          <w:ilvl w:val="0"/>
          <w:numId w:val="7"/>
        </w:numPr>
        <w:spacing w:after="240"/>
        <w:ind w:left="840"/>
        <w:rPr>
          <w:sz w:val="20"/>
          <w:szCs w:val="20"/>
        </w:rPr>
      </w:pPr>
      <w:r w:rsidRPr="00A52A14">
        <w:rPr>
          <w:sz w:val="20"/>
          <w:szCs w:val="20"/>
        </w:rPr>
        <w:t>Option 2</w:t>
      </w:r>
    </w:p>
    <w:p w14:paraId="67C5E406" w14:textId="77777777" w:rsidR="00A52A14" w:rsidRPr="00A52A14" w:rsidRDefault="00A52A14" w:rsidP="00A52A14">
      <w:pPr>
        <w:numPr>
          <w:ilvl w:val="0"/>
          <w:numId w:val="8"/>
        </w:numPr>
        <w:spacing w:after="240"/>
        <w:ind w:left="1356"/>
        <w:rPr>
          <w:sz w:val="20"/>
          <w:szCs w:val="20"/>
        </w:rPr>
      </w:pPr>
      <w:r w:rsidRPr="00A52A14">
        <w:rPr>
          <w:sz w:val="20"/>
          <w:szCs w:val="20"/>
        </w:rPr>
        <w:t xml:space="preserve">Others </w:t>
      </w:r>
    </w:p>
    <w:p w14:paraId="6A56BE75" w14:textId="24F4E805" w:rsidR="00E11A56" w:rsidRPr="00A52A14" w:rsidRDefault="00A52A14" w:rsidP="00A52A14">
      <w:pPr>
        <w:spacing w:after="240"/>
        <w:rPr>
          <w:sz w:val="20"/>
          <w:szCs w:val="20"/>
        </w:rPr>
      </w:pPr>
      <w:r>
        <w:rPr>
          <w:sz w:val="20"/>
          <w:szCs w:val="20"/>
        </w:rPr>
        <w:t xml:space="preserve">For DL TCI state switch for unified TCI, we agreed to include 1 test case with TCI state switch to cell with additional PCI. The RRC configuration of the configured cells in any test case is provided as part of the test set up. If cell with different PCI is configured in the test case, then we would need to include the complete configuration set up for it. This configuration would not be part of the serving cell RRC configuration. </w:t>
      </w:r>
    </w:p>
    <w:p w14:paraId="465DB81C" w14:textId="0381DACF" w:rsidR="00E11A56" w:rsidRDefault="00E11A56" w:rsidP="00A52A14">
      <w:pPr>
        <w:spacing w:after="240"/>
        <w:rPr>
          <w:b/>
          <w:bCs/>
          <w:sz w:val="20"/>
          <w:szCs w:val="20"/>
        </w:rPr>
      </w:pPr>
      <w:r>
        <w:rPr>
          <w:b/>
          <w:bCs/>
          <w:sz w:val="20"/>
          <w:szCs w:val="20"/>
        </w:rPr>
        <w:t>Proposal #4: The RRC configuration of cell with different PCI is specified for cell configuration in test case, but not as part of RRC configuration for serving cell</w:t>
      </w:r>
    </w:p>
    <w:p w14:paraId="27B3DD31" w14:textId="77777777" w:rsidR="00E11A56" w:rsidRPr="004331C9" w:rsidRDefault="00E11A56" w:rsidP="00085BA6">
      <w:pPr>
        <w:spacing w:after="240"/>
        <w:rPr>
          <w:b/>
          <w:bCs/>
          <w:sz w:val="20"/>
          <w:szCs w:val="20"/>
        </w:rPr>
      </w:pPr>
    </w:p>
    <w:p w14:paraId="3A3FB881" w14:textId="39960C9F" w:rsidR="004331C9" w:rsidRDefault="004331C9">
      <w:pPr>
        <w:rPr>
          <w:sz w:val="20"/>
          <w:szCs w:val="20"/>
        </w:rPr>
      </w:pPr>
    </w:p>
    <w:p w14:paraId="3BEE854D" w14:textId="47FBB40F" w:rsidR="004331C9" w:rsidRPr="004331C9" w:rsidRDefault="004331C9" w:rsidP="004331C9">
      <w:pPr>
        <w:keepNext/>
        <w:keepLines/>
        <w:numPr>
          <w:ilvl w:val="1"/>
          <w:numId w:val="0"/>
        </w:numPr>
        <w:tabs>
          <w:tab w:val="left" w:pos="851"/>
        </w:tabs>
        <w:overflowPunct w:val="0"/>
        <w:autoSpaceDE w:val="0"/>
        <w:autoSpaceDN w:val="0"/>
        <w:adjustRightInd w:val="0"/>
        <w:spacing w:before="180" w:after="180"/>
        <w:ind w:left="720" w:hanging="720"/>
        <w:jc w:val="left"/>
        <w:textAlignment w:val="baseline"/>
        <w:outlineLvl w:val="1"/>
        <w:rPr>
          <w:rFonts w:ascii="Arial" w:hAnsi="Arial" w:cs="Arial"/>
          <w:kern w:val="0"/>
          <w:sz w:val="28"/>
          <w:szCs w:val="18"/>
        </w:rPr>
      </w:pPr>
      <w:r>
        <w:rPr>
          <w:rFonts w:ascii="Arial" w:hAnsi="Arial" w:cs="Arial"/>
          <w:sz w:val="28"/>
          <w:szCs w:val="18"/>
        </w:rPr>
        <w:t>2.2 T</w:t>
      </w:r>
      <w:r w:rsidRPr="004331C9">
        <w:rPr>
          <w:rFonts w:ascii="Arial" w:hAnsi="Arial" w:cs="Arial"/>
          <w:kern w:val="0"/>
          <w:sz w:val="28"/>
          <w:szCs w:val="18"/>
        </w:rPr>
        <w:t>RP specific BFD and LR test cases</w:t>
      </w:r>
    </w:p>
    <w:p w14:paraId="28AB1285" w14:textId="29B04082" w:rsidR="00E11A56" w:rsidRPr="004331C9" w:rsidRDefault="00E11A56" w:rsidP="00E11A56">
      <w:pPr>
        <w:spacing w:after="120"/>
        <w:rPr>
          <w:sz w:val="20"/>
          <w:szCs w:val="20"/>
        </w:rPr>
      </w:pPr>
      <w:r w:rsidRPr="004331C9">
        <w:rPr>
          <w:sz w:val="20"/>
          <w:szCs w:val="20"/>
        </w:rPr>
        <w:t xml:space="preserve">The open issues related </w:t>
      </w:r>
      <w:r>
        <w:rPr>
          <w:sz w:val="20"/>
          <w:szCs w:val="20"/>
        </w:rPr>
        <w:t>TRP specific BFR test cases</w:t>
      </w:r>
      <w:r w:rsidRPr="004331C9">
        <w:rPr>
          <w:sz w:val="20"/>
          <w:szCs w:val="20"/>
        </w:rPr>
        <w:t xml:space="preserve"> are:</w:t>
      </w:r>
    </w:p>
    <w:p w14:paraId="0356F745" w14:textId="77777777" w:rsidR="00E11A56" w:rsidRPr="00E11A56" w:rsidRDefault="00E11A56" w:rsidP="00E11A56">
      <w:pPr>
        <w:spacing w:before="100" w:beforeAutospacing="1" w:after="180"/>
        <w:jc w:val="left"/>
        <w:rPr>
          <w:rFonts w:eastAsia="Times New Roman"/>
          <w:b/>
          <w:kern w:val="0"/>
          <w:sz w:val="20"/>
          <w:szCs w:val="20"/>
          <w:u w:val="single"/>
        </w:rPr>
      </w:pPr>
      <w:r w:rsidRPr="00E11A56">
        <w:rPr>
          <w:rFonts w:eastAsia="Times New Roman"/>
          <w:b/>
          <w:kern w:val="0"/>
          <w:sz w:val="20"/>
          <w:szCs w:val="20"/>
          <w:u w:val="single"/>
        </w:rPr>
        <w:t>Issue 3-1-1: Whether intra-cell TRP or inter-cell TRP specific BFR test cases are designed?</w:t>
      </w:r>
    </w:p>
    <w:p w14:paraId="3A58D13B" w14:textId="77777777" w:rsidR="00E11A56" w:rsidRPr="00E11A56" w:rsidRDefault="00E11A56" w:rsidP="00E11A56">
      <w:pPr>
        <w:numPr>
          <w:ilvl w:val="0"/>
          <w:numId w:val="3"/>
        </w:numPr>
        <w:overflowPunct w:val="0"/>
        <w:autoSpaceDE w:val="0"/>
        <w:autoSpaceDN w:val="0"/>
        <w:adjustRightInd w:val="0"/>
        <w:spacing w:before="100" w:beforeAutospacing="1" w:after="180"/>
        <w:jc w:val="left"/>
        <w:textAlignment w:val="baseline"/>
        <w:rPr>
          <w:rFonts w:eastAsia="Times New Roman"/>
          <w:kern w:val="0"/>
          <w:sz w:val="20"/>
          <w:szCs w:val="20"/>
        </w:rPr>
      </w:pPr>
      <w:r w:rsidRPr="00E11A56">
        <w:rPr>
          <w:rFonts w:eastAsia="Times New Roman"/>
          <w:kern w:val="0"/>
          <w:sz w:val="20"/>
          <w:szCs w:val="20"/>
        </w:rPr>
        <w:t>Option 1: Design all TRP specific BFR test cases as intra cell. (Intel, Apple, Huawei, MediaTek)</w:t>
      </w:r>
    </w:p>
    <w:p w14:paraId="06555AAB" w14:textId="77777777" w:rsidR="00026617" w:rsidRDefault="00E11A56" w:rsidP="00E11A56">
      <w:pPr>
        <w:numPr>
          <w:ilvl w:val="0"/>
          <w:numId w:val="3"/>
        </w:numPr>
        <w:overflowPunct w:val="0"/>
        <w:autoSpaceDE w:val="0"/>
        <w:autoSpaceDN w:val="0"/>
        <w:adjustRightInd w:val="0"/>
        <w:spacing w:before="100" w:beforeAutospacing="1" w:after="180"/>
        <w:jc w:val="left"/>
        <w:textAlignment w:val="baseline"/>
        <w:rPr>
          <w:rFonts w:eastAsia="Times New Roman"/>
          <w:kern w:val="0"/>
          <w:sz w:val="20"/>
          <w:szCs w:val="20"/>
        </w:rPr>
      </w:pPr>
      <w:r w:rsidRPr="00E11A56">
        <w:rPr>
          <w:rFonts w:eastAsia="Times New Roman"/>
          <w:kern w:val="0"/>
          <w:sz w:val="20"/>
          <w:szCs w:val="20"/>
        </w:rPr>
        <w:t xml:space="preserve">Option 2: For TRP specific BFR test cases, for 4 CSI-RS based TCs, design intra cell, for 2 SSB based TCs, design the test case as one serving cell and </w:t>
      </w:r>
      <w:proofErr w:type="spellStart"/>
      <w:r w:rsidRPr="00E11A56">
        <w:rPr>
          <w:rFonts w:eastAsia="Times New Roman"/>
          <w:kern w:val="0"/>
          <w:sz w:val="20"/>
          <w:szCs w:val="20"/>
        </w:rPr>
        <w:t>additionalPCI</w:t>
      </w:r>
      <w:proofErr w:type="spellEnd"/>
      <w:r w:rsidRPr="00E11A56">
        <w:rPr>
          <w:rFonts w:eastAsia="Times New Roman"/>
          <w:kern w:val="0"/>
          <w:sz w:val="20"/>
          <w:szCs w:val="20"/>
        </w:rPr>
        <w:t xml:space="preserve"> (Samsung)</w:t>
      </w:r>
    </w:p>
    <w:p w14:paraId="7BFCCCF3" w14:textId="267F8D1D" w:rsidR="00E11A56" w:rsidRPr="00E11A56" w:rsidRDefault="00E11A56" w:rsidP="00E11A56">
      <w:pPr>
        <w:numPr>
          <w:ilvl w:val="0"/>
          <w:numId w:val="3"/>
        </w:numPr>
        <w:overflowPunct w:val="0"/>
        <w:autoSpaceDE w:val="0"/>
        <w:autoSpaceDN w:val="0"/>
        <w:adjustRightInd w:val="0"/>
        <w:spacing w:before="100" w:beforeAutospacing="1" w:after="180"/>
        <w:jc w:val="left"/>
        <w:textAlignment w:val="baseline"/>
        <w:rPr>
          <w:rFonts w:eastAsia="Times New Roman"/>
          <w:kern w:val="0"/>
          <w:sz w:val="20"/>
          <w:szCs w:val="20"/>
        </w:rPr>
      </w:pPr>
      <w:r w:rsidRPr="00E11A56">
        <w:rPr>
          <w:rFonts w:eastAsia="Times New Roman"/>
          <w:kern w:val="0"/>
          <w:sz w:val="20"/>
          <w:szCs w:val="20"/>
        </w:rPr>
        <w:t>Option 3: For 2 SSB based TCs, design intra-cell, but for CSI-RS TCs, design inter-cell. (, Ericsson)</w:t>
      </w:r>
    </w:p>
    <w:p w14:paraId="4C6F0ED8" w14:textId="77777777" w:rsidR="004331C9" w:rsidRDefault="004331C9"/>
    <w:p w14:paraId="68E240A3" w14:textId="708DEDA3" w:rsidR="001F0FFE" w:rsidRDefault="001F0FFE" w:rsidP="001F0FFE">
      <w:pPr>
        <w:spacing w:after="240"/>
        <w:rPr>
          <w:sz w:val="20"/>
          <w:szCs w:val="20"/>
        </w:rPr>
      </w:pPr>
      <w:r>
        <w:rPr>
          <w:sz w:val="20"/>
          <w:szCs w:val="20"/>
        </w:rPr>
        <w:t xml:space="preserve">The feature of TRP specific BFR is applicable to both intra-cell and inter-cell </w:t>
      </w:r>
      <w:proofErr w:type="spellStart"/>
      <w:r>
        <w:rPr>
          <w:sz w:val="20"/>
          <w:szCs w:val="20"/>
        </w:rPr>
        <w:t>mTRP</w:t>
      </w:r>
      <w:proofErr w:type="spellEnd"/>
      <w:r>
        <w:rPr>
          <w:sz w:val="20"/>
          <w:szCs w:val="20"/>
        </w:rPr>
        <w:t xml:space="preserve"> scenarios. For verifying the requirements for TRP specific BFR it doesn’t make much difference if the TRPs are from same PCI as serving cell or one of them is from different PCI, except for the test configuration. </w:t>
      </w:r>
    </w:p>
    <w:p w14:paraId="2077EFA9" w14:textId="4E1127DB" w:rsidR="001F0FFE" w:rsidRDefault="001F0FFE" w:rsidP="001F0FFE">
      <w:pPr>
        <w:spacing w:after="240"/>
        <w:rPr>
          <w:i/>
          <w:iCs/>
          <w:sz w:val="20"/>
          <w:szCs w:val="20"/>
        </w:rPr>
      </w:pPr>
      <w:r>
        <w:rPr>
          <w:b/>
          <w:bCs/>
          <w:i/>
          <w:iCs/>
          <w:sz w:val="20"/>
          <w:szCs w:val="20"/>
        </w:rPr>
        <w:t xml:space="preserve">Observation #3: </w:t>
      </w:r>
      <w:r>
        <w:rPr>
          <w:i/>
          <w:iCs/>
          <w:sz w:val="20"/>
          <w:szCs w:val="20"/>
        </w:rPr>
        <w:t xml:space="preserve"> For the purpose of verifying core requirements of TRP specific BFR, there is no difference whether intra-cell or inter-cell </w:t>
      </w:r>
      <w:proofErr w:type="spellStart"/>
      <w:r>
        <w:rPr>
          <w:i/>
          <w:iCs/>
          <w:sz w:val="20"/>
          <w:szCs w:val="20"/>
        </w:rPr>
        <w:t>mTRP</w:t>
      </w:r>
      <w:proofErr w:type="spellEnd"/>
      <w:r>
        <w:rPr>
          <w:i/>
          <w:iCs/>
          <w:sz w:val="20"/>
          <w:szCs w:val="20"/>
        </w:rPr>
        <w:t xml:space="preserve"> is configured.</w:t>
      </w:r>
    </w:p>
    <w:p w14:paraId="0332CA0A" w14:textId="5191FDD0" w:rsidR="001F0FFE" w:rsidRPr="001F0FFE" w:rsidRDefault="001F0FFE" w:rsidP="001F0FFE">
      <w:pPr>
        <w:spacing w:after="240"/>
        <w:rPr>
          <w:sz w:val="20"/>
          <w:szCs w:val="20"/>
        </w:rPr>
      </w:pPr>
      <w:r>
        <w:rPr>
          <w:sz w:val="20"/>
          <w:szCs w:val="20"/>
        </w:rPr>
        <w:t xml:space="preserve">We think it is sufficient to configure the test cases as intra-cell </w:t>
      </w:r>
      <w:proofErr w:type="spellStart"/>
      <w:r>
        <w:rPr>
          <w:sz w:val="20"/>
          <w:szCs w:val="20"/>
        </w:rPr>
        <w:t>mTRP</w:t>
      </w:r>
      <w:proofErr w:type="spellEnd"/>
      <w:r>
        <w:rPr>
          <w:sz w:val="20"/>
          <w:szCs w:val="20"/>
        </w:rPr>
        <w:t xml:space="preserve"> for TRP specific BFR.</w:t>
      </w:r>
    </w:p>
    <w:p w14:paraId="42CC0EFB" w14:textId="2B68A72D" w:rsidR="00026617" w:rsidRPr="001F0FFE" w:rsidRDefault="00026617" w:rsidP="001F0FFE">
      <w:pPr>
        <w:spacing w:after="240"/>
        <w:rPr>
          <w:b/>
          <w:bCs/>
          <w:sz w:val="20"/>
          <w:szCs w:val="20"/>
        </w:rPr>
      </w:pPr>
      <w:r w:rsidRPr="001F0FFE">
        <w:rPr>
          <w:b/>
          <w:bCs/>
          <w:sz w:val="20"/>
          <w:szCs w:val="20"/>
        </w:rPr>
        <w:t>Proposal #5: Design all test cases as intra-cell for TRP specific BFR.</w:t>
      </w:r>
    </w:p>
    <w:p w14:paraId="10E97695" w14:textId="465EF626" w:rsidR="008F099C" w:rsidRPr="001F0FFE" w:rsidRDefault="00026617" w:rsidP="001F0FFE">
      <w:pPr>
        <w:spacing w:after="240"/>
        <w:rPr>
          <w:sz w:val="20"/>
          <w:szCs w:val="20"/>
        </w:rPr>
      </w:pPr>
      <w:r w:rsidRPr="001F0FFE">
        <w:rPr>
          <w:sz w:val="20"/>
          <w:szCs w:val="20"/>
        </w:rPr>
        <w:t xml:space="preserve"> </w:t>
      </w:r>
      <w:r w:rsidR="001F0FFE" w:rsidRPr="001F0FFE">
        <w:rPr>
          <w:sz w:val="20"/>
          <w:szCs w:val="20"/>
        </w:rPr>
        <w:t>In [1] we have the following agreement for beam recovery configuration for TRP specific BFR test cases:</w:t>
      </w:r>
    </w:p>
    <w:tbl>
      <w:tblPr>
        <w:tblStyle w:val="TableGrid"/>
        <w:tblW w:w="0" w:type="auto"/>
        <w:tblLook w:val="04A0" w:firstRow="1" w:lastRow="0" w:firstColumn="1" w:lastColumn="0" w:noHBand="0" w:noVBand="1"/>
      </w:tblPr>
      <w:tblGrid>
        <w:gridCol w:w="9350"/>
      </w:tblGrid>
      <w:tr w:rsidR="001F0FFE" w14:paraId="65631BA5" w14:textId="77777777" w:rsidTr="001F0FFE">
        <w:tc>
          <w:tcPr>
            <w:tcW w:w="9350" w:type="dxa"/>
          </w:tcPr>
          <w:p w14:paraId="7BCDA3D6" w14:textId="77777777" w:rsidR="001F0FFE" w:rsidRPr="000C7E43" w:rsidRDefault="001F0FFE" w:rsidP="001F0FFE">
            <w:pPr>
              <w:rPr>
                <w:rFonts w:eastAsia="Times New Roman"/>
                <w:b/>
                <w:kern w:val="0"/>
                <w:sz w:val="22"/>
                <w:szCs w:val="22"/>
                <w:u w:val="single"/>
              </w:rPr>
            </w:pPr>
            <w:r w:rsidRPr="000C7E43">
              <w:rPr>
                <w:b/>
                <w:sz w:val="20"/>
                <w:szCs w:val="20"/>
                <w:u w:val="single"/>
              </w:rPr>
              <w:t>Issue 3-1-2: Beam recovery method configured in the test case</w:t>
            </w:r>
          </w:p>
          <w:p w14:paraId="1B1331CB" w14:textId="77777777" w:rsidR="001F0FFE" w:rsidRPr="000C7E43" w:rsidRDefault="001F0FFE" w:rsidP="001F0FFE">
            <w:pPr>
              <w:rPr>
                <w:b/>
                <w:sz w:val="20"/>
                <w:szCs w:val="20"/>
              </w:rPr>
            </w:pPr>
            <w:r w:rsidRPr="000C7E43">
              <w:rPr>
                <w:b/>
                <w:sz w:val="20"/>
                <w:szCs w:val="20"/>
              </w:rPr>
              <w:t xml:space="preserve">Agreements: </w:t>
            </w:r>
          </w:p>
          <w:p w14:paraId="4A6A05B2" w14:textId="77777777" w:rsidR="001F0FFE" w:rsidRPr="000C7E43" w:rsidRDefault="001F0FFE" w:rsidP="001F0FFE">
            <w:pPr>
              <w:numPr>
                <w:ilvl w:val="0"/>
                <w:numId w:val="9"/>
              </w:numPr>
              <w:adjustRightInd w:val="0"/>
              <w:rPr>
                <w:sz w:val="20"/>
                <w:szCs w:val="20"/>
              </w:rPr>
            </w:pPr>
            <w:r w:rsidRPr="000C7E43">
              <w:rPr>
                <w:sz w:val="20"/>
                <w:szCs w:val="20"/>
              </w:rPr>
              <w:t xml:space="preserve">For BFR on </w:t>
            </w:r>
            <w:proofErr w:type="spellStart"/>
            <w:r w:rsidRPr="000C7E43">
              <w:rPr>
                <w:sz w:val="20"/>
                <w:szCs w:val="20"/>
              </w:rPr>
              <w:t>SCells</w:t>
            </w:r>
            <w:proofErr w:type="spellEnd"/>
            <w:r w:rsidRPr="000C7E43">
              <w:rPr>
                <w:sz w:val="20"/>
                <w:szCs w:val="20"/>
              </w:rPr>
              <w:t>, dedicated BFR resource is configured and not configured for different test cases</w:t>
            </w:r>
          </w:p>
          <w:p w14:paraId="17E27304" w14:textId="0D7FE0C6" w:rsidR="001F0FFE" w:rsidRPr="001F0FFE" w:rsidRDefault="001F0FFE" w:rsidP="001F0FFE">
            <w:pPr>
              <w:numPr>
                <w:ilvl w:val="0"/>
                <w:numId w:val="9"/>
              </w:numPr>
              <w:adjustRightInd w:val="0"/>
            </w:pPr>
            <w:r w:rsidRPr="000C7E43">
              <w:rPr>
                <w:sz w:val="20"/>
                <w:szCs w:val="20"/>
              </w:rPr>
              <w:t xml:space="preserve">For BFR on </w:t>
            </w:r>
            <w:proofErr w:type="spellStart"/>
            <w:r w:rsidRPr="000C7E43">
              <w:rPr>
                <w:sz w:val="20"/>
                <w:szCs w:val="20"/>
              </w:rPr>
              <w:t>SpCells</w:t>
            </w:r>
            <w:proofErr w:type="spellEnd"/>
            <w:r w:rsidRPr="000C7E43">
              <w:rPr>
                <w:sz w:val="20"/>
                <w:szCs w:val="20"/>
              </w:rPr>
              <w:t>, CFRA based BFR is configured.</w:t>
            </w:r>
          </w:p>
        </w:tc>
      </w:tr>
    </w:tbl>
    <w:p w14:paraId="4415F256" w14:textId="6DEBF17C" w:rsidR="001F0FFE" w:rsidRDefault="001F0FFE" w:rsidP="001F0FFE">
      <w:pPr>
        <w:spacing w:after="240"/>
        <w:rPr>
          <w:b/>
          <w:bCs/>
          <w:sz w:val="20"/>
          <w:szCs w:val="20"/>
        </w:rPr>
      </w:pPr>
    </w:p>
    <w:p w14:paraId="0F9C227A" w14:textId="3343C328" w:rsidR="001F0FFE" w:rsidRDefault="001F0FFE" w:rsidP="001F0FFE">
      <w:pPr>
        <w:spacing w:after="240"/>
        <w:rPr>
          <w:sz w:val="20"/>
          <w:szCs w:val="20"/>
        </w:rPr>
      </w:pPr>
      <w:r w:rsidRPr="001F0FFE">
        <w:rPr>
          <w:sz w:val="20"/>
          <w:szCs w:val="20"/>
        </w:rPr>
        <w:t>T</w:t>
      </w:r>
      <w:r>
        <w:rPr>
          <w:sz w:val="20"/>
          <w:szCs w:val="20"/>
        </w:rPr>
        <w:t xml:space="preserve">he above agreement suggests that only on </w:t>
      </w:r>
      <w:proofErr w:type="spellStart"/>
      <w:r>
        <w:rPr>
          <w:sz w:val="20"/>
          <w:szCs w:val="20"/>
        </w:rPr>
        <w:t>SCells</w:t>
      </w:r>
      <w:proofErr w:type="spellEnd"/>
      <w:r>
        <w:rPr>
          <w:sz w:val="20"/>
          <w:szCs w:val="20"/>
        </w:rPr>
        <w:t xml:space="preserve"> dedicated BFR resource is configured or not configured, </w:t>
      </w:r>
      <w:r w:rsidR="000C7E43">
        <w:rPr>
          <w:sz w:val="20"/>
          <w:szCs w:val="20"/>
        </w:rPr>
        <w:t xml:space="preserve">and not for </w:t>
      </w:r>
      <w:proofErr w:type="spellStart"/>
      <w:r w:rsidR="000C7E43">
        <w:rPr>
          <w:sz w:val="20"/>
          <w:szCs w:val="20"/>
        </w:rPr>
        <w:t>SpCells</w:t>
      </w:r>
      <w:proofErr w:type="spellEnd"/>
      <w:r w:rsidR="000C7E43">
        <w:rPr>
          <w:sz w:val="20"/>
          <w:szCs w:val="20"/>
        </w:rPr>
        <w:t>. For Rel-17</w:t>
      </w:r>
      <w:r>
        <w:rPr>
          <w:sz w:val="20"/>
          <w:szCs w:val="20"/>
        </w:rPr>
        <w:t xml:space="preserve"> TRP specific BFR dedicated BFR resource can be configured for </w:t>
      </w:r>
      <w:proofErr w:type="spellStart"/>
      <w:r>
        <w:rPr>
          <w:sz w:val="20"/>
          <w:szCs w:val="20"/>
        </w:rPr>
        <w:t>SpCells</w:t>
      </w:r>
      <w:proofErr w:type="spellEnd"/>
      <w:r>
        <w:rPr>
          <w:sz w:val="20"/>
          <w:szCs w:val="20"/>
        </w:rPr>
        <w:t xml:space="preserve"> as well.</w:t>
      </w:r>
    </w:p>
    <w:p w14:paraId="21C3FEBB" w14:textId="2C601EA3" w:rsidR="00B14736" w:rsidRDefault="00990505" w:rsidP="001F0FFE">
      <w:pPr>
        <w:spacing w:after="240"/>
        <w:rPr>
          <w:sz w:val="20"/>
          <w:szCs w:val="20"/>
        </w:rPr>
      </w:pPr>
      <w:r>
        <w:rPr>
          <w:sz w:val="20"/>
          <w:szCs w:val="20"/>
        </w:rPr>
        <w:lastRenderedPageBreak/>
        <w:t>From TS</w:t>
      </w:r>
      <w:r w:rsidR="000C7E43">
        <w:rPr>
          <w:sz w:val="20"/>
          <w:szCs w:val="20"/>
        </w:rPr>
        <w:t xml:space="preserve"> 38.213:</w:t>
      </w:r>
    </w:p>
    <w:p w14:paraId="3C1C6CF0" w14:textId="743A3093" w:rsidR="00B14736" w:rsidRPr="001F0FFE" w:rsidRDefault="00B14736" w:rsidP="001F0FFE">
      <w:pPr>
        <w:spacing w:after="240"/>
        <w:rPr>
          <w:sz w:val="20"/>
          <w:szCs w:val="20"/>
        </w:rPr>
      </w:pPr>
      <w:r w:rsidRPr="00B14736">
        <w:rPr>
          <w:noProof/>
          <w:sz w:val="20"/>
          <w:szCs w:val="20"/>
        </w:rPr>
        <w:drawing>
          <wp:inline distT="0" distB="0" distL="0" distR="0" wp14:anchorId="776668FE" wp14:editId="300360C9">
            <wp:extent cx="5943600" cy="1657350"/>
            <wp:effectExtent l="12700" t="12700" r="12700" b="1905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5"/>
                    <a:stretch>
                      <a:fillRect/>
                    </a:stretch>
                  </pic:blipFill>
                  <pic:spPr>
                    <a:xfrm>
                      <a:off x="0" y="0"/>
                      <a:ext cx="5943600" cy="1657350"/>
                    </a:xfrm>
                    <a:prstGeom prst="rect">
                      <a:avLst/>
                    </a:prstGeom>
                    <a:ln>
                      <a:solidFill>
                        <a:schemeClr val="tx1"/>
                      </a:solidFill>
                    </a:ln>
                  </pic:spPr>
                </pic:pic>
              </a:graphicData>
            </a:graphic>
          </wp:inline>
        </w:drawing>
      </w:r>
    </w:p>
    <w:p w14:paraId="3124154E" w14:textId="791960D7" w:rsidR="00421989" w:rsidRPr="00421989" w:rsidRDefault="00421989" w:rsidP="001F0FFE">
      <w:pPr>
        <w:spacing w:after="240"/>
        <w:rPr>
          <w:sz w:val="20"/>
          <w:szCs w:val="20"/>
        </w:rPr>
      </w:pPr>
      <w:r>
        <w:rPr>
          <w:sz w:val="20"/>
          <w:szCs w:val="20"/>
        </w:rPr>
        <w:t xml:space="preserve">On check of the existing requirements, we found that the TRP specific BFR test cases for </w:t>
      </w:r>
      <w:proofErr w:type="spellStart"/>
      <w:r>
        <w:rPr>
          <w:sz w:val="20"/>
          <w:szCs w:val="20"/>
        </w:rPr>
        <w:t>PCell</w:t>
      </w:r>
      <w:proofErr w:type="spellEnd"/>
      <w:r>
        <w:rPr>
          <w:sz w:val="20"/>
          <w:szCs w:val="20"/>
        </w:rPr>
        <w:t xml:space="preserve"> or </w:t>
      </w:r>
      <w:proofErr w:type="spellStart"/>
      <w:r>
        <w:rPr>
          <w:sz w:val="20"/>
          <w:szCs w:val="20"/>
        </w:rPr>
        <w:t>PSCell</w:t>
      </w:r>
      <w:proofErr w:type="spellEnd"/>
      <w:r>
        <w:rPr>
          <w:sz w:val="20"/>
          <w:szCs w:val="20"/>
        </w:rPr>
        <w:t xml:space="preserve"> don’t have dedicated BFR resource specified and is incomplete. </w:t>
      </w:r>
    </w:p>
    <w:p w14:paraId="56AA63F7" w14:textId="1646B1EA" w:rsidR="00421989" w:rsidRPr="00421989" w:rsidRDefault="00421989" w:rsidP="001F0FFE">
      <w:pPr>
        <w:spacing w:after="240"/>
        <w:rPr>
          <w:i/>
          <w:iCs/>
          <w:sz w:val="20"/>
          <w:szCs w:val="20"/>
        </w:rPr>
      </w:pPr>
      <w:r>
        <w:rPr>
          <w:b/>
          <w:bCs/>
          <w:i/>
          <w:iCs/>
          <w:sz w:val="20"/>
          <w:szCs w:val="20"/>
        </w:rPr>
        <w:t xml:space="preserve">Observation #4: </w:t>
      </w:r>
      <w:r>
        <w:rPr>
          <w:i/>
          <w:iCs/>
          <w:sz w:val="20"/>
          <w:szCs w:val="20"/>
        </w:rPr>
        <w:t xml:space="preserve">The BFR resource configuration is incomplete for TRP specific BFR tests with </w:t>
      </w:r>
      <w:proofErr w:type="spellStart"/>
      <w:r>
        <w:rPr>
          <w:i/>
          <w:iCs/>
          <w:sz w:val="20"/>
          <w:szCs w:val="20"/>
        </w:rPr>
        <w:t>PSCell</w:t>
      </w:r>
      <w:proofErr w:type="spellEnd"/>
      <w:r>
        <w:rPr>
          <w:i/>
          <w:iCs/>
          <w:sz w:val="20"/>
          <w:szCs w:val="20"/>
        </w:rPr>
        <w:t xml:space="preserve"> or </w:t>
      </w:r>
      <w:proofErr w:type="spellStart"/>
      <w:r>
        <w:rPr>
          <w:i/>
          <w:iCs/>
          <w:sz w:val="20"/>
          <w:szCs w:val="20"/>
        </w:rPr>
        <w:t>PCell</w:t>
      </w:r>
      <w:proofErr w:type="spellEnd"/>
      <w:r>
        <w:rPr>
          <w:i/>
          <w:iCs/>
          <w:sz w:val="20"/>
          <w:szCs w:val="20"/>
        </w:rPr>
        <w:t>.</w:t>
      </w:r>
    </w:p>
    <w:p w14:paraId="642B586B" w14:textId="7CE1B7CB" w:rsidR="001F0FFE" w:rsidRDefault="00421989" w:rsidP="001F0FFE">
      <w:pPr>
        <w:spacing w:after="240"/>
        <w:rPr>
          <w:sz w:val="20"/>
          <w:szCs w:val="20"/>
        </w:rPr>
      </w:pPr>
      <w:r>
        <w:rPr>
          <w:sz w:val="20"/>
          <w:szCs w:val="20"/>
        </w:rPr>
        <w:t>Based on the above observation, we summarized the current test case configuration and proposed modification in the table below.</w:t>
      </w:r>
    </w:p>
    <w:p w14:paraId="7A54E49F" w14:textId="25D3ADF6" w:rsidR="00421989" w:rsidRDefault="00421989" w:rsidP="001F0FFE">
      <w:pPr>
        <w:spacing w:after="240"/>
        <w:rPr>
          <w:sz w:val="20"/>
          <w:szCs w:val="20"/>
        </w:rPr>
      </w:pPr>
    </w:p>
    <w:p w14:paraId="59FDE062" w14:textId="5AFD3D0F" w:rsidR="00421989" w:rsidRDefault="00421989" w:rsidP="00421989">
      <w:pPr>
        <w:pStyle w:val="Caption"/>
        <w:keepNext/>
        <w:jc w:val="center"/>
      </w:pPr>
      <w:r>
        <w:t xml:space="preserve">Table </w:t>
      </w:r>
      <w:fldSimple w:instr=" SEQ Table \* ARABIC ">
        <w:r>
          <w:rPr>
            <w:noProof/>
          </w:rPr>
          <w:t>1</w:t>
        </w:r>
      </w:fldSimple>
      <w:r>
        <w:t>: BFR Resource for TRP specific BFR test cases</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6"/>
        <w:gridCol w:w="2068"/>
        <w:gridCol w:w="1577"/>
        <w:gridCol w:w="1426"/>
        <w:gridCol w:w="1426"/>
      </w:tblGrid>
      <w:tr w:rsidR="00DD329A" w:rsidRPr="00DD329A" w14:paraId="03D64B84" w14:textId="77777777" w:rsidTr="00DD329A">
        <w:trPr>
          <w:trHeight w:val="720"/>
          <w:jc w:val="center"/>
        </w:trPr>
        <w:tc>
          <w:tcPr>
            <w:tcW w:w="1836" w:type="dxa"/>
            <w:tcMar>
              <w:top w:w="0" w:type="dxa"/>
              <w:left w:w="108" w:type="dxa"/>
              <w:bottom w:w="0" w:type="dxa"/>
              <w:right w:w="108" w:type="dxa"/>
            </w:tcMar>
            <w:vAlign w:val="center"/>
            <w:hideMark/>
          </w:tcPr>
          <w:p w14:paraId="693CF589" w14:textId="77777777" w:rsidR="00DD329A" w:rsidRPr="00DD329A" w:rsidRDefault="00DD329A" w:rsidP="00421989">
            <w:pPr>
              <w:pStyle w:val="NormalWeb"/>
              <w:jc w:val="center"/>
              <w:rPr>
                <w:rFonts w:ascii="Arial" w:hAnsi="Arial" w:cs="Arial"/>
                <w:color w:val="000000"/>
                <w:sz w:val="20"/>
                <w:szCs w:val="20"/>
              </w:rPr>
            </w:pPr>
            <w:r w:rsidRPr="00DD329A">
              <w:rPr>
                <w:b/>
                <w:bCs/>
                <w:color w:val="000000"/>
                <w:sz w:val="20"/>
                <w:szCs w:val="20"/>
              </w:rPr>
              <w:t>Scenario</w:t>
            </w:r>
          </w:p>
        </w:tc>
        <w:tc>
          <w:tcPr>
            <w:tcW w:w="2068" w:type="dxa"/>
            <w:tcMar>
              <w:top w:w="0" w:type="dxa"/>
              <w:left w:w="108" w:type="dxa"/>
              <w:bottom w:w="0" w:type="dxa"/>
              <w:right w:w="108" w:type="dxa"/>
            </w:tcMar>
            <w:vAlign w:val="center"/>
            <w:hideMark/>
          </w:tcPr>
          <w:p w14:paraId="62A46E12" w14:textId="77777777" w:rsidR="00DD329A" w:rsidRPr="00DD329A" w:rsidRDefault="00DD329A" w:rsidP="00421989">
            <w:pPr>
              <w:pStyle w:val="NormalWeb"/>
              <w:jc w:val="center"/>
              <w:rPr>
                <w:rFonts w:ascii="Arial" w:hAnsi="Arial" w:cs="Arial"/>
                <w:color w:val="000000"/>
                <w:sz w:val="20"/>
                <w:szCs w:val="20"/>
              </w:rPr>
            </w:pPr>
            <w:r w:rsidRPr="00DD329A">
              <w:rPr>
                <w:b/>
                <w:bCs/>
                <w:color w:val="000000"/>
                <w:sz w:val="20"/>
                <w:szCs w:val="20"/>
              </w:rPr>
              <w:t>Key Configurations</w:t>
            </w:r>
          </w:p>
        </w:tc>
        <w:tc>
          <w:tcPr>
            <w:tcW w:w="1577" w:type="dxa"/>
            <w:tcMar>
              <w:top w:w="0" w:type="dxa"/>
              <w:left w:w="108" w:type="dxa"/>
              <w:bottom w:w="0" w:type="dxa"/>
              <w:right w:w="108" w:type="dxa"/>
            </w:tcMar>
            <w:vAlign w:val="center"/>
            <w:hideMark/>
          </w:tcPr>
          <w:p w14:paraId="591F988E" w14:textId="77777777" w:rsidR="00DD329A" w:rsidRPr="00DD329A" w:rsidRDefault="00DD329A" w:rsidP="00421989">
            <w:pPr>
              <w:pStyle w:val="NormalWeb"/>
              <w:jc w:val="center"/>
              <w:rPr>
                <w:rFonts w:ascii="Arial" w:hAnsi="Arial" w:cs="Arial"/>
                <w:color w:val="000000"/>
                <w:sz w:val="20"/>
                <w:szCs w:val="20"/>
              </w:rPr>
            </w:pPr>
            <w:r w:rsidRPr="00DD329A">
              <w:rPr>
                <w:b/>
                <w:bCs/>
                <w:color w:val="000000"/>
                <w:sz w:val="20"/>
                <w:szCs w:val="20"/>
              </w:rPr>
              <w:t>Clause Number</w:t>
            </w:r>
          </w:p>
        </w:tc>
        <w:tc>
          <w:tcPr>
            <w:tcW w:w="1426" w:type="dxa"/>
            <w:vAlign w:val="center"/>
          </w:tcPr>
          <w:p w14:paraId="2C2C6EA2" w14:textId="77777777" w:rsidR="00DD329A" w:rsidRPr="00DD329A" w:rsidRDefault="00DD329A" w:rsidP="00421989">
            <w:pPr>
              <w:pStyle w:val="NormalWeb"/>
              <w:jc w:val="center"/>
              <w:rPr>
                <w:b/>
                <w:bCs/>
                <w:color w:val="000000"/>
                <w:sz w:val="20"/>
                <w:szCs w:val="20"/>
              </w:rPr>
            </w:pPr>
            <w:r w:rsidRPr="00DD329A">
              <w:rPr>
                <w:b/>
                <w:bCs/>
                <w:color w:val="000000"/>
                <w:sz w:val="20"/>
                <w:szCs w:val="20"/>
              </w:rPr>
              <w:t>BFR resource config</w:t>
            </w:r>
          </w:p>
        </w:tc>
        <w:tc>
          <w:tcPr>
            <w:tcW w:w="1426" w:type="dxa"/>
            <w:tcMar>
              <w:top w:w="0" w:type="dxa"/>
              <w:left w:w="108" w:type="dxa"/>
              <w:bottom w:w="0" w:type="dxa"/>
              <w:right w:w="108" w:type="dxa"/>
            </w:tcMar>
            <w:vAlign w:val="center"/>
            <w:hideMark/>
          </w:tcPr>
          <w:p w14:paraId="3F9CF7AC" w14:textId="6CCE303D" w:rsidR="00DD329A" w:rsidRPr="00DD329A" w:rsidRDefault="00DD329A" w:rsidP="00421989">
            <w:pPr>
              <w:pStyle w:val="NormalWeb"/>
              <w:jc w:val="center"/>
              <w:rPr>
                <w:rFonts w:ascii="Arial" w:hAnsi="Arial" w:cs="Arial"/>
                <w:color w:val="000000"/>
                <w:sz w:val="20"/>
                <w:szCs w:val="20"/>
              </w:rPr>
            </w:pPr>
            <w:r w:rsidRPr="00DD329A">
              <w:rPr>
                <w:b/>
                <w:bCs/>
                <w:color w:val="000000"/>
                <w:sz w:val="20"/>
                <w:szCs w:val="20"/>
              </w:rPr>
              <w:t>Proposed Modification</w:t>
            </w:r>
          </w:p>
        </w:tc>
      </w:tr>
      <w:tr w:rsidR="00DD329A" w:rsidRPr="00DD329A" w14:paraId="73D2ABA6" w14:textId="77777777" w:rsidTr="00DD329A">
        <w:trPr>
          <w:trHeight w:val="424"/>
          <w:jc w:val="center"/>
        </w:trPr>
        <w:tc>
          <w:tcPr>
            <w:tcW w:w="1836" w:type="dxa"/>
            <w:tcMar>
              <w:top w:w="0" w:type="dxa"/>
              <w:left w:w="108" w:type="dxa"/>
              <w:bottom w:w="0" w:type="dxa"/>
              <w:right w:w="108" w:type="dxa"/>
            </w:tcMar>
            <w:vAlign w:val="center"/>
            <w:hideMark/>
          </w:tcPr>
          <w:p w14:paraId="5238C170"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 xml:space="preserve">EN-DC + FR1 + </w:t>
            </w:r>
            <w:proofErr w:type="spellStart"/>
            <w:r w:rsidRPr="00DD329A">
              <w:rPr>
                <w:color w:val="000000"/>
                <w:sz w:val="20"/>
                <w:szCs w:val="20"/>
              </w:rPr>
              <w:t>PSCell</w:t>
            </w:r>
            <w:proofErr w:type="spellEnd"/>
          </w:p>
        </w:tc>
        <w:tc>
          <w:tcPr>
            <w:tcW w:w="2068" w:type="dxa"/>
            <w:tcMar>
              <w:top w:w="0" w:type="dxa"/>
              <w:left w:w="108" w:type="dxa"/>
              <w:bottom w:w="0" w:type="dxa"/>
              <w:right w:w="108" w:type="dxa"/>
            </w:tcMar>
            <w:vAlign w:val="center"/>
            <w:hideMark/>
          </w:tcPr>
          <w:p w14:paraId="6661BFAD"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 xml:space="preserve">SSB based + </w:t>
            </w:r>
            <w:proofErr w:type="gramStart"/>
            <w:r w:rsidRPr="00DD329A">
              <w:rPr>
                <w:color w:val="000000"/>
                <w:sz w:val="20"/>
                <w:szCs w:val="20"/>
              </w:rPr>
              <w:t>Non-DRX</w:t>
            </w:r>
            <w:proofErr w:type="gramEnd"/>
          </w:p>
        </w:tc>
        <w:tc>
          <w:tcPr>
            <w:tcW w:w="1577" w:type="dxa"/>
            <w:tcMar>
              <w:top w:w="0" w:type="dxa"/>
              <w:left w:w="108" w:type="dxa"/>
              <w:bottom w:w="0" w:type="dxa"/>
              <w:right w:w="108" w:type="dxa"/>
            </w:tcMar>
            <w:vAlign w:val="center"/>
            <w:hideMark/>
          </w:tcPr>
          <w:p w14:paraId="4F032F75"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A.4.5.5.7</w:t>
            </w:r>
          </w:p>
        </w:tc>
        <w:tc>
          <w:tcPr>
            <w:tcW w:w="1426" w:type="dxa"/>
            <w:vAlign w:val="center"/>
          </w:tcPr>
          <w:p w14:paraId="48406CA7" w14:textId="77777777" w:rsidR="00DD329A" w:rsidRPr="00DD329A" w:rsidRDefault="00DD329A" w:rsidP="00421989">
            <w:pPr>
              <w:pStyle w:val="NormalWeb"/>
              <w:jc w:val="center"/>
              <w:rPr>
                <w:i/>
                <w:iCs/>
                <w:color w:val="000000"/>
                <w:sz w:val="20"/>
                <w:szCs w:val="20"/>
              </w:rPr>
            </w:pPr>
            <w:r w:rsidRPr="00DD329A">
              <w:rPr>
                <w:i/>
                <w:iCs/>
                <w:color w:val="000000"/>
                <w:sz w:val="20"/>
                <w:szCs w:val="20"/>
              </w:rPr>
              <w:t>Not specified</w:t>
            </w:r>
          </w:p>
        </w:tc>
        <w:tc>
          <w:tcPr>
            <w:tcW w:w="1426" w:type="dxa"/>
            <w:tcMar>
              <w:top w:w="0" w:type="dxa"/>
              <w:left w:w="108" w:type="dxa"/>
              <w:bottom w:w="0" w:type="dxa"/>
              <w:right w:w="108" w:type="dxa"/>
            </w:tcMar>
            <w:vAlign w:val="center"/>
            <w:hideMark/>
          </w:tcPr>
          <w:p w14:paraId="6A9511A4" w14:textId="2FB7F45F" w:rsidR="00DD329A" w:rsidRPr="00DD329A" w:rsidRDefault="00DD329A" w:rsidP="00421989">
            <w:pPr>
              <w:pStyle w:val="NormalWeb"/>
              <w:jc w:val="center"/>
              <w:rPr>
                <w:rFonts w:ascii="Arial" w:hAnsi="Arial" w:cs="Arial"/>
                <w:i/>
                <w:iCs/>
                <w:color w:val="000000"/>
                <w:sz w:val="20"/>
                <w:szCs w:val="20"/>
              </w:rPr>
            </w:pPr>
            <w:r w:rsidRPr="00DD329A">
              <w:rPr>
                <w:i/>
                <w:iCs/>
                <w:color w:val="000000"/>
                <w:sz w:val="20"/>
                <w:szCs w:val="20"/>
              </w:rPr>
              <w:t>Configure dedicated BFR resource</w:t>
            </w:r>
          </w:p>
        </w:tc>
      </w:tr>
      <w:tr w:rsidR="00DD329A" w:rsidRPr="00DD329A" w14:paraId="361E4C04" w14:textId="77777777" w:rsidTr="00DD329A">
        <w:trPr>
          <w:trHeight w:val="424"/>
          <w:jc w:val="center"/>
        </w:trPr>
        <w:tc>
          <w:tcPr>
            <w:tcW w:w="1836" w:type="dxa"/>
            <w:tcMar>
              <w:top w:w="0" w:type="dxa"/>
              <w:left w:w="108" w:type="dxa"/>
              <w:bottom w:w="0" w:type="dxa"/>
              <w:right w:w="108" w:type="dxa"/>
            </w:tcMar>
            <w:vAlign w:val="center"/>
            <w:hideMark/>
          </w:tcPr>
          <w:p w14:paraId="62AEE666"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 xml:space="preserve">EN-DC + FR2 + </w:t>
            </w:r>
            <w:proofErr w:type="spellStart"/>
            <w:r w:rsidRPr="00DD329A">
              <w:rPr>
                <w:color w:val="000000"/>
                <w:sz w:val="20"/>
                <w:szCs w:val="20"/>
              </w:rPr>
              <w:t>PSCell</w:t>
            </w:r>
            <w:proofErr w:type="spellEnd"/>
          </w:p>
        </w:tc>
        <w:tc>
          <w:tcPr>
            <w:tcW w:w="2068" w:type="dxa"/>
            <w:tcMar>
              <w:top w:w="0" w:type="dxa"/>
              <w:left w:w="108" w:type="dxa"/>
              <w:bottom w:w="0" w:type="dxa"/>
              <w:right w:w="108" w:type="dxa"/>
            </w:tcMar>
            <w:vAlign w:val="center"/>
            <w:hideMark/>
          </w:tcPr>
          <w:p w14:paraId="6AC9CBCA"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CSI-RS based + DRX</w:t>
            </w:r>
          </w:p>
        </w:tc>
        <w:tc>
          <w:tcPr>
            <w:tcW w:w="1577" w:type="dxa"/>
            <w:tcMar>
              <w:top w:w="0" w:type="dxa"/>
              <w:left w:w="108" w:type="dxa"/>
              <w:bottom w:w="0" w:type="dxa"/>
              <w:right w:w="108" w:type="dxa"/>
            </w:tcMar>
            <w:vAlign w:val="center"/>
            <w:hideMark/>
          </w:tcPr>
          <w:p w14:paraId="5A9C046F" w14:textId="21794A00"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A.5.5.5.8</w:t>
            </w:r>
          </w:p>
        </w:tc>
        <w:tc>
          <w:tcPr>
            <w:tcW w:w="1426" w:type="dxa"/>
            <w:vAlign w:val="center"/>
          </w:tcPr>
          <w:p w14:paraId="2E630080" w14:textId="77777777" w:rsidR="00DD329A" w:rsidRPr="00DD329A" w:rsidRDefault="00DD329A" w:rsidP="00421989">
            <w:pPr>
              <w:pStyle w:val="NormalWeb"/>
              <w:jc w:val="center"/>
              <w:rPr>
                <w:i/>
                <w:iCs/>
                <w:color w:val="000000"/>
                <w:sz w:val="20"/>
                <w:szCs w:val="20"/>
              </w:rPr>
            </w:pPr>
            <w:r w:rsidRPr="00DD329A">
              <w:rPr>
                <w:i/>
                <w:iCs/>
                <w:color w:val="000000"/>
                <w:sz w:val="20"/>
                <w:szCs w:val="20"/>
              </w:rPr>
              <w:t>Not specified</w:t>
            </w:r>
          </w:p>
        </w:tc>
        <w:tc>
          <w:tcPr>
            <w:tcW w:w="1426" w:type="dxa"/>
            <w:tcMar>
              <w:top w:w="0" w:type="dxa"/>
              <w:left w:w="108" w:type="dxa"/>
              <w:bottom w:w="0" w:type="dxa"/>
              <w:right w:w="108" w:type="dxa"/>
            </w:tcMar>
            <w:vAlign w:val="center"/>
            <w:hideMark/>
          </w:tcPr>
          <w:p w14:paraId="2716F0BD" w14:textId="77777777" w:rsidR="00DD329A" w:rsidRPr="00DD329A" w:rsidRDefault="00DD329A" w:rsidP="00421989">
            <w:pPr>
              <w:pStyle w:val="NormalWeb"/>
              <w:jc w:val="center"/>
              <w:rPr>
                <w:rFonts w:ascii="Arial" w:hAnsi="Arial" w:cs="Arial"/>
                <w:i/>
                <w:iCs/>
                <w:color w:val="000000"/>
                <w:sz w:val="20"/>
                <w:szCs w:val="20"/>
              </w:rPr>
            </w:pPr>
            <w:r w:rsidRPr="00DD329A">
              <w:rPr>
                <w:i/>
                <w:iCs/>
                <w:color w:val="000000"/>
                <w:sz w:val="20"/>
                <w:szCs w:val="20"/>
              </w:rPr>
              <w:t>Configure dedicated BFR resource</w:t>
            </w:r>
          </w:p>
        </w:tc>
      </w:tr>
      <w:tr w:rsidR="00DD329A" w:rsidRPr="00DD329A" w14:paraId="4DD97567" w14:textId="77777777" w:rsidTr="00DD329A">
        <w:trPr>
          <w:trHeight w:val="424"/>
          <w:jc w:val="center"/>
        </w:trPr>
        <w:tc>
          <w:tcPr>
            <w:tcW w:w="1836" w:type="dxa"/>
            <w:tcMar>
              <w:top w:w="0" w:type="dxa"/>
              <w:left w:w="108" w:type="dxa"/>
              <w:bottom w:w="0" w:type="dxa"/>
              <w:right w:w="108" w:type="dxa"/>
            </w:tcMar>
            <w:vAlign w:val="center"/>
            <w:hideMark/>
          </w:tcPr>
          <w:p w14:paraId="04F41D7F"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 xml:space="preserve">EN-DC + FR1 + </w:t>
            </w:r>
            <w:proofErr w:type="spellStart"/>
            <w:r w:rsidRPr="00DD329A">
              <w:rPr>
                <w:color w:val="000000"/>
                <w:sz w:val="20"/>
                <w:szCs w:val="20"/>
              </w:rPr>
              <w:t>SCell</w:t>
            </w:r>
            <w:proofErr w:type="spellEnd"/>
          </w:p>
        </w:tc>
        <w:tc>
          <w:tcPr>
            <w:tcW w:w="2068" w:type="dxa"/>
            <w:tcMar>
              <w:top w:w="0" w:type="dxa"/>
              <w:left w:w="108" w:type="dxa"/>
              <w:bottom w:w="0" w:type="dxa"/>
              <w:right w:w="108" w:type="dxa"/>
            </w:tcMar>
            <w:vAlign w:val="center"/>
            <w:hideMark/>
          </w:tcPr>
          <w:p w14:paraId="241C3E05"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 xml:space="preserve">CSI-RS-based BFD and SSB-based LR + </w:t>
            </w:r>
            <w:proofErr w:type="gramStart"/>
            <w:r w:rsidRPr="00DD329A">
              <w:rPr>
                <w:color w:val="000000"/>
                <w:sz w:val="20"/>
                <w:szCs w:val="20"/>
              </w:rPr>
              <w:t>Non-DRX</w:t>
            </w:r>
            <w:proofErr w:type="gramEnd"/>
          </w:p>
        </w:tc>
        <w:tc>
          <w:tcPr>
            <w:tcW w:w="1577" w:type="dxa"/>
            <w:tcMar>
              <w:top w:w="0" w:type="dxa"/>
              <w:left w:w="108" w:type="dxa"/>
              <w:bottom w:w="0" w:type="dxa"/>
              <w:right w:w="108" w:type="dxa"/>
            </w:tcMar>
            <w:vAlign w:val="center"/>
            <w:hideMark/>
          </w:tcPr>
          <w:p w14:paraId="6A841816" w14:textId="4518944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A.4.5.5.8</w:t>
            </w:r>
          </w:p>
        </w:tc>
        <w:tc>
          <w:tcPr>
            <w:tcW w:w="1426" w:type="dxa"/>
            <w:vAlign w:val="center"/>
          </w:tcPr>
          <w:p w14:paraId="689CEEC3" w14:textId="77777777" w:rsidR="00DD329A" w:rsidRPr="00DD329A" w:rsidRDefault="00DD329A" w:rsidP="00421989">
            <w:pPr>
              <w:pStyle w:val="NormalWeb"/>
              <w:jc w:val="center"/>
              <w:rPr>
                <w:i/>
                <w:iCs/>
                <w:color w:val="000000"/>
                <w:sz w:val="20"/>
                <w:szCs w:val="20"/>
              </w:rPr>
            </w:pPr>
            <w:r w:rsidRPr="00DD329A">
              <w:rPr>
                <w:i/>
                <w:iCs/>
                <w:color w:val="000000"/>
                <w:sz w:val="20"/>
                <w:szCs w:val="20"/>
              </w:rPr>
              <w:t>Specified as not configured</w:t>
            </w:r>
          </w:p>
        </w:tc>
        <w:tc>
          <w:tcPr>
            <w:tcW w:w="1426" w:type="dxa"/>
            <w:tcMar>
              <w:top w:w="0" w:type="dxa"/>
              <w:left w:w="108" w:type="dxa"/>
              <w:bottom w:w="0" w:type="dxa"/>
              <w:right w:w="108" w:type="dxa"/>
            </w:tcMar>
            <w:vAlign w:val="center"/>
            <w:hideMark/>
          </w:tcPr>
          <w:p w14:paraId="6780A8D2" w14:textId="77777777" w:rsidR="00DD329A" w:rsidRPr="00DD329A" w:rsidRDefault="00DD329A" w:rsidP="00421989">
            <w:pPr>
              <w:pStyle w:val="NormalWeb"/>
              <w:jc w:val="center"/>
              <w:rPr>
                <w:rFonts w:ascii="Arial" w:hAnsi="Arial" w:cs="Arial"/>
                <w:i/>
                <w:iCs/>
                <w:color w:val="000000"/>
                <w:sz w:val="20"/>
                <w:szCs w:val="20"/>
              </w:rPr>
            </w:pPr>
            <w:r w:rsidRPr="00DD329A">
              <w:rPr>
                <w:i/>
                <w:iCs/>
                <w:color w:val="000000"/>
                <w:sz w:val="20"/>
                <w:szCs w:val="20"/>
              </w:rPr>
              <w:t>Test parameters are incorrect</w:t>
            </w:r>
          </w:p>
        </w:tc>
      </w:tr>
      <w:tr w:rsidR="00DD329A" w:rsidRPr="00DD329A" w14:paraId="1CE4DD85" w14:textId="77777777" w:rsidTr="00DD329A">
        <w:trPr>
          <w:trHeight w:val="424"/>
          <w:jc w:val="center"/>
        </w:trPr>
        <w:tc>
          <w:tcPr>
            <w:tcW w:w="1836" w:type="dxa"/>
            <w:tcMar>
              <w:top w:w="0" w:type="dxa"/>
              <w:left w:w="108" w:type="dxa"/>
              <w:bottom w:w="0" w:type="dxa"/>
              <w:right w:w="108" w:type="dxa"/>
            </w:tcMar>
            <w:vAlign w:val="center"/>
            <w:hideMark/>
          </w:tcPr>
          <w:p w14:paraId="2F8AD00E"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 xml:space="preserve">NR SA + FR1 + </w:t>
            </w:r>
            <w:proofErr w:type="spellStart"/>
            <w:r w:rsidRPr="00DD329A">
              <w:rPr>
                <w:color w:val="000000"/>
                <w:sz w:val="20"/>
                <w:szCs w:val="20"/>
              </w:rPr>
              <w:t>PCell</w:t>
            </w:r>
            <w:proofErr w:type="spellEnd"/>
          </w:p>
        </w:tc>
        <w:tc>
          <w:tcPr>
            <w:tcW w:w="2068" w:type="dxa"/>
            <w:tcMar>
              <w:top w:w="0" w:type="dxa"/>
              <w:left w:w="108" w:type="dxa"/>
              <w:bottom w:w="0" w:type="dxa"/>
              <w:right w:w="108" w:type="dxa"/>
            </w:tcMar>
            <w:vAlign w:val="center"/>
            <w:hideMark/>
          </w:tcPr>
          <w:p w14:paraId="7B5C64F3"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CSI-RS based + DRX</w:t>
            </w:r>
          </w:p>
        </w:tc>
        <w:tc>
          <w:tcPr>
            <w:tcW w:w="1577" w:type="dxa"/>
            <w:tcMar>
              <w:top w:w="0" w:type="dxa"/>
              <w:left w:w="108" w:type="dxa"/>
              <w:bottom w:w="0" w:type="dxa"/>
              <w:right w:w="108" w:type="dxa"/>
            </w:tcMar>
            <w:vAlign w:val="center"/>
            <w:hideMark/>
          </w:tcPr>
          <w:p w14:paraId="2299C381" w14:textId="13FE651A"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A.6.5.5.7</w:t>
            </w:r>
          </w:p>
        </w:tc>
        <w:tc>
          <w:tcPr>
            <w:tcW w:w="1426" w:type="dxa"/>
            <w:vAlign w:val="center"/>
          </w:tcPr>
          <w:p w14:paraId="7FEDDDD6" w14:textId="77777777" w:rsidR="00DD329A" w:rsidRPr="00DD329A" w:rsidRDefault="00DD329A" w:rsidP="00421989">
            <w:pPr>
              <w:pStyle w:val="NormalWeb"/>
              <w:jc w:val="center"/>
              <w:rPr>
                <w:i/>
                <w:iCs/>
                <w:color w:val="000000"/>
                <w:sz w:val="20"/>
                <w:szCs w:val="20"/>
              </w:rPr>
            </w:pPr>
            <w:r w:rsidRPr="00DD329A">
              <w:rPr>
                <w:i/>
                <w:iCs/>
                <w:color w:val="000000"/>
                <w:sz w:val="20"/>
                <w:szCs w:val="20"/>
              </w:rPr>
              <w:t>Not specified</w:t>
            </w:r>
          </w:p>
        </w:tc>
        <w:tc>
          <w:tcPr>
            <w:tcW w:w="1426" w:type="dxa"/>
            <w:tcMar>
              <w:top w:w="0" w:type="dxa"/>
              <w:left w:w="108" w:type="dxa"/>
              <w:bottom w:w="0" w:type="dxa"/>
              <w:right w:w="108" w:type="dxa"/>
            </w:tcMar>
            <w:vAlign w:val="center"/>
            <w:hideMark/>
          </w:tcPr>
          <w:p w14:paraId="636460DD" w14:textId="77777777" w:rsidR="00DD329A" w:rsidRPr="00DD329A" w:rsidRDefault="00DD329A" w:rsidP="00421989">
            <w:pPr>
              <w:pStyle w:val="NormalWeb"/>
              <w:jc w:val="center"/>
              <w:rPr>
                <w:rFonts w:ascii="Arial" w:hAnsi="Arial" w:cs="Arial"/>
                <w:i/>
                <w:iCs/>
                <w:color w:val="000000"/>
                <w:sz w:val="20"/>
                <w:szCs w:val="20"/>
              </w:rPr>
            </w:pPr>
            <w:r w:rsidRPr="00DD329A">
              <w:rPr>
                <w:i/>
                <w:iCs/>
                <w:color w:val="000000"/>
                <w:sz w:val="20"/>
                <w:szCs w:val="20"/>
              </w:rPr>
              <w:t>Configure dedicated BFR resource</w:t>
            </w:r>
          </w:p>
        </w:tc>
      </w:tr>
      <w:tr w:rsidR="00DD329A" w:rsidRPr="00DD329A" w14:paraId="0D9251FF" w14:textId="77777777" w:rsidTr="00DD329A">
        <w:trPr>
          <w:trHeight w:val="424"/>
          <w:jc w:val="center"/>
        </w:trPr>
        <w:tc>
          <w:tcPr>
            <w:tcW w:w="1836" w:type="dxa"/>
            <w:tcMar>
              <w:top w:w="0" w:type="dxa"/>
              <w:left w:w="108" w:type="dxa"/>
              <w:bottom w:w="0" w:type="dxa"/>
              <w:right w:w="108" w:type="dxa"/>
            </w:tcMar>
            <w:vAlign w:val="center"/>
            <w:hideMark/>
          </w:tcPr>
          <w:p w14:paraId="3F5502D3"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 xml:space="preserve">NR SA + FR2 + </w:t>
            </w:r>
            <w:proofErr w:type="spellStart"/>
            <w:r w:rsidRPr="00DD329A">
              <w:rPr>
                <w:color w:val="000000"/>
                <w:sz w:val="20"/>
                <w:szCs w:val="20"/>
              </w:rPr>
              <w:t>PCell</w:t>
            </w:r>
            <w:proofErr w:type="spellEnd"/>
          </w:p>
        </w:tc>
        <w:tc>
          <w:tcPr>
            <w:tcW w:w="2068" w:type="dxa"/>
            <w:tcMar>
              <w:top w:w="0" w:type="dxa"/>
              <w:left w:w="108" w:type="dxa"/>
              <w:bottom w:w="0" w:type="dxa"/>
              <w:right w:w="108" w:type="dxa"/>
            </w:tcMar>
            <w:vAlign w:val="center"/>
            <w:hideMark/>
          </w:tcPr>
          <w:p w14:paraId="3B5A3364"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 xml:space="preserve">SSB based + </w:t>
            </w:r>
            <w:proofErr w:type="gramStart"/>
            <w:r w:rsidRPr="00DD329A">
              <w:rPr>
                <w:color w:val="000000"/>
                <w:sz w:val="20"/>
                <w:szCs w:val="20"/>
              </w:rPr>
              <w:t>Non-DRX</w:t>
            </w:r>
            <w:proofErr w:type="gramEnd"/>
          </w:p>
        </w:tc>
        <w:tc>
          <w:tcPr>
            <w:tcW w:w="1577" w:type="dxa"/>
            <w:tcMar>
              <w:top w:w="0" w:type="dxa"/>
              <w:left w:w="108" w:type="dxa"/>
              <w:bottom w:w="0" w:type="dxa"/>
              <w:right w:w="108" w:type="dxa"/>
            </w:tcMar>
            <w:vAlign w:val="center"/>
            <w:hideMark/>
          </w:tcPr>
          <w:p w14:paraId="0E725BE6" w14:textId="7334C404"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A.7.5.5.10</w:t>
            </w:r>
          </w:p>
        </w:tc>
        <w:tc>
          <w:tcPr>
            <w:tcW w:w="1426" w:type="dxa"/>
            <w:vAlign w:val="center"/>
          </w:tcPr>
          <w:p w14:paraId="543C2E7E" w14:textId="77777777" w:rsidR="00DD329A" w:rsidRPr="00DD329A" w:rsidRDefault="00DD329A" w:rsidP="00421989">
            <w:pPr>
              <w:pStyle w:val="NormalWeb"/>
              <w:jc w:val="center"/>
              <w:rPr>
                <w:i/>
                <w:iCs/>
                <w:color w:val="000000"/>
                <w:sz w:val="20"/>
                <w:szCs w:val="20"/>
              </w:rPr>
            </w:pPr>
            <w:r w:rsidRPr="00DD329A">
              <w:rPr>
                <w:i/>
                <w:iCs/>
                <w:color w:val="000000"/>
                <w:sz w:val="20"/>
                <w:szCs w:val="20"/>
              </w:rPr>
              <w:t>Not specified</w:t>
            </w:r>
          </w:p>
        </w:tc>
        <w:tc>
          <w:tcPr>
            <w:tcW w:w="1426" w:type="dxa"/>
            <w:tcMar>
              <w:top w:w="0" w:type="dxa"/>
              <w:left w:w="108" w:type="dxa"/>
              <w:bottom w:w="0" w:type="dxa"/>
              <w:right w:w="108" w:type="dxa"/>
            </w:tcMar>
            <w:vAlign w:val="center"/>
            <w:hideMark/>
          </w:tcPr>
          <w:p w14:paraId="23D06A7F" w14:textId="77777777" w:rsidR="00DD329A" w:rsidRPr="00DD329A" w:rsidRDefault="00DD329A" w:rsidP="00421989">
            <w:pPr>
              <w:pStyle w:val="NormalWeb"/>
              <w:jc w:val="center"/>
              <w:rPr>
                <w:rFonts w:ascii="Arial" w:hAnsi="Arial" w:cs="Arial"/>
                <w:i/>
                <w:iCs/>
                <w:color w:val="000000"/>
                <w:sz w:val="20"/>
                <w:szCs w:val="20"/>
              </w:rPr>
            </w:pPr>
            <w:r w:rsidRPr="00DD329A">
              <w:rPr>
                <w:i/>
                <w:iCs/>
                <w:color w:val="000000"/>
                <w:sz w:val="20"/>
                <w:szCs w:val="20"/>
              </w:rPr>
              <w:t>Configure dedicated BFR resource</w:t>
            </w:r>
          </w:p>
        </w:tc>
      </w:tr>
      <w:tr w:rsidR="00DD329A" w:rsidRPr="00DD329A" w14:paraId="2F9B351E" w14:textId="77777777" w:rsidTr="00DD329A">
        <w:trPr>
          <w:trHeight w:val="424"/>
          <w:jc w:val="center"/>
        </w:trPr>
        <w:tc>
          <w:tcPr>
            <w:tcW w:w="1836" w:type="dxa"/>
            <w:tcMar>
              <w:top w:w="0" w:type="dxa"/>
              <w:left w:w="108" w:type="dxa"/>
              <w:bottom w:w="0" w:type="dxa"/>
              <w:right w:w="108" w:type="dxa"/>
            </w:tcMar>
            <w:vAlign w:val="center"/>
            <w:hideMark/>
          </w:tcPr>
          <w:p w14:paraId="7FA74ED1"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 xml:space="preserve">NR SA + FR2 + </w:t>
            </w:r>
            <w:proofErr w:type="spellStart"/>
            <w:r w:rsidRPr="00DD329A">
              <w:rPr>
                <w:color w:val="000000"/>
                <w:sz w:val="20"/>
                <w:szCs w:val="20"/>
              </w:rPr>
              <w:t>SCell</w:t>
            </w:r>
            <w:proofErr w:type="spellEnd"/>
          </w:p>
        </w:tc>
        <w:tc>
          <w:tcPr>
            <w:tcW w:w="2068" w:type="dxa"/>
            <w:tcMar>
              <w:top w:w="0" w:type="dxa"/>
              <w:left w:w="108" w:type="dxa"/>
              <w:bottom w:w="0" w:type="dxa"/>
              <w:right w:w="108" w:type="dxa"/>
            </w:tcMar>
            <w:vAlign w:val="center"/>
            <w:hideMark/>
          </w:tcPr>
          <w:p w14:paraId="50879B3D"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CSI-RS based + DRX</w:t>
            </w:r>
          </w:p>
        </w:tc>
        <w:tc>
          <w:tcPr>
            <w:tcW w:w="1577" w:type="dxa"/>
            <w:tcMar>
              <w:top w:w="0" w:type="dxa"/>
              <w:left w:w="108" w:type="dxa"/>
              <w:bottom w:w="0" w:type="dxa"/>
              <w:right w:w="108" w:type="dxa"/>
            </w:tcMar>
            <w:vAlign w:val="center"/>
            <w:hideMark/>
          </w:tcPr>
          <w:p w14:paraId="7D5B61FA" w14:textId="77777777" w:rsidR="00DD329A" w:rsidRPr="00DD329A" w:rsidRDefault="00DD329A" w:rsidP="00421989">
            <w:pPr>
              <w:pStyle w:val="NormalWeb"/>
              <w:jc w:val="center"/>
              <w:rPr>
                <w:rFonts w:ascii="Arial" w:hAnsi="Arial" w:cs="Arial"/>
                <w:color w:val="000000"/>
                <w:sz w:val="20"/>
                <w:szCs w:val="20"/>
              </w:rPr>
            </w:pPr>
            <w:r w:rsidRPr="00DD329A">
              <w:rPr>
                <w:color w:val="000000"/>
                <w:sz w:val="20"/>
                <w:szCs w:val="20"/>
              </w:rPr>
              <w:t>A.7.5.5.9</w:t>
            </w:r>
          </w:p>
        </w:tc>
        <w:tc>
          <w:tcPr>
            <w:tcW w:w="1426" w:type="dxa"/>
            <w:vAlign w:val="center"/>
          </w:tcPr>
          <w:p w14:paraId="35CAA676" w14:textId="77777777" w:rsidR="00DD329A" w:rsidRPr="00DD329A" w:rsidRDefault="00DD329A" w:rsidP="00421989">
            <w:pPr>
              <w:pStyle w:val="NormalWeb"/>
              <w:jc w:val="center"/>
              <w:rPr>
                <w:i/>
                <w:iCs/>
                <w:color w:val="000000"/>
                <w:sz w:val="20"/>
                <w:szCs w:val="20"/>
              </w:rPr>
            </w:pPr>
            <w:r w:rsidRPr="00DD329A">
              <w:rPr>
                <w:i/>
                <w:iCs/>
                <w:color w:val="000000"/>
                <w:sz w:val="20"/>
                <w:szCs w:val="20"/>
              </w:rPr>
              <w:t>Specified as configured</w:t>
            </w:r>
          </w:p>
        </w:tc>
        <w:tc>
          <w:tcPr>
            <w:tcW w:w="1426" w:type="dxa"/>
            <w:tcMar>
              <w:top w:w="0" w:type="dxa"/>
              <w:left w:w="108" w:type="dxa"/>
              <w:bottom w:w="0" w:type="dxa"/>
              <w:right w:w="108" w:type="dxa"/>
            </w:tcMar>
            <w:vAlign w:val="center"/>
            <w:hideMark/>
          </w:tcPr>
          <w:p w14:paraId="3A60D369" w14:textId="77777777" w:rsidR="00DD329A" w:rsidRPr="00DD329A" w:rsidRDefault="00DD329A" w:rsidP="00421989">
            <w:pPr>
              <w:pStyle w:val="NormalWeb"/>
              <w:jc w:val="center"/>
              <w:rPr>
                <w:rFonts w:ascii="Arial" w:hAnsi="Arial" w:cs="Arial"/>
                <w:i/>
                <w:iCs/>
                <w:color w:val="000000"/>
                <w:sz w:val="20"/>
                <w:szCs w:val="20"/>
              </w:rPr>
            </w:pPr>
            <w:r w:rsidRPr="00DD329A">
              <w:rPr>
                <w:i/>
                <w:iCs/>
                <w:color w:val="000000"/>
                <w:sz w:val="20"/>
                <w:szCs w:val="20"/>
              </w:rPr>
              <w:t>None</w:t>
            </w:r>
          </w:p>
        </w:tc>
      </w:tr>
    </w:tbl>
    <w:p w14:paraId="44C57622" w14:textId="3D1D73FE" w:rsidR="00421989" w:rsidRDefault="00421989" w:rsidP="001F0FFE">
      <w:pPr>
        <w:spacing w:after="240"/>
        <w:rPr>
          <w:sz w:val="20"/>
          <w:szCs w:val="20"/>
        </w:rPr>
      </w:pPr>
    </w:p>
    <w:p w14:paraId="2DF7BD67" w14:textId="6E18471C" w:rsidR="00DD329A" w:rsidRPr="00DD329A" w:rsidRDefault="00DD329A" w:rsidP="001F0FFE">
      <w:pPr>
        <w:spacing w:after="240"/>
        <w:rPr>
          <w:b/>
          <w:bCs/>
          <w:sz w:val="20"/>
          <w:szCs w:val="20"/>
        </w:rPr>
      </w:pPr>
      <w:r>
        <w:rPr>
          <w:b/>
          <w:bCs/>
          <w:sz w:val="20"/>
          <w:szCs w:val="20"/>
        </w:rPr>
        <w:t xml:space="preserve">Proposal #6: Configure dedicated BFR resource for TRP specific BFR test cases with </w:t>
      </w:r>
      <w:proofErr w:type="spellStart"/>
      <w:r>
        <w:rPr>
          <w:b/>
          <w:bCs/>
          <w:sz w:val="20"/>
          <w:szCs w:val="20"/>
        </w:rPr>
        <w:t>PCell</w:t>
      </w:r>
      <w:proofErr w:type="spellEnd"/>
      <w:r>
        <w:rPr>
          <w:b/>
          <w:bCs/>
          <w:sz w:val="20"/>
          <w:szCs w:val="20"/>
        </w:rPr>
        <w:t xml:space="preserve"> and </w:t>
      </w:r>
      <w:proofErr w:type="spellStart"/>
      <w:r>
        <w:rPr>
          <w:b/>
          <w:bCs/>
          <w:sz w:val="20"/>
          <w:szCs w:val="20"/>
        </w:rPr>
        <w:t>PSCell</w:t>
      </w:r>
      <w:proofErr w:type="spellEnd"/>
      <w:r>
        <w:rPr>
          <w:b/>
          <w:bCs/>
          <w:sz w:val="20"/>
          <w:szCs w:val="20"/>
        </w:rPr>
        <w:t xml:space="preserve">. </w:t>
      </w:r>
    </w:p>
    <w:p w14:paraId="651B7859" w14:textId="77777777" w:rsidR="00421989" w:rsidRPr="00421989" w:rsidRDefault="00421989" w:rsidP="001F0FFE">
      <w:pPr>
        <w:spacing w:after="240"/>
        <w:rPr>
          <w:sz w:val="20"/>
          <w:szCs w:val="20"/>
        </w:rPr>
      </w:pPr>
    </w:p>
    <w:p w14:paraId="25CBCEE5" w14:textId="77777777" w:rsidR="008F099C" w:rsidRPr="008F099C" w:rsidRDefault="008F099C" w:rsidP="008F099C">
      <w:pPr>
        <w:keepNext/>
        <w:keepLines/>
        <w:pBdr>
          <w:top w:val="single" w:sz="12" w:space="3" w:color="auto"/>
        </w:pBdr>
        <w:spacing w:before="240" w:after="180"/>
        <w:ind w:left="1134" w:hanging="1134"/>
        <w:outlineLvl w:val="0"/>
        <w:rPr>
          <w:rFonts w:ascii="Arial" w:hAnsi="Arial"/>
          <w:sz w:val="36"/>
          <w:szCs w:val="20"/>
        </w:rPr>
      </w:pPr>
      <w:r w:rsidRPr="008F099C">
        <w:rPr>
          <w:rFonts w:ascii="Arial" w:hAnsi="Arial"/>
          <w:sz w:val="36"/>
          <w:szCs w:val="20"/>
        </w:rPr>
        <w:lastRenderedPageBreak/>
        <w:t>3. Conclusion</w:t>
      </w:r>
    </w:p>
    <w:p w14:paraId="16CCDDBE" w14:textId="655F1C7C" w:rsidR="008F099C" w:rsidRPr="008F099C" w:rsidRDefault="008F099C" w:rsidP="008F099C">
      <w:pPr>
        <w:spacing w:after="120"/>
        <w:rPr>
          <w:sz w:val="20"/>
          <w:szCs w:val="20"/>
        </w:rPr>
      </w:pPr>
      <w:r w:rsidRPr="008F099C">
        <w:rPr>
          <w:sz w:val="20"/>
          <w:szCs w:val="20"/>
        </w:rPr>
        <w:t xml:space="preserve">In this paper, we provide </w:t>
      </w:r>
      <w:r w:rsidR="00FD0B0B" w:rsidRPr="008F099C">
        <w:rPr>
          <w:sz w:val="20"/>
          <w:szCs w:val="20"/>
        </w:rPr>
        <w:t>our views on open issues on</w:t>
      </w:r>
      <w:r w:rsidR="00FD0B0B">
        <w:rPr>
          <w:sz w:val="20"/>
          <w:szCs w:val="20"/>
        </w:rPr>
        <w:t xml:space="preserve"> performance</w:t>
      </w:r>
      <w:r w:rsidR="00FD0B0B" w:rsidRPr="008F099C">
        <w:rPr>
          <w:sz w:val="20"/>
          <w:szCs w:val="20"/>
        </w:rPr>
        <w:t xml:space="preserve"> requirements </w:t>
      </w:r>
      <w:proofErr w:type="spellStart"/>
      <w:r w:rsidR="00FD0B0B">
        <w:rPr>
          <w:sz w:val="20"/>
          <w:szCs w:val="20"/>
        </w:rPr>
        <w:t>FeMIMO</w:t>
      </w:r>
      <w:proofErr w:type="spellEnd"/>
      <w:r w:rsidRPr="008F099C">
        <w:rPr>
          <w:sz w:val="20"/>
          <w:szCs w:val="20"/>
        </w:rPr>
        <w:t>. Our observations and proposals are captured below:</w:t>
      </w:r>
    </w:p>
    <w:p w14:paraId="5636A9C8" w14:textId="19575871" w:rsidR="008F099C" w:rsidRPr="00FA34CF" w:rsidRDefault="00C075C9">
      <w:pPr>
        <w:rPr>
          <w:u w:val="single"/>
        </w:rPr>
      </w:pPr>
      <w:r w:rsidRPr="00FA34CF">
        <w:rPr>
          <w:u w:val="single"/>
        </w:rPr>
        <w:t>Unified TCI</w:t>
      </w:r>
    </w:p>
    <w:p w14:paraId="46E8973B" w14:textId="77777777" w:rsidR="00C075C9" w:rsidRDefault="00C075C9"/>
    <w:p w14:paraId="1F206BB0" w14:textId="77777777" w:rsidR="00C075C9" w:rsidRPr="00621CD3" w:rsidRDefault="00C075C9" w:rsidP="00C075C9">
      <w:pPr>
        <w:spacing w:after="240"/>
        <w:rPr>
          <w:i/>
          <w:iCs/>
          <w:sz w:val="20"/>
          <w:szCs w:val="20"/>
        </w:rPr>
      </w:pPr>
      <w:r>
        <w:rPr>
          <w:b/>
          <w:bCs/>
          <w:i/>
          <w:iCs/>
          <w:sz w:val="20"/>
          <w:szCs w:val="20"/>
        </w:rPr>
        <w:t xml:space="preserve">Observation #1: </w:t>
      </w:r>
      <w:r>
        <w:rPr>
          <w:i/>
          <w:iCs/>
          <w:sz w:val="20"/>
          <w:szCs w:val="20"/>
        </w:rPr>
        <w:t xml:space="preserve">Configuring test case with target PL-RS maintained is subject to additional UE capability of supporting &gt; 1 active TCI states in active joint/UL TCI list. </w:t>
      </w:r>
    </w:p>
    <w:p w14:paraId="39D00512" w14:textId="77777777" w:rsidR="00C075C9" w:rsidRDefault="00C075C9" w:rsidP="00C075C9">
      <w:pPr>
        <w:spacing w:after="240"/>
        <w:rPr>
          <w:b/>
          <w:bCs/>
          <w:sz w:val="20"/>
          <w:szCs w:val="20"/>
        </w:rPr>
      </w:pPr>
      <w:r>
        <w:rPr>
          <w:b/>
          <w:bCs/>
          <w:sz w:val="20"/>
          <w:szCs w:val="20"/>
        </w:rPr>
        <w:t>Proposal #1: Configure target PL-RS as ‘not maintained’ in Joint TCI state switching test case</w:t>
      </w:r>
    </w:p>
    <w:p w14:paraId="7C5F5DF9" w14:textId="77777777" w:rsidR="00C075C9" w:rsidRDefault="00C075C9" w:rsidP="00C075C9">
      <w:pPr>
        <w:spacing w:after="240"/>
        <w:rPr>
          <w:b/>
          <w:bCs/>
          <w:sz w:val="20"/>
          <w:szCs w:val="20"/>
        </w:rPr>
      </w:pPr>
      <w:r>
        <w:rPr>
          <w:b/>
          <w:bCs/>
          <w:sz w:val="20"/>
          <w:szCs w:val="20"/>
        </w:rPr>
        <w:t>Proposal #2: PL-RS is configured as not-maintained by not including it in active TCI state list for UL or Joint TCI</w:t>
      </w:r>
    </w:p>
    <w:p w14:paraId="71A522DF" w14:textId="77777777" w:rsidR="00C075C9" w:rsidRPr="00085BA6" w:rsidRDefault="00C075C9" w:rsidP="00C075C9">
      <w:pPr>
        <w:spacing w:after="240"/>
        <w:rPr>
          <w:i/>
          <w:iCs/>
          <w:sz w:val="20"/>
          <w:szCs w:val="20"/>
        </w:rPr>
      </w:pPr>
      <w:r>
        <w:rPr>
          <w:b/>
          <w:bCs/>
          <w:i/>
          <w:iCs/>
          <w:sz w:val="20"/>
          <w:szCs w:val="20"/>
        </w:rPr>
        <w:t xml:space="preserve">Observation #2: </w:t>
      </w:r>
      <w:r>
        <w:rPr>
          <w:i/>
          <w:iCs/>
          <w:sz w:val="20"/>
          <w:szCs w:val="20"/>
        </w:rPr>
        <w:t xml:space="preserve">The target PL-RS is configured same as the RS in target UL/joint TCI state or QCL-Type D to RS in target TCI state. </w:t>
      </w:r>
    </w:p>
    <w:p w14:paraId="6737CA4F" w14:textId="77777777" w:rsidR="00C075C9" w:rsidRDefault="00C075C9" w:rsidP="00C075C9">
      <w:pPr>
        <w:spacing w:after="240"/>
        <w:rPr>
          <w:b/>
          <w:bCs/>
          <w:sz w:val="20"/>
          <w:szCs w:val="20"/>
        </w:rPr>
      </w:pPr>
      <w:r>
        <w:rPr>
          <w:b/>
          <w:bCs/>
          <w:sz w:val="20"/>
          <w:szCs w:val="20"/>
        </w:rPr>
        <w:t xml:space="preserve">Proposal #3: PL-RS of target TCI state is defined as the RS in UL / Joint TCI state for simplifying the test configuration. </w:t>
      </w:r>
    </w:p>
    <w:p w14:paraId="625917EE" w14:textId="77777777" w:rsidR="00C075C9" w:rsidRDefault="00C075C9" w:rsidP="00C075C9">
      <w:pPr>
        <w:spacing w:after="240"/>
        <w:rPr>
          <w:b/>
          <w:bCs/>
          <w:sz w:val="20"/>
          <w:szCs w:val="20"/>
        </w:rPr>
      </w:pPr>
      <w:r>
        <w:rPr>
          <w:b/>
          <w:bCs/>
          <w:sz w:val="20"/>
          <w:szCs w:val="20"/>
        </w:rPr>
        <w:t>Proposal #4: The RRC configuration of cell with different PCI is specified for cell configuration in test case, but not as part of RRC configuration for serving cell</w:t>
      </w:r>
    </w:p>
    <w:p w14:paraId="6EC91D3C" w14:textId="63FE8467" w:rsidR="00C075C9" w:rsidRPr="00FA34CF" w:rsidRDefault="00C075C9" w:rsidP="00C075C9">
      <w:pPr>
        <w:rPr>
          <w:u w:val="single"/>
        </w:rPr>
      </w:pPr>
      <w:r w:rsidRPr="00FA34CF">
        <w:rPr>
          <w:u w:val="single"/>
        </w:rPr>
        <w:t>TRP Specific BFR</w:t>
      </w:r>
    </w:p>
    <w:p w14:paraId="362A58AF" w14:textId="77777777" w:rsidR="00C075C9" w:rsidRPr="00C075C9" w:rsidRDefault="00C075C9" w:rsidP="00C075C9"/>
    <w:p w14:paraId="0EF8007F" w14:textId="0BCDBC9A" w:rsidR="00C075C9" w:rsidRDefault="00C075C9" w:rsidP="00C075C9">
      <w:pPr>
        <w:spacing w:after="240"/>
        <w:rPr>
          <w:i/>
          <w:iCs/>
          <w:sz w:val="20"/>
          <w:szCs w:val="20"/>
        </w:rPr>
      </w:pPr>
      <w:r>
        <w:rPr>
          <w:b/>
          <w:bCs/>
          <w:i/>
          <w:iCs/>
          <w:sz w:val="20"/>
          <w:szCs w:val="20"/>
        </w:rPr>
        <w:t xml:space="preserve">Observation #3: </w:t>
      </w:r>
      <w:r>
        <w:rPr>
          <w:i/>
          <w:iCs/>
          <w:sz w:val="20"/>
          <w:szCs w:val="20"/>
        </w:rPr>
        <w:t xml:space="preserve"> For the purpose of verifying core requirements of TRP specific BFR, there is no difference whether intra-cell or inter-cell </w:t>
      </w:r>
      <w:proofErr w:type="spellStart"/>
      <w:r>
        <w:rPr>
          <w:i/>
          <w:iCs/>
          <w:sz w:val="20"/>
          <w:szCs w:val="20"/>
        </w:rPr>
        <w:t>mTRP</w:t>
      </w:r>
      <w:proofErr w:type="spellEnd"/>
      <w:r>
        <w:rPr>
          <w:i/>
          <w:iCs/>
          <w:sz w:val="20"/>
          <w:szCs w:val="20"/>
        </w:rPr>
        <w:t xml:space="preserve"> is configured.</w:t>
      </w:r>
    </w:p>
    <w:p w14:paraId="5B37C55A" w14:textId="77777777" w:rsidR="00C075C9" w:rsidRPr="001F0FFE" w:rsidRDefault="00C075C9" w:rsidP="00C075C9">
      <w:pPr>
        <w:spacing w:after="240"/>
        <w:rPr>
          <w:b/>
          <w:bCs/>
          <w:sz w:val="20"/>
          <w:szCs w:val="20"/>
        </w:rPr>
      </w:pPr>
      <w:r w:rsidRPr="001F0FFE">
        <w:rPr>
          <w:b/>
          <w:bCs/>
          <w:sz w:val="20"/>
          <w:szCs w:val="20"/>
        </w:rPr>
        <w:t>Proposal #5: Design all test cases as intra-cell for TRP specific BFR.</w:t>
      </w:r>
    </w:p>
    <w:p w14:paraId="059AF6E6" w14:textId="77777777" w:rsidR="00C075C9" w:rsidRPr="00421989" w:rsidRDefault="00C075C9" w:rsidP="00C075C9">
      <w:pPr>
        <w:spacing w:after="240"/>
        <w:rPr>
          <w:i/>
          <w:iCs/>
          <w:sz w:val="20"/>
          <w:szCs w:val="20"/>
        </w:rPr>
      </w:pPr>
      <w:r>
        <w:rPr>
          <w:b/>
          <w:bCs/>
          <w:i/>
          <w:iCs/>
          <w:sz w:val="20"/>
          <w:szCs w:val="20"/>
        </w:rPr>
        <w:t xml:space="preserve">Observation #4: </w:t>
      </w:r>
      <w:r>
        <w:rPr>
          <w:i/>
          <w:iCs/>
          <w:sz w:val="20"/>
          <w:szCs w:val="20"/>
        </w:rPr>
        <w:t xml:space="preserve">The BFR resource configuration is incomplete for TRP specific BFR tests with </w:t>
      </w:r>
      <w:proofErr w:type="spellStart"/>
      <w:r>
        <w:rPr>
          <w:i/>
          <w:iCs/>
          <w:sz w:val="20"/>
          <w:szCs w:val="20"/>
        </w:rPr>
        <w:t>PSCell</w:t>
      </w:r>
      <w:proofErr w:type="spellEnd"/>
      <w:r>
        <w:rPr>
          <w:i/>
          <w:iCs/>
          <w:sz w:val="20"/>
          <w:szCs w:val="20"/>
        </w:rPr>
        <w:t xml:space="preserve"> or </w:t>
      </w:r>
      <w:proofErr w:type="spellStart"/>
      <w:r>
        <w:rPr>
          <w:i/>
          <w:iCs/>
          <w:sz w:val="20"/>
          <w:szCs w:val="20"/>
        </w:rPr>
        <w:t>PCell</w:t>
      </w:r>
      <w:proofErr w:type="spellEnd"/>
      <w:r>
        <w:rPr>
          <w:i/>
          <w:iCs/>
          <w:sz w:val="20"/>
          <w:szCs w:val="20"/>
        </w:rPr>
        <w:t>.</w:t>
      </w:r>
    </w:p>
    <w:p w14:paraId="24FE89EE" w14:textId="77777777" w:rsidR="00C075C9" w:rsidRPr="00DD329A" w:rsidRDefault="00C075C9" w:rsidP="00C075C9">
      <w:pPr>
        <w:spacing w:after="240"/>
        <w:rPr>
          <w:b/>
          <w:bCs/>
          <w:sz w:val="20"/>
          <w:szCs w:val="20"/>
        </w:rPr>
      </w:pPr>
      <w:r>
        <w:rPr>
          <w:b/>
          <w:bCs/>
          <w:sz w:val="20"/>
          <w:szCs w:val="20"/>
        </w:rPr>
        <w:t xml:space="preserve">Proposal #6: Configure dedicated BFR resource for TRP specific BFR test cases with </w:t>
      </w:r>
      <w:proofErr w:type="spellStart"/>
      <w:r>
        <w:rPr>
          <w:b/>
          <w:bCs/>
          <w:sz w:val="20"/>
          <w:szCs w:val="20"/>
        </w:rPr>
        <w:t>PCell</w:t>
      </w:r>
      <w:proofErr w:type="spellEnd"/>
      <w:r>
        <w:rPr>
          <w:b/>
          <w:bCs/>
          <w:sz w:val="20"/>
          <w:szCs w:val="20"/>
        </w:rPr>
        <w:t xml:space="preserve"> and </w:t>
      </w:r>
      <w:proofErr w:type="spellStart"/>
      <w:r>
        <w:rPr>
          <w:b/>
          <w:bCs/>
          <w:sz w:val="20"/>
          <w:szCs w:val="20"/>
        </w:rPr>
        <w:t>PSCell</w:t>
      </w:r>
      <w:proofErr w:type="spellEnd"/>
      <w:r>
        <w:rPr>
          <w:b/>
          <w:bCs/>
          <w:sz w:val="20"/>
          <w:szCs w:val="20"/>
        </w:rPr>
        <w:t xml:space="preserve">. </w:t>
      </w:r>
    </w:p>
    <w:p w14:paraId="2F20F9EB" w14:textId="77777777" w:rsidR="00C075C9" w:rsidRDefault="00C075C9"/>
    <w:p w14:paraId="60611EE1" w14:textId="77777777" w:rsidR="008F099C" w:rsidRPr="008F099C" w:rsidRDefault="008F099C" w:rsidP="008F099C">
      <w:pPr>
        <w:keepNext/>
        <w:keepLines/>
        <w:pBdr>
          <w:top w:val="single" w:sz="12" w:space="3" w:color="auto"/>
        </w:pBdr>
        <w:spacing w:before="240" w:after="180"/>
        <w:ind w:left="432" w:hanging="432"/>
        <w:outlineLvl w:val="0"/>
        <w:rPr>
          <w:rFonts w:ascii="Arial" w:hAnsi="Arial"/>
          <w:sz w:val="36"/>
          <w:szCs w:val="20"/>
        </w:rPr>
      </w:pPr>
      <w:r w:rsidRPr="008F099C">
        <w:rPr>
          <w:rFonts w:ascii="Arial" w:hAnsi="Arial"/>
          <w:sz w:val="36"/>
          <w:szCs w:val="20"/>
        </w:rPr>
        <w:t>Reference</w:t>
      </w:r>
    </w:p>
    <w:p w14:paraId="08EA7688" w14:textId="3709A2D0" w:rsidR="008F099C" w:rsidRDefault="00301491" w:rsidP="008F099C">
      <w:pPr>
        <w:numPr>
          <w:ilvl w:val="0"/>
          <w:numId w:val="1"/>
        </w:numPr>
        <w:spacing w:after="120"/>
        <w:rPr>
          <w:sz w:val="20"/>
          <w:szCs w:val="20"/>
          <w:lang w:eastAsia="zh-CN"/>
        </w:rPr>
      </w:pPr>
      <w:r w:rsidRPr="00301491">
        <w:rPr>
          <w:sz w:val="20"/>
          <w:szCs w:val="20"/>
          <w:lang w:eastAsia="zh-CN"/>
        </w:rPr>
        <w:t>R4-2217208</w:t>
      </w:r>
      <w:r w:rsidR="008F099C" w:rsidRPr="008F099C">
        <w:rPr>
          <w:sz w:val="20"/>
          <w:szCs w:val="20"/>
          <w:lang w:eastAsia="zh-CN"/>
        </w:rPr>
        <w:t>, “</w:t>
      </w:r>
      <w:r w:rsidRPr="00301491">
        <w:rPr>
          <w:sz w:val="20"/>
          <w:szCs w:val="20"/>
          <w:lang w:eastAsia="zh-CN"/>
        </w:rPr>
        <w:t xml:space="preserve">WF on </w:t>
      </w:r>
      <w:proofErr w:type="spellStart"/>
      <w:r w:rsidRPr="00301491">
        <w:rPr>
          <w:sz w:val="20"/>
          <w:szCs w:val="20"/>
          <w:lang w:eastAsia="zh-CN"/>
        </w:rPr>
        <w:t>FeMIMO</w:t>
      </w:r>
      <w:proofErr w:type="spellEnd"/>
      <w:r w:rsidRPr="00301491">
        <w:rPr>
          <w:sz w:val="20"/>
          <w:szCs w:val="20"/>
          <w:lang w:eastAsia="zh-CN"/>
        </w:rPr>
        <w:t xml:space="preserve"> RRM Performance Requirement and Test Case</w:t>
      </w:r>
      <w:r w:rsidR="008F099C" w:rsidRPr="008F099C">
        <w:rPr>
          <w:sz w:val="20"/>
          <w:szCs w:val="20"/>
          <w:lang w:eastAsia="zh-CN"/>
        </w:rPr>
        <w:t xml:space="preserve">”, </w:t>
      </w:r>
      <w:r>
        <w:rPr>
          <w:sz w:val="20"/>
          <w:szCs w:val="20"/>
          <w:lang w:eastAsia="zh-CN"/>
        </w:rPr>
        <w:t>Samsung</w:t>
      </w:r>
      <w:r w:rsidR="008F099C" w:rsidRPr="008F099C">
        <w:rPr>
          <w:sz w:val="20"/>
          <w:szCs w:val="20"/>
          <w:lang w:eastAsia="zh-CN"/>
        </w:rPr>
        <w:t xml:space="preserve">.  </w:t>
      </w:r>
    </w:p>
    <w:p w14:paraId="07B7C9FA" w14:textId="19D5255A" w:rsidR="00621CD3" w:rsidRPr="00621CD3" w:rsidRDefault="00621CD3" w:rsidP="00621CD3">
      <w:pPr>
        <w:pStyle w:val="ListParagraph"/>
        <w:numPr>
          <w:ilvl w:val="0"/>
          <w:numId w:val="1"/>
        </w:numPr>
        <w:spacing w:after="120"/>
        <w:contextualSpacing w:val="0"/>
        <w:rPr>
          <w:sz w:val="20"/>
          <w:szCs w:val="20"/>
        </w:rPr>
      </w:pPr>
      <w:r w:rsidRPr="000F344D">
        <w:rPr>
          <w:sz w:val="20"/>
          <w:szCs w:val="20"/>
        </w:rPr>
        <w:t>R1-2210719</w:t>
      </w:r>
      <w:r>
        <w:rPr>
          <w:sz w:val="20"/>
          <w:szCs w:val="20"/>
        </w:rPr>
        <w:t>, “</w:t>
      </w:r>
      <w:r w:rsidRPr="000F344D">
        <w:rPr>
          <w:sz w:val="20"/>
          <w:szCs w:val="20"/>
        </w:rPr>
        <w:t>Reply LS on active TCI state list for UL TCI</w:t>
      </w:r>
      <w:r>
        <w:rPr>
          <w:sz w:val="20"/>
          <w:szCs w:val="20"/>
        </w:rPr>
        <w:t xml:space="preserve">”, RAN1, Nokia. </w:t>
      </w:r>
    </w:p>
    <w:p w14:paraId="2E3E7427" w14:textId="77777777" w:rsidR="008F099C" w:rsidRDefault="008F099C"/>
    <w:sectPr w:rsidR="008F09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18604DD1"/>
    <w:multiLevelType w:val="multilevel"/>
    <w:tmpl w:val="13AC2B7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18C32B2"/>
    <w:multiLevelType w:val="multilevel"/>
    <w:tmpl w:val="2F4611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5A37043"/>
    <w:multiLevelType w:val="multilevel"/>
    <w:tmpl w:val="2B5A808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45483024"/>
    <w:multiLevelType w:val="multilevel"/>
    <w:tmpl w:val="267A632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29434B9"/>
    <w:multiLevelType w:val="multilevel"/>
    <w:tmpl w:val="B0D6A35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C7D389F"/>
    <w:multiLevelType w:val="multilevel"/>
    <w:tmpl w:val="E902B29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28C34AA"/>
    <w:multiLevelType w:val="multilevel"/>
    <w:tmpl w:val="5546DBD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63308028">
    <w:abstractNumId w:val="6"/>
  </w:num>
  <w:num w:numId="2" w16cid:durableId="447312379">
    <w:abstractNumId w:val="0"/>
  </w:num>
  <w:num w:numId="3" w16cid:durableId="1727797101">
    <w:abstractNumId w:val="7"/>
  </w:num>
  <w:num w:numId="4" w16cid:durableId="43406203">
    <w:abstractNumId w:val="5"/>
  </w:num>
  <w:num w:numId="5" w16cid:durableId="1017656711">
    <w:abstractNumId w:val="4"/>
  </w:num>
  <w:num w:numId="6" w16cid:durableId="1164930829">
    <w:abstractNumId w:val="3"/>
  </w:num>
  <w:num w:numId="7" w16cid:durableId="237135094">
    <w:abstractNumId w:val="1"/>
  </w:num>
  <w:num w:numId="8" w16cid:durableId="705911971">
    <w:abstractNumId w:val="8"/>
  </w:num>
  <w:num w:numId="9" w16cid:durableId="819994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99C"/>
    <w:rsid w:val="00026617"/>
    <w:rsid w:val="00081F6E"/>
    <w:rsid w:val="00085BA6"/>
    <w:rsid w:val="000C7E43"/>
    <w:rsid w:val="001F0FFE"/>
    <w:rsid w:val="00301491"/>
    <w:rsid w:val="003230B1"/>
    <w:rsid w:val="00421989"/>
    <w:rsid w:val="004331C9"/>
    <w:rsid w:val="00621CD3"/>
    <w:rsid w:val="008716C6"/>
    <w:rsid w:val="008F099C"/>
    <w:rsid w:val="00924CB2"/>
    <w:rsid w:val="00990505"/>
    <w:rsid w:val="00A52A14"/>
    <w:rsid w:val="00A6319C"/>
    <w:rsid w:val="00A836FE"/>
    <w:rsid w:val="00B14736"/>
    <w:rsid w:val="00C075C9"/>
    <w:rsid w:val="00DC2FAC"/>
    <w:rsid w:val="00DD329A"/>
    <w:rsid w:val="00E11A56"/>
    <w:rsid w:val="00FA34CF"/>
    <w:rsid w:val="00FC440E"/>
    <w:rsid w:val="00FD0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E1DEA"/>
  <w15:chartTrackingRefBased/>
  <w15:docId w15:val="{94CE6081-1690-E44A-A765-00C8D3246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1C9"/>
    <w:pPr>
      <w:jc w:val="both"/>
    </w:pPr>
    <w:rPr>
      <w:rFonts w:ascii="Times New Roman" w:eastAsia="SimSun" w:hAnsi="Times New Roman" w:cs="Times New Roman"/>
      <w:kern w:val="2"/>
      <w:sz w:val="21"/>
      <w:szCs w:val="21"/>
    </w:rPr>
  </w:style>
  <w:style w:type="paragraph" w:styleId="Heading2">
    <w:name w:val="heading 2"/>
    <w:basedOn w:val="Normal"/>
    <w:next w:val="Normal"/>
    <w:link w:val="Heading2Char"/>
    <w:uiPriority w:val="9"/>
    <w:unhideWhenUsed/>
    <w:qFormat/>
    <w:rsid w:val="004331C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
    <w:name w:val="CH"/>
    <w:basedOn w:val="Normal"/>
    <w:rsid w:val="008F099C"/>
    <w:pPr>
      <w:tabs>
        <w:tab w:val="left" w:pos="2268"/>
        <w:tab w:val="right" w:pos="7920"/>
        <w:tab w:val="right" w:pos="9639"/>
      </w:tabs>
    </w:pPr>
    <w:rPr>
      <w:rFonts w:ascii="Arial" w:hAnsi="Arial" w:cs="Arial"/>
      <w:b/>
      <w:szCs w:val="20"/>
      <w:lang w:val="en-GB"/>
    </w:rPr>
  </w:style>
  <w:style w:type="character" w:customStyle="1" w:styleId="Heading2Char">
    <w:name w:val="Heading 2 Char"/>
    <w:basedOn w:val="DefaultParagraphFont"/>
    <w:link w:val="Heading2"/>
    <w:uiPriority w:val="9"/>
    <w:rsid w:val="004331C9"/>
    <w:rPr>
      <w:rFonts w:asciiTheme="majorHAnsi" w:eastAsiaTheme="majorEastAsia" w:hAnsiTheme="majorHAnsi" w:cstheme="majorBidi"/>
      <w:color w:val="2F5496" w:themeColor="accent1" w:themeShade="BF"/>
      <w:sz w:val="26"/>
      <w:szCs w:val="26"/>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4331C9"/>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621CD3"/>
    <w:rPr>
      <w:rFonts w:ascii="Times New Roman" w:eastAsia="SimSun" w:hAnsi="Times New Roman" w:cs="Times New Roman"/>
      <w:kern w:val="2"/>
      <w:sz w:val="21"/>
      <w:szCs w:val="21"/>
    </w:rPr>
  </w:style>
  <w:style w:type="paragraph" w:customStyle="1" w:styleId="a">
    <w:name w:val="列表段落"/>
    <w:basedOn w:val="Normal"/>
    <w:rsid w:val="00085BA6"/>
    <w:pPr>
      <w:spacing w:before="100" w:beforeAutospacing="1" w:after="180"/>
      <w:ind w:firstLineChars="200" w:firstLine="420"/>
      <w:jc w:val="left"/>
    </w:pPr>
    <w:rPr>
      <w:rFonts w:eastAsia="Times New Roman"/>
      <w:kern w:val="0"/>
      <w:sz w:val="24"/>
      <w:szCs w:val="24"/>
    </w:rPr>
  </w:style>
  <w:style w:type="table" w:styleId="TableGrid">
    <w:name w:val="Table Grid"/>
    <w:basedOn w:val="TableNormal"/>
    <w:uiPriority w:val="39"/>
    <w:rsid w:val="001F0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421989"/>
    <w:pPr>
      <w:jc w:val="left"/>
    </w:pPr>
    <w:rPr>
      <w:rFonts w:eastAsia="Times New Roman"/>
      <w:kern w:val="0"/>
      <w:sz w:val="24"/>
      <w:szCs w:val="24"/>
    </w:rPr>
  </w:style>
  <w:style w:type="paragraph" w:styleId="Caption">
    <w:name w:val="caption"/>
    <w:basedOn w:val="Normal"/>
    <w:next w:val="Normal"/>
    <w:uiPriority w:val="35"/>
    <w:unhideWhenUsed/>
    <w:qFormat/>
    <w:rsid w:val="0042198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90067">
      <w:bodyDiv w:val="1"/>
      <w:marLeft w:val="0"/>
      <w:marRight w:val="0"/>
      <w:marTop w:val="0"/>
      <w:marBottom w:val="0"/>
      <w:divBdr>
        <w:top w:val="none" w:sz="0" w:space="0" w:color="auto"/>
        <w:left w:val="none" w:sz="0" w:space="0" w:color="auto"/>
        <w:bottom w:val="none" w:sz="0" w:space="0" w:color="auto"/>
        <w:right w:val="none" w:sz="0" w:space="0" w:color="auto"/>
      </w:divBdr>
    </w:div>
    <w:div w:id="366878301">
      <w:bodyDiv w:val="1"/>
      <w:marLeft w:val="0"/>
      <w:marRight w:val="0"/>
      <w:marTop w:val="0"/>
      <w:marBottom w:val="0"/>
      <w:divBdr>
        <w:top w:val="none" w:sz="0" w:space="0" w:color="auto"/>
        <w:left w:val="none" w:sz="0" w:space="0" w:color="auto"/>
        <w:bottom w:val="none" w:sz="0" w:space="0" w:color="auto"/>
        <w:right w:val="none" w:sz="0" w:space="0" w:color="auto"/>
      </w:divBdr>
    </w:div>
    <w:div w:id="477575165">
      <w:bodyDiv w:val="1"/>
      <w:marLeft w:val="0"/>
      <w:marRight w:val="0"/>
      <w:marTop w:val="0"/>
      <w:marBottom w:val="0"/>
      <w:divBdr>
        <w:top w:val="none" w:sz="0" w:space="0" w:color="auto"/>
        <w:left w:val="none" w:sz="0" w:space="0" w:color="auto"/>
        <w:bottom w:val="none" w:sz="0" w:space="0" w:color="auto"/>
        <w:right w:val="none" w:sz="0" w:space="0" w:color="auto"/>
      </w:divBdr>
    </w:div>
    <w:div w:id="499467854">
      <w:bodyDiv w:val="1"/>
      <w:marLeft w:val="0"/>
      <w:marRight w:val="0"/>
      <w:marTop w:val="0"/>
      <w:marBottom w:val="0"/>
      <w:divBdr>
        <w:top w:val="none" w:sz="0" w:space="0" w:color="auto"/>
        <w:left w:val="none" w:sz="0" w:space="0" w:color="auto"/>
        <w:bottom w:val="none" w:sz="0" w:space="0" w:color="auto"/>
        <w:right w:val="none" w:sz="0" w:space="0" w:color="auto"/>
      </w:divBdr>
    </w:div>
    <w:div w:id="529028622">
      <w:bodyDiv w:val="1"/>
      <w:marLeft w:val="0"/>
      <w:marRight w:val="0"/>
      <w:marTop w:val="0"/>
      <w:marBottom w:val="0"/>
      <w:divBdr>
        <w:top w:val="none" w:sz="0" w:space="0" w:color="auto"/>
        <w:left w:val="none" w:sz="0" w:space="0" w:color="auto"/>
        <w:bottom w:val="none" w:sz="0" w:space="0" w:color="auto"/>
        <w:right w:val="none" w:sz="0" w:space="0" w:color="auto"/>
      </w:divBdr>
    </w:div>
    <w:div w:id="631447320">
      <w:bodyDiv w:val="1"/>
      <w:marLeft w:val="0"/>
      <w:marRight w:val="0"/>
      <w:marTop w:val="0"/>
      <w:marBottom w:val="0"/>
      <w:divBdr>
        <w:top w:val="none" w:sz="0" w:space="0" w:color="auto"/>
        <w:left w:val="none" w:sz="0" w:space="0" w:color="auto"/>
        <w:bottom w:val="none" w:sz="0" w:space="0" w:color="auto"/>
        <w:right w:val="none" w:sz="0" w:space="0" w:color="auto"/>
      </w:divBdr>
    </w:div>
    <w:div w:id="666441661">
      <w:bodyDiv w:val="1"/>
      <w:marLeft w:val="0"/>
      <w:marRight w:val="0"/>
      <w:marTop w:val="0"/>
      <w:marBottom w:val="0"/>
      <w:divBdr>
        <w:top w:val="none" w:sz="0" w:space="0" w:color="auto"/>
        <w:left w:val="none" w:sz="0" w:space="0" w:color="auto"/>
        <w:bottom w:val="none" w:sz="0" w:space="0" w:color="auto"/>
        <w:right w:val="none" w:sz="0" w:space="0" w:color="auto"/>
      </w:divBdr>
    </w:div>
    <w:div w:id="677464203">
      <w:bodyDiv w:val="1"/>
      <w:marLeft w:val="0"/>
      <w:marRight w:val="0"/>
      <w:marTop w:val="0"/>
      <w:marBottom w:val="0"/>
      <w:divBdr>
        <w:top w:val="none" w:sz="0" w:space="0" w:color="auto"/>
        <w:left w:val="none" w:sz="0" w:space="0" w:color="auto"/>
        <w:bottom w:val="none" w:sz="0" w:space="0" w:color="auto"/>
        <w:right w:val="none" w:sz="0" w:space="0" w:color="auto"/>
      </w:divBdr>
    </w:div>
    <w:div w:id="1282608437">
      <w:bodyDiv w:val="1"/>
      <w:marLeft w:val="0"/>
      <w:marRight w:val="0"/>
      <w:marTop w:val="0"/>
      <w:marBottom w:val="0"/>
      <w:divBdr>
        <w:top w:val="none" w:sz="0" w:space="0" w:color="auto"/>
        <w:left w:val="none" w:sz="0" w:space="0" w:color="auto"/>
        <w:bottom w:val="none" w:sz="0" w:space="0" w:color="auto"/>
        <w:right w:val="none" w:sz="0" w:space="0" w:color="auto"/>
      </w:divBdr>
    </w:div>
    <w:div w:id="1364556555">
      <w:bodyDiv w:val="1"/>
      <w:marLeft w:val="0"/>
      <w:marRight w:val="0"/>
      <w:marTop w:val="0"/>
      <w:marBottom w:val="0"/>
      <w:divBdr>
        <w:top w:val="none" w:sz="0" w:space="0" w:color="auto"/>
        <w:left w:val="none" w:sz="0" w:space="0" w:color="auto"/>
        <w:bottom w:val="none" w:sz="0" w:space="0" w:color="auto"/>
        <w:right w:val="none" w:sz="0" w:space="0" w:color="auto"/>
      </w:divBdr>
    </w:div>
    <w:div w:id="1559509526">
      <w:bodyDiv w:val="1"/>
      <w:marLeft w:val="0"/>
      <w:marRight w:val="0"/>
      <w:marTop w:val="0"/>
      <w:marBottom w:val="0"/>
      <w:divBdr>
        <w:top w:val="none" w:sz="0" w:space="0" w:color="auto"/>
        <w:left w:val="none" w:sz="0" w:space="0" w:color="auto"/>
        <w:bottom w:val="none" w:sz="0" w:space="0" w:color="auto"/>
        <w:right w:val="none" w:sz="0" w:space="0" w:color="auto"/>
      </w:divBdr>
    </w:div>
    <w:div w:id="1584333352">
      <w:bodyDiv w:val="1"/>
      <w:marLeft w:val="0"/>
      <w:marRight w:val="0"/>
      <w:marTop w:val="0"/>
      <w:marBottom w:val="0"/>
      <w:divBdr>
        <w:top w:val="none" w:sz="0" w:space="0" w:color="auto"/>
        <w:left w:val="none" w:sz="0" w:space="0" w:color="auto"/>
        <w:bottom w:val="none" w:sz="0" w:space="0" w:color="auto"/>
        <w:right w:val="none" w:sz="0" w:space="0" w:color="auto"/>
      </w:divBdr>
    </w:div>
    <w:div w:id="1931966843">
      <w:bodyDiv w:val="1"/>
      <w:marLeft w:val="0"/>
      <w:marRight w:val="0"/>
      <w:marTop w:val="0"/>
      <w:marBottom w:val="0"/>
      <w:divBdr>
        <w:top w:val="none" w:sz="0" w:space="0" w:color="auto"/>
        <w:left w:val="none" w:sz="0" w:space="0" w:color="auto"/>
        <w:bottom w:val="none" w:sz="0" w:space="0" w:color="auto"/>
        <w:right w:val="none" w:sz="0" w:space="0" w:color="auto"/>
      </w:divBdr>
    </w:div>
    <w:div w:id="204258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1469</Words>
  <Characters>8376</Characters>
  <Application>Microsoft Office Word</Application>
  <DocSecurity>0</DocSecurity>
  <Lines>239</Lines>
  <Paragraphs>142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(Manasa)</dc:creator>
  <cp:keywords/>
  <dc:description/>
  <cp:lastModifiedBy>Apple_105 (Manasa)</cp:lastModifiedBy>
  <cp:revision>3</cp:revision>
  <dcterms:created xsi:type="dcterms:W3CDTF">2022-11-04T21:06:00Z</dcterms:created>
  <dcterms:modified xsi:type="dcterms:W3CDTF">2022-11-07T19:17:00Z</dcterms:modified>
</cp:coreProperties>
</file>