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EA341E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D610F8">
        <w:rPr>
          <w:rFonts w:cs="Arial"/>
          <w:sz w:val="24"/>
          <w:szCs w:val="24"/>
          <w:lang w:val="de-DE"/>
        </w:rPr>
        <w:t>16651</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4B93C1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7351D">
        <w:rPr>
          <w:rFonts w:ascii="Arial" w:hAnsi="Arial"/>
          <w:sz w:val="24"/>
          <w:lang w:val="en-US"/>
        </w:rPr>
        <w:t>6.22.1.1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A477DC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136ED">
        <w:rPr>
          <w:rFonts w:ascii="Arial" w:hAnsi="Arial"/>
          <w:sz w:val="24"/>
          <w:lang w:val="en-US"/>
        </w:rPr>
        <w:t>Ka band system parameters</w:t>
      </w:r>
      <w:r w:rsidR="005B53F0">
        <w:rPr>
          <w:rFonts w:ascii="Arial" w:hAnsi="Arial"/>
          <w:sz w:val="24"/>
          <w:lang w:val="en-US"/>
        </w:rPr>
        <w:t xml:space="preserve"> </w:t>
      </w:r>
      <w:r w:rsidR="001136ED">
        <w:rPr>
          <w:rFonts w:ascii="Arial" w:hAnsi="Arial"/>
          <w:sz w:val="24"/>
          <w:lang w:val="en-US"/>
        </w:rPr>
        <w:t>for NTN</w:t>
      </w:r>
    </w:p>
    <w:p w14:paraId="013F978F" w14:textId="4CBA6A90"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E761A">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F4006AF" w14:textId="7D2A5F22" w:rsidR="005B522A" w:rsidRDefault="00095E5F" w:rsidP="00354733">
      <w:pPr>
        <w:rPr>
          <w:lang w:val="en-US"/>
        </w:rPr>
      </w:pPr>
      <w:r>
        <w:rPr>
          <w:lang w:val="en-US"/>
        </w:rPr>
        <w:t xml:space="preserve">A </w:t>
      </w:r>
      <w:r w:rsidR="005B522A">
        <w:rPr>
          <w:lang w:val="en-US"/>
        </w:rPr>
        <w:t xml:space="preserve">Rel-18 work item [1] to study and specify enhancements for NTN was agreed with an objective to </w:t>
      </w:r>
      <w:r w:rsidR="00B8011E">
        <w:rPr>
          <w:lang w:val="en-US"/>
        </w:rPr>
        <w:t xml:space="preserve">identify an example band above 10 GHz.  </w:t>
      </w:r>
      <w:r w:rsidR="006316FE">
        <w:rPr>
          <w:lang w:val="en-US"/>
        </w:rPr>
        <w:t xml:space="preserve">System parameters for </w:t>
      </w:r>
      <w:r w:rsidR="00B8011E">
        <w:rPr>
          <w:lang w:val="en-US"/>
        </w:rPr>
        <w:t>Ka band with uplink at approximately 30 GHz and downlink a</w:t>
      </w:r>
      <w:r w:rsidR="006316FE">
        <w:rPr>
          <w:lang w:val="en-US"/>
        </w:rPr>
        <w:t>t</w:t>
      </w:r>
      <w:r w:rsidR="00B8011E">
        <w:rPr>
          <w:lang w:val="en-US"/>
        </w:rPr>
        <w:t xml:space="preserve"> approximately 20 GHz is considered in this contribution.  </w:t>
      </w:r>
    </w:p>
    <w:p w14:paraId="10F6602E" w14:textId="78DE20E2" w:rsidR="007E1E78" w:rsidRDefault="007E1E78" w:rsidP="0099327E">
      <w:pPr>
        <w:pStyle w:val="Heading1"/>
        <w:tabs>
          <w:tab w:val="clear" w:pos="432"/>
          <w:tab w:val="num" w:pos="522"/>
        </w:tabs>
        <w:ind w:left="522" w:hanging="522"/>
        <w:rPr>
          <w:lang w:val="en-US"/>
        </w:rPr>
      </w:pPr>
      <w:r>
        <w:rPr>
          <w:lang w:val="en-US"/>
        </w:rPr>
        <w:t>Discussion</w:t>
      </w:r>
    </w:p>
    <w:p w14:paraId="7CA088B7" w14:textId="3C6CA738" w:rsidR="00BA764F" w:rsidRDefault="00BA764F" w:rsidP="00BA764F">
      <w:pPr>
        <w:pStyle w:val="Heading2"/>
        <w:rPr>
          <w:lang w:val="en-US"/>
        </w:rPr>
      </w:pPr>
      <w:r>
        <w:rPr>
          <w:lang w:val="en-US"/>
        </w:rPr>
        <w:t>Frequency range</w:t>
      </w:r>
    </w:p>
    <w:p w14:paraId="2F57E823" w14:textId="6653AAB8" w:rsidR="00BA764F" w:rsidRDefault="00BA764F" w:rsidP="00BA764F">
      <w:pPr>
        <w:rPr>
          <w:lang w:val="en-US"/>
        </w:rPr>
      </w:pPr>
      <w:r>
        <w:rPr>
          <w:lang w:val="en-US"/>
        </w:rPr>
        <w:t>The Ka band uplink at 30 GHz falls into the FR2 frequency range.  However, the downlink at 20 GHz is outside of both FR1 and FR2 frequency ranges.  Despite this, it is understood the Ka band will be specified according to FR2 requirements.  One stipulation from the WID [1] is the definition of NTN bands above 10 GHz does not change the FR1/FR2 definition or autom</w:t>
      </w:r>
      <w:r w:rsidR="009B788B">
        <w:rPr>
          <w:lang w:val="en-US"/>
        </w:rPr>
        <w:t xml:space="preserve">atically to future terrestrial bands defined in this frequency region.  To retain the existing frequency range definitions of FR1 and FR2, we suggest </w:t>
      </w:r>
      <w:proofErr w:type="gramStart"/>
      <w:r w:rsidR="009B788B">
        <w:rPr>
          <w:lang w:val="en-US"/>
        </w:rPr>
        <w:t>to maintain</w:t>
      </w:r>
      <w:proofErr w:type="gramEnd"/>
      <w:r w:rsidR="009B788B">
        <w:rPr>
          <w:lang w:val="en-US"/>
        </w:rPr>
        <w:t xml:space="preserve"> the upper range of FR1 and 7125 MHz and the lower range of FR2 at 24250 </w:t>
      </w:r>
      <w:proofErr w:type="spellStart"/>
      <w:r w:rsidR="009B788B">
        <w:rPr>
          <w:lang w:val="en-US"/>
        </w:rPr>
        <w:t>MHz.</w:t>
      </w:r>
      <w:proofErr w:type="spellEnd"/>
      <w:r w:rsidR="009B788B">
        <w:rPr>
          <w:lang w:val="en-US"/>
        </w:rPr>
        <w:t xml:space="preserve">  However, a note can be added in the definition of frequency ranges to indicate the Ka band follows requirements for FR2 despite its downlink being outside of the range.  To mitigate future terrestrial bands automatically following th</w:t>
      </w:r>
      <w:r w:rsidR="00897554">
        <w:rPr>
          <w:lang w:val="en-US"/>
        </w:rPr>
        <w:t>e convention of using FR2 requirements, it is noted that the NTN bands will be defined in TS 38.101-5 and TS 38.108 which are separate from TS 38.101-1 and TS 38.104 where terrestrial bands are defined.</w:t>
      </w:r>
    </w:p>
    <w:p w14:paraId="32C9362D" w14:textId="59734759" w:rsidR="00897554" w:rsidRPr="00897554" w:rsidRDefault="00897554" w:rsidP="00BA764F">
      <w:pPr>
        <w:rPr>
          <w:b/>
          <w:bCs/>
          <w:lang w:val="en-US"/>
        </w:rPr>
      </w:pPr>
      <w:r w:rsidRPr="00897554">
        <w:rPr>
          <w:b/>
          <w:bCs/>
          <w:lang w:val="en-US"/>
        </w:rPr>
        <w:t>Proposal</w:t>
      </w:r>
      <w:r w:rsidR="00B20A2C">
        <w:rPr>
          <w:b/>
          <w:bCs/>
          <w:lang w:val="en-US"/>
        </w:rPr>
        <w:t xml:space="preserve"> 1</w:t>
      </w:r>
      <w:r w:rsidRPr="00897554">
        <w:rPr>
          <w:b/>
          <w:bCs/>
          <w:lang w:val="en-US"/>
        </w:rPr>
        <w:t xml:space="preserve">:  Ka band follows FR2 requirements by adding a note in TS 38.101-5 and TS 38.108 rather than by changing the FR2 frequency range itself. </w:t>
      </w:r>
    </w:p>
    <w:p w14:paraId="36F003D5" w14:textId="3E319339" w:rsidR="0030705B" w:rsidRDefault="0030705B" w:rsidP="0030705B">
      <w:pPr>
        <w:pStyle w:val="Heading2"/>
        <w:rPr>
          <w:lang w:val="en-US"/>
        </w:rPr>
      </w:pPr>
      <w:r>
        <w:rPr>
          <w:lang w:val="en-US"/>
        </w:rPr>
        <w:t>Channel bandwidth and SCS</w:t>
      </w:r>
    </w:p>
    <w:p w14:paraId="0EE9D943" w14:textId="04BD5869" w:rsidR="0030705B" w:rsidRDefault="000179B3" w:rsidP="0030705B">
      <w:pPr>
        <w:rPr>
          <w:lang w:val="en-US"/>
        </w:rPr>
      </w:pPr>
      <w:proofErr w:type="gramStart"/>
      <w:r>
        <w:rPr>
          <w:lang w:val="en-US"/>
        </w:rPr>
        <w:t>With the exception of</w:t>
      </w:r>
      <w:proofErr w:type="gramEnd"/>
      <w:r>
        <w:rPr>
          <w:lang w:val="en-US"/>
        </w:rPr>
        <w:t xml:space="preserve"> Band n263 at 60 GHz, the FR2 bands are defined with channel bandwidths of 50, 100, and 200 MHz with 60 kHz SCS and 50, 100, 200, and 400 MHz with 120 kHz SCS.  The 400 MHz channel bandwidth is optional.  It is proposed that these same bandwidths and SCS can be used for the Ka band.</w:t>
      </w:r>
    </w:p>
    <w:p w14:paraId="6EF56645" w14:textId="27AFECA1" w:rsidR="000179B3" w:rsidRDefault="000179B3" w:rsidP="0030705B">
      <w:pPr>
        <w:rPr>
          <w:b/>
          <w:bCs/>
          <w:lang w:val="en-US"/>
        </w:rPr>
      </w:pPr>
      <w:r w:rsidRPr="004F6D2E">
        <w:rPr>
          <w:b/>
          <w:bCs/>
          <w:lang w:val="en-US"/>
        </w:rPr>
        <w:t>Proposal</w:t>
      </w:r>
      <w:r w:rsidR="00B20A2C">
        <w:rPr>
          <w:b/>
          <w:bCs/>
          <w:lang w:val="en-US"/>
        </w:rPr>
        <w:t xml:space="preserve"> 2</w:t>
      </w:r>
      <w:r w:rsidRPr="004F6D2E">
        <w:rPr>
          <w:b/>
          <w:bCs/>
          <w:lang w:val="en-US"/>
        </w:rPr>
        <w:t>:  50, 100, and 200 MHz channel bandwidth with 60 kHz SCS.  50, 100, 200, and 400 MHz channel bandwidth with 120 kHz SCS.  400 MHz channel bandwidth is optional in this release of the specification.</w:t>
      </w:r>
    </w:p>
    <w:p w14:paraId="2864AD49" w14:textId="3EBF55C2" w:rsidR="00660048" w:rsidRDefault="00660048" w:rsidP="0030705B">
      <w:pPr>
        <w:rPr>
          <w:lang w:val="en-US"/>
        </w:rPr>
      </w:pPr>
      <w:r w:rsidRPr="00660048">
        <w:rPr>
          <w:lang w:val="en-US"/>
        </w:rPr>
        <w:t>A</w:t>
      </w:r>
      <w:r>
        <w:rPr>
          <w:lang w:val="en-US"/>
        </w:rPr>
        <w:t xml:space="preserve">symmetric channel bandwidths between uplink and downlink can also be considered for the band.  Depending on the exact band definition to be agreed by RAN4, there is the possibility that the uplink and downlink bands may not sure the same bandwidth.  Additionally, it is anticipated due to different system bandwidth requirements for uplink compared to downlink, there may be a need to define asymmetric channel bandwidths.  However, the number of combinations should be limited </w:t>
      </w:r>
      <w:proofErr w:type="gramStart"/>
      <w:r>
        <w:rPr>
          <w:lang w:val="en-US"/>
        </w:rPr>
        <w:t>in order to</w:t>
      </w:r>
      <w:proofErr w:type="gramEnd"/>
      <w:r>
        <w:rPr>
          <w:lang w:val="en-US"/>
        </w:rPr>
        <w:t xml:space="preserve"> reduce the test and development burden on device manufacturers.  It is suggested that 50+100, 50+200, and 50+400 MHz UL+DL channel bandwidths be considered.  400 MHz is optional in this release of the specification.  </w:t>
      </w:r>
      <w:r w:rsidR="002E761A">
        <w:rPr>
          <w:lang w:val="en-US"/>
        </w:rPr>
        <w:t xml:space="preserve">A necessary part of enabling asymmetric channel bandwidths is the frequency confinement of the Tx-Rx separation given as </w:t>
      </w:r>
    </w:p>
    <w:p w14:paraId="6DF83A13" w14:textId="154431E7" w:rsidR="002E761A" w:rsidRDefault="002E761A" w:rsidP="002E761A">
      <w:pPr>
        <w:jc w:val="center"/>
      </w:pPr>
      <w:r w:rsidRPr="002E761A">
        <w:t>ΔF</w:t>
      </w:r>
      <w:r w:rsidRPr="002E761A">
        <w:rPr>
          <w:vertAlign w:val="subscript"/>
        </w:rPr>
        <w:t>TX-RX</w:t>
      </w:r>
      <w:r w:rsidRPr="002E761A">
        <w:t xml:space="preserve"> = | (BW</w:t>
      </w:r>
      <w:r w:rsidRPr="002E761A">
        <w:rPr>
          <w:vertAlign w:val="subscript"/>
        </w:rPr>
        <w:t>DL</w:t>
      </w:r>
      <w:r w:rsidRPr="002E761A">
        <w:t xml:space="preserve"> – BW</w:t>
      </w:r>
      <w:r w:rsidRPr="002E761A">
        <w:rPr>
          <w:vertAlign w:val="subscript"/>
        </w:rPr>
        <w:t>UL</w:t>
      </w:r>
      <w:r w:rsidRPr="002E761A">
        <w:t>)/2 |</w:t>
      </w:r>
    </w:p>
    <w:p w14:paraId="743B28E1" w14:textId="277C5A49" w:rsidR="002E761A" w:rsidRDefault="002E761A" w:rsidP="002E761A">
      <w:r>
        <w:t>and illustrated below</w:t>
      </w:r>
    </w:p>
    <w:p w14:paraId="4FA62A9C" w14:textId="52BDD443" w:rsidR="002E761A" w:rsidRPr="002E761A" w:rsidRDefault="002E761A" w:rsidP="002E761A">
      <w:pPr>
        <w:jc w:val="center"/>
        <w:rPr>
          <w:lang w:val="en-US"/>
        </w:rPr>
      </w:pPr>
      <w:r>
        <w:rPr>
          <w:noProof/>
          <w:lang w:val="en-US"/>
        </w:rPr>
        <w:lastRenderedPageBreak/>
        <w:drawing>
          <wp:inline distT="0" distB="0" distL="0" distR="0" wp14:anchorId="6AD8F13B" wp14:editId="5756FE00">
            <wp:extent cx="3044573" cy="658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4273" cy="660317"/>
                    </a:xfrm>
                    <a:prstGeom prst="rect">
                      <a:avLst/>
                    </a:prstGeom>
                    <a:noFill/>
                  </pic:spPr>
                </pic:pic>
              </a:graphicData>
            </a:graphic>
          </wp:inline>
        </w:drawing>
      </w:r>
    </w:p>
    <w:p w14:paraId="478C5AEB" w14:textId="12FDA652" w:rsidR="002E761A" w:rsidRPr="002E761A" w:rsidRDefault="002E761A" w:rsidP="0030705B">
      <w:pPr>
        <w:rPr>
          <w:b/>
          <w:bCs/>
          <w:lang w:val="en-US"/>
        </w:rPr>
      </w:pPr>
      <w:r w:rsidRPr="002E761A">
        <w:rPr>
          <w:b/>
          <w:bCs/>
          <w:lang w:val="en-US"/>
        </w:rPr>
        <w:t>Proposal</w:t>
      </w:r>
      <w:r w:rsidR="00B20A2C">
        <w:rPr>
          <w:b/>
          <w:bCs/>
          <w:lang w:val="en-US"/>
        </w:rPr>
        <w:t xml:space="preserve"> 3</w:t>
      </w:r>
      <w:r w:rsidRPr="002E761A">
        <w:rPr>
          <w:b/>
          <w:bCs/>
          <w:lang w:val="en-US"/>
        </w:rPr>
        <w:t>:  Asymmetric channel bandwidths of 50+100, 50+200, and 50+400 MHz are considered for the Ka band.</w:t>
      </w:r>
    </w:p>
    <w:p w14:paraId="5ACC6175" w14:textId="513F5840" w:rsidR="000179B3" w:rsidRDefault="000179B3" w:rsidP="000179B3">
      <w:pPr>
        <w:pStyle w:val="Heading2"/>
        <w:rPr>
          <w:lang w:val="en-US"/>
        </w:rPr>
      </w:pPr>
      <w:r>
        <w:rPr>
          <w:lang w:val="en-US"/>
        </w:rPr>
        <w:t>Channel raster and sync raster</w:t>
      </w:r>
    </w:p>
    <w:p w14:paraId="5A58FEE2" w14:textId="77777777" w:rsidR="007411CE" w:rsidRDefault="007411CE" w:rsidP="007411CE">
      <w:pPr>
        <w:rPr>
          <w:lang w:val="en-US"/>
        </w:rPr>
      </w:pPr>
      <w:r>
        <w:rPr>
          <w:lang w:val="en-US"/>
        </w:rPr>
        <w:t xml:space="preserve">The channel raster for FR2 current accommodates a frequency range from 24250 – 100000 </w:t>
      </w:r>
      <w:proofErr w:type="spellStart"/>
      <w:r>
        <w:rPr>
          <w:lang w:val="en-US"/>
        </w:rPr>
        <w:t>MHz.</w:t>
      </w:r>
      <w:proofErr w:type="spellEnd"/>
      <w:r>
        <w:rPr>
          <w:lang w:val="en-US"/>
        </w:rPr>
        <w:t xml:space="preserve">  The relationship between </w:t>
      </w:r>
      <w:proofErr w:type="spellStart"/>
      <w:r>
        <w:rPr>
          <w:lang w:val="en-US"/>
        </w:rPr>
        <w:t>between</w:t>
      </w:r>
      <w:proofErr w:type="spellEnd"/>
      <w:r>
        <w:rPr>
          <w:lang w:val="en-US"/>
        </w:rPr>
        <w:t xml:space="preserve"> the various parameters for NR-ARFCN are given by the equation</w:t>
      </w:r>
    </w:p>
    <w:p w14:paraId="1AF1504E" w14:textId="53B56FF6" w:rsidR="007411CE" w:rsidRDefault="007411CE" w:rsidP="007411CE">
      <w:pPr>
        <w:jc w:val="center"/>
      </w:pPr>
      <w:r w:rsidRPr="007411CE">
        <w:t>F</w:t>
      </w:r>
      <w:r w:rsidRPr="007411CE">
        <w:rPr>
          <w:vertAlign w:val="subscript"/>
        </w:rPr>
        <w:t>REF</w:t>
      </w:r>
      <w:r w:rsidRPr="007411CE">
        <w:t xml:space="preserve"> = F</w:t>
      </w:r>
      <w:r w:rsidRPr="007411CE">
        <w:rPr>
          <w:vertAlign w:val="subscript"/>
        </w:rPr>
        <w:t>REF-Offs</w:t>
      </w:r>
      <w:r w:rsidRPr="007411CE">
        <w:t xml:space="preserve"> + </w:t>
      </w:r>
      <w:proofErr w:type="spellStart"/>
      <w:r w:rsidRPr="007411CE">
        <w:t>ΔF</w:t>
      </w:r>
      <w:r w:rsidRPr="007411CE">
        <w:rPr>
          <w:vertAlign w:val="subscript"/>
        </w:rPr>
        <w:t>Global</w:t>
      </w:r>
      <w:proofErr w:type="spellEnd"/>
      <w:r w:rsidRPr="007411CE">
        <w:t xml:space="preserve"> (N</w:t>
      </w:r>
      <w:r w:rsidRPr="007411CE">
        <w:rPr>
          <w:vertAlign w:val="subscript"/>
        </w:rPr>
        <w:t>REF</w:t>
      </w:r>
      <w:r w:rsidRPr="007411CE">
        <w:t xml:space="preserve"> – N</w:t>
      </w:r>
      <w:r w:rsidRPr="007411CE">
        <w:rPr>
          <w:vertAlign w:val="subscript"/>
        </w:rPr>
        <w:t>REF-Offs</w:t>
      </w:r>
      <w:r w:rsidRPr="007411CE">
        <w:t>)</w:t>
      </w:r>
    </w:p>
    <w:p w14:paraId="72951D63" w14:textId="09B34C6E" w:rsidR="007411CE" w:rsidRDefault="007411CE" w:rsidP="007411CE">
      <w:r>
        <w:t>and parameters</w:t>
      </w:r>
    </w:p>
    <w:p w14:paraId="3E87DC4C" w14:textId="416C2915" w:rsidR="007411CE" w:rsidRPr="007411CE" w:rsidRDefault="007411CE" w:rsidP="007411CE">
      <w:pPr>
        <w:rPr>
          <w:lang w:val="en-US"/>
        </w:rPr>
      </w:pPr>
      <w:r w:rsidRPr="007411CE">
        <w:rPr>
          <w:noProof/>
        </w:rPr>
        <w:drawing>
          <wp:inline distT="0" distB="0" distL="0" distR="0" wp14:anchorId="6D70EBCF" wp14:editId="779B584F">
            <wp:extent cx="6115685" cy="837565"/>
            <wp:effectExtent l="0" t="0" r="0" b="0"/>
            <wp:docPr id="4" name="Picture 3">
              <a:extLst xmlns:a="http://schemas.openxmlformats.org/drawingml/2006/main">
                <a:ext uri="{FF2B5EF4-FFF2-40B4-BE49-F238E27FC236}">
                  <a16:creationId xmlns:a16="http://schemas.microsoft.com/office/drawing/2014/main" id="{17623861-779B-6DE7-73BE-8CCAAF07B1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7623861-779B-6DE7-73BE-8CCAAF07B14F}"/>
                        </a:ext>
                      </a:extLst>
                    </pic:cNvPr>
                    <pic:cNvPicPr>
                      <a:picLocks noChangeAspect="1"/>
                    </pic:cNvPicPr>
                  </pic:nvPicPr>
                  <pic:blipFill>
                    <a:blip r:embed="rId9"/>
                    <a:stretch>
                      <a:fillRect/>
                    </a:stretch>
                  </pic:blipFill>
                  <pic:spPr>
                    <a:xfrm>
                      <a:off x="0" y="0"/>
                      <a:ext cx="6115685" cy="837565"/>
                    </a:xfrm>
                    <a:prstGeom prst="rect">
                      <a:avLst/>
                    </a:prstGeom>
                  </pic:spPr>
                </pic:pic>
              </a:graphicData>
            </a:graphic>
          </wp:inline>
        </w:drawing>
      </w:r>
    </w:p>
    <w:p w14:paraId="062976CE" w14:textId="7EE1A54D" w:rsidR="000179B3" w:rsidRDefault="007411CE" w:rsidP="000179B3">
      <w:pPr>
        <w:rPr>
          <w:lang w:val="en-US"/>
        </w:rPr>
      </w:pPr>
      <w:r>
        <w:rPr>
          <w:lang w:val="en-US"/>
        </w:rPr>
        <w:t>To extend the frequency range down to 17.7 GHz, the lower range of N</w:t>
      </w:r>
      <w:r w:rsidRPr="007411CE">
        <w:rPr>
          <w:vertAlign w:val="subscript"/>
          <w:lang w:val="en-US"/>
        </w:rPr>
        <w:t>REF</w:t>
      </w:r>
      <w:r>
        <w:rPr>
          <w:lang w:val="en-US"/>
        </w:rPr>
        <w:t xml:space="preserve"> should be changed from 201667 to 1907499.  No other changes to the other parameters are anticipated.</w:t>
      </w:r>
    </w:p>
    <w:p w14:paraId="318F6526" w14:textId="45F02911" w:rsidR="00D33D93" w:rsidRDefault="00D33D93" w:rsidP="000179B3">
      <w:pPr>
        <w:rPr>
          <w:lang w:val="en-US"/>
        </w:rPr>
      </w:pPr>
      <w:r>
        <w:rPr>
          <w:lang w:val="en-US"/>
        </w:rPr>
        <w:t>Similarly, the sync raster parameters are given as</w:t>
      </w:r>
    </w:p>
    <w:p w14:paraId="29645DD3" w14:textId="70AF1C6E" w:rsidR="00D33D93" w:rsidRPr="000179B3" w:rsidRDefault="00D33D93" w:rsidP="000179B3">
      <w:pPr>
        <w:rPr>
          <w:lang w:val="en-US"/>
        </w:rPr>
      </w:pPr>
      <w:r w:rsidRPr="00D33D93">
        <w:rPr>
          <w:noProof/>
        </w:rPr>
        <w:drawing>
          <wp:inline distT="0" distB="0" distL="0" distR="0" wp14:anchorId="08E2A133" wp14:editId="55BD05BF">
            <wp:extent cx="6115685" cy="958850"/>
            <wp:effectExtent l="0" t="0" r="0" b="0"/>
            <wp:docPr id="6" name="Picture 5">
              <a:extLst xmlns:a="http://schemas.openxmlformats.org/drawingml/2006/main">
                <a:ext uri="{FF2B5EF4-FFF2-40B4-BE49-F238E27FC236}">
                  <a16:creationId xmlns:a16="http://schemas.microsoft.com/office/drawing/2014/main" id="{8C41047E-3485-68BF-982A-886E026AE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C41047E-3485-68BF-982A-886E026AE90A}"/>
                        </a:ext>
                      </a:extLst>
                    </pic:cNvPr>
                    <pic:cNvPicPr>
                      <a:picLocks noChangeAspect="1"/>
                    </pic:cNvPicPr>
                  </pic:nvPicPr>
                  <pic:blipFill>
                    <a:blip r:embed="rId10"/>
                    <a:stretch>
                      <a:fillRect/>
                    </a:stretch>
                  </pic:blipFill>
                  <pic:spPr>
                    <a:xfrm>
                      <a:off x="0" y="0"/>
                      <a:ext cx="6115685" cy="958850"/>
                    </a:xfrm>
                    <a:prstGeom prst="rect">
                      <a:avLst/>
                    </a:prstGeom>
                  </pic:spPr>
                </pic:pic>
              </a:graphicData>
            </a:graphic>
          </wp:inline>
        </w:drawing>
      </w:r>
    </w:p>
    <w:p w14:paraId="2604C43F" w14:textId="6C92F7D7" w:rsidR="000179B3" w:rsidRDefault="00D33D93" w:rsidP="0030705B">
      <w:pPr>
        <w:rPr>
          <w:lang w:val="en-US"/>
        </w:rPr>
      </w:pPr>
      <w:r>
        <w:rPr>
          <w:lang w:val="en-US"/>
        </w:rPr>
        <w:t>To enable indexing a frequency range down to 17.7 GHz, the allowable values of N should extend below 0, i.e., N can be a negative number.  However, the GSCN remains positive since it is offset by 22256.  A GSCN value of 21877 is required which corresponds to an N value of -379.  The extension of the channel raster and sync raster are only necessary in TS 38.101-5 and TS 38.108.</w:t>
      </w:r>
    </w:p>
    <w:p w14:paraId="5D3AEF69" w14:textId="24F2B29D" w:rsidR="00D33D93" w:rsidRDefault="00D33D93" w:rsidP="0030705B">
      <w:pPr>
        <w:rPr>
          <w:lang w:val="en-US"/>
        </w:rPr>
      </w:pPr>
      <w:r>
        <w:rPr>
          <w:lang w:val="en-US"/>
        </w:rPr>
        <w:t>If it is agreed to extend indexing down as low as 10 GHz, the values would need to be further modified but since the example band is agreed in the Ka band frequency range, extending the values down to 10 GHz may not be needed at this time.</w:t>
      </w:r>
    </w:p>
    <w:p w14:paraId="0DBB063B" w14:textId="2FFB1B0A" w:rsidR="00895176" w:rsidRPr="00895176" w:rsidRDefault="00895176" w:rsidP="0030705B">
      <w:pPr>
        <w:rPr>
          <w:b/>
          <w:bCs/>
          <w:lang w:val="en-US"/>
        </w:rPr>
      </w:pPr>
      <w:r w:rsidRPr="00895176">
        <w:rPr>
          <w:b/>
          <w:bCs/>
          <w:lang w:val="en-US"/>
        </w:rPr>
        <w:t>Proposal</w:t>
      </w:r>
      <w:r w:rsidR="00B20A2C">
        <w:rPr>
          <w:b/>
          <w:bCs/>
          <w:lang w:val="en-US"/>
        </w:rPr>
        <w:t xml:space="preserve"> 4</w:t>
      </w:r>
      <w:r w:rsidRPr="00895176">
        <w:rPr>
          <w:b/>
          <w:bCs/>
          <w:lang w:val="en-US"/>
        </w:rPr>
        <w:t>:  Channel raster and sync raster indexing is extended down to 17.7 GHz in TS 38.101-5 and TS 38.108.</w:t>
      </w:r>
    </w:p>
    <w:p w14:paraId="307A2517" w14:textId="11D49F5F" w:rsidR="00895176" w:rsidRDefault="00895176" w:rsidP="00895176">
      <w:pPr>
        <w:pStyle w:val="Heading2"/>
        <w:rPr>
          <w:lang w:val="en-US"/>
        </w:rPr>
      </w:pPr>
      <w:r>
        <w:rPr>
          <w:lang w:val="en-US"/>
        </w:rPr>
        <w:t>FDD</w:t>
      </w:r>
    </w:p>
    <w:p w14:paraId="17659E64" w14:textId="439C802D" w:rsidR="00895176" w:rsidRDefault="00E03F26" w:rsidP="0030705B">
      <w:pPr>
        <w:rPr>
          <w:lang w:val="en-US"/>
        </w:rPr>
      </w:pPr>
      <w:r>
        <w:rPr>
          <w:lang w:val="en-US"/>
        </w:rPr>
        <w:t xml:space="preserve">The Tx-Rx separation for FDD bands is expected to be specified in 38.101-5.  </w:t>
      </w:r>
      <w:r w:rsidR="003B5E37">
        <w:rPr>
          <w:lang w:val="en-US"/>
        </w:rPr>
        <w:t>By inspection the duplex options for Ka band appear to be 9.3 GHz and 9.8 GHz.  The uplink and downlink frequency ranges are according to [2] but are subject to change depending on the discussion in RAN4 on the exact band definition.</w:t>
      </w:r>
    </w:p>
    <w:p w14:paraId="65EE26CC" w14:textId="2FF77563" w:rsidR="003B5E37" w:rsidRDefault="003B5E37" w:rsidP="0030705B">
      <w:pPr>
        <w:rPr>
          <w:lang w:val="en-US"/>
        </w:rPr>
      </w:pPr>
      <w:r w:rsidRPr="003B5E37">
        <w:rPr>
          <w:noProof/>
        </w:rPr>
        <w:drawing>
          <wp:inline distT="0" distB="0" distL="0" distR="0" wp14:anchorId="33601763" wp14:editId="5B672FEF">
            <wp:extent cx="6115685" cy="1127760"/>
            <wp:effectExtent l="0" t="0" r="0" b="0"/>
            <wp:docPr id="1" name="Picture 3">
              <a:extLst xmlns:a="http://schemas.openxmlformats.org/drawingml/2006/main">
                <a:ext uri="{FF2B5EF4-FFF2-40B4-BE49-F238E27FC236}">
                  <a16:creationId xmlns:a16="http://schemas.microsoft.com/office/drawing/2014/main" id="{D9AECD37-1FBF-FECD-27AE-0188BA65A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9AECD37-1FBF-FECD-27AE-0188BA65AC13}"/>
                        </a:ext>
                      </a:extLst>
                    </pic:cNvPr>
                    <pic:cNvPicPr>
                      <a:picLocks noChangeAspect="1"/>
                    </pic:cNvPicPr>
                  </pic:nvPicPr>
                  <pic:blipFill>
                    <a:blip r:embed="rId11"/>
                    <a:stretch>
                      <a:fillRect/>
                    </a:stretch>
                  </pic:blipFill>
                  <pic:spPr>
                    <a:xfrm>
                      <a:off x="0" y="0"/>
                      <a:ext cx="6115685" cy="1127760"/>
                    </a:xfrm>
                    <a:prstGeom prst="rect">
                      <a:avLst/>
                    </a:prstGeom>
                  </pic:spPr>
                </pic:pic>
              </a:graphicData>
            </a:graphic>
          </wp:inline>
        </w:drawing>
      </w:r>
    </w:p>
    <w:p w14:paraId="435F208B" w14:textId="430D2DDD" w:rsidR="00660048" w:rsidRPr="00660048" w:rsidRDefault="00660048" w:rsidP="0030705B">
      <w:pPr>
        <w:rPr>
          <w:b/>
          <w:bCs/>
          <w:lang w:val="en-US"/>
        </w:rPr>
      </w:pPr>
      <w:r w:rsidRPr="00660048">
        <w:rPr>
          <w:b/>
          <w:bCs/>
          <w:lang w:val="en-US"/>
        </w:rPr>
        <w:lastRenderedPageBreak/>
        <w:t>Proposal</w:t>
      </w:r>
      <w:r w:rsidR="00B20A2C">
        <w:rPr>
          <w:b/>
          <w:bCs/>
          <w:lang w:val="en-US"/>
        </w:rPr>
        <w:t xml:space="preserve"> 5</w:t>
      </w:r>
      <w:r w:rsidRPr="00660048">
        <w:rPr>
          <w:b/>
          <w:bCs/>
          <w:lang w:val="en-US"/>
        </w:rPr>
        <w:t>:  Tx-Rx separation values of -9.3 GHz and -9.8 GHz are specified for Ka band.</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77D8C6CD" w:rsidR="001F0242" w:rsidRDefault="003C5105" w:rsidP="001F0242">
      <w:pPr>
        <w:rPr>
          <w:lang w:val="en-US"/>
        </w:rPr>
      </w:pPr>
      <w:r>
        <w:rPr>
          <w:lang w:val="en-US"/>
        </w:rPr>
        <w:t xml:space="preserve">This contribution </w:t>
      </w:r>
      <w:r w:rsidR="002E761A">
        <w:rPr>
          <w:lang w:val="en-US"/>
        </w:rPr>
        <w:t xml:space="preserve">introduces some of the system parameters to be considered for the NTN Ka band.  Aspects related to frequency range, channel bandwidth and SCS, channel raster and sync raster, and FDD duplex spacing are considered with </w:t>
      </w:r>
      <w:r w:rsidR="00B20A2C">
        <w:rPr>
          <w:lang w:val="en-US"/>
        </w:rPr>
        <w:t xml:space="preserve">the following </w:t>
      </w:r>
      <w:r w:rsidR="002E761A">
        <w:rPr>
          <w:lang w:val="en-US"/>
        </w:rPr>
        <w:t>proposals presented for consideration.</w:t>
      </w:r>
    </w:p>
    <w:p w14:paraId="52C8C30B" w14:textId="6C406629" w:rsidR="00B20A2C" w:rsidRPr="00897554" w:rsidRDefault="00B20A2C" w:rsidP="00B20A2C">
      <w:pPr>
        <w:rPr>
          <w:b/>
          <w:bCs/>
          <w:lang w:val="en-US"/>
        </w:rPr>
      </w:pPr>
      <w:r w:rsidRPr="00897554">
        <w:rPr>
          <w:b/>
          <w:bCs/>
          <w:lang w:val="en-US"/>
        </w:rPr>
        <w:t>Proposal</w:t>
      </w:r>
      <w:r>
        <w:rPr>
          <w:b/>
          <w:bCs/>
          <w:lang w:val="en-US"/>
        </w:rPr>
        <w:t xml:space="preserve"> 1</w:t>
      </w:r>
      <w:r w:rsidRPr="00897554">
        <w:rPr>
          <w:b/>
          <w:bCs/>
          <w:lang w:val="en-US"/>
        </w:rPr>
        <w:t xml:space="preserve">:  Ka band follows FR2 requirements by adding a note in TS 38.101-5 and TS 38.108 rather than by changing the FR2 frequency range itself. </w:t>
      </w:r>
    </w:p>
    <w:p w14:paraId="4A8445AE" w14:textId="6C1C1AEE" w:rsidR="00B20A2C" w:rsidRDefault="00B20A2C" w:rsidP="00B20A2C">
      <w:pPr>
        <w:rPr>
          <w:b/>
          <w:bCs/>
          <w:lang w:val="en-US"/>
        </w:rPr>
      </w:pPr>
      <w:r w:rsidRPr="004F6D2E">
        <w:rPr>
          <w:b/>
          <w:bCs/>
          <w:lang w:val="en-US"/>
        </w:rPr>
        <w:t>Proposal</w:t>
      </w:r>
      <w:r>
        <w:rPr>
          <w:b/>
          <w:bCs/>
          <w:lang w:val="en-US"/>
        </w:rPr>
        <w:t xml:space="preserve"> 2</w:t>
      </w:r>
      <w:r w:rsidRPr="004F6D2E">
        <w:rPr>
          <w:b/>
          <w:bCs/>
          <w:lang w:val="en-US"/>
        </w:rPr>
        <w:t>:  50, 100, and 200 MHz channel bandwidth with 60 kHz SCS.  50, 100, 200, and 400 MHz channel bandwidth with 120 kHz SCS.  400 MHz channel bandwidth is optional in this release of the specification.</w:t>
      </w:r>
    </w:p>
    <w:p w14:paraId="663FA6F5" w14:textId="3AE2880F" w:rsidR="00B20A2C" w:rsidRPr="002E761A" w:rsidRDefault="00B20A2C" w:rsidP="00B20A2C">
      <w:pPr>
        <w:rPr>
          <w:b/>
          <w:bCs/>
          <w:lang w:val="en-US"/>
        </w:rPr>
      </w:pPr>
      <w:r w:rsidRPr="002E761A">
        <w:rPr>
          <w:b/>
          <w:bCs/>
          <w:lang w:val="en-US"/>
        </w:rPr>
        <w:t>Proposal</w:t>
      </w:r>
      <w:r>
        <w:rPr>
          <w:b/>
          <w:bCs/>
          <w:lang w:val="en-US"/>
        </w:rPr>
        <w:t xml:space="preserve"> 3</w:t>
      </w:r>
      <w:r w:rsidRPr="002E761A">
        <w:rPr>
          <w:b/>
          <w:bCs/>
          <w:lang w:val="en-US"/>
        </w:rPr>
        <w:t>:  Asymmetric channel bandwidths of 50+100, 50+200, and 50+400 MHz are considered for the Ka band.</w:t>
      </w:r>
    </w:p>
    <w:p w14:paraId="7A463169" w14:textId="1F18EADC" w:rsidR="00B20A2C" w:rsidRPr="00895176" w:rsidRDefault="00B20A2C" w:rsidP="00B20A2C">
      <w:pPr>
        <w:rPr>
          <w:b/>
          <w:bCs/>
          <w:lang w:val="en-US"/>
        </w:rPr>
      </w:pPr>
      <w:r w:rsidRPr="00895176">
        <w:rPr>
          <w:b/>
          <w:bCs/>
          <w:lang w:val="en-US"/>
        </w:rPr>
        <w:t>Proposal</w:t>
      </w:r>
      <w:r>
        <w:rPr>
          <w:b/>
          <w:bCs/>
          <w:lang w:val="en-US"/>
        </w:rPr>
        <w:t xml:space="preserve"> 4</w:t>
      </w:r>
      <w:r w:rsidRPr="00895176">
        <w:rPr>
          <w:b/>
          <w:bCs/>
          <w:lang w:val="en-US"/>
        </w:rPr>
        <w:t>:  Channel raster and sync raster indexing is extended down to 17.7 GHz in TS 38.101-5 and TS 38.108.</w:t>
      </w:r>
    </w:p>
    <w:p w14:paraId="17BF4F7B" w14:textId="29A8B9BC" w:rsidR="00B20A2C" w:rsidRPr="00660048" w:rsidRDefault="00B20A2C" w:rsidP="00B20A2C">
      <w:pPr>
        <w:rPr>
          <w:b/>
          <w:bCs/>
          <w:lang w:val="en-US"/>
        </w:rPr>
      </w:pPr>
      <w:r w:rsidRPr="00660048">
        <w:rPr>
          <w:b/>
          <w:bCs/>
          <w:lang w:val="en-US"/>
        </w:rPr>
        <w:t>Proposal</w:t>
      </w:r>
      <w:r>
        <w:rPr>
          <w:b/>
          <w:bCs/>
          <w:lang w:val="en-US"/>
        </w:rPr>
        <w:t xml:space="preserve"> 5</w:t>
      </w:r>
      <w:r w:rsidRPr="00660048">
        <w:rPr>
          <w:b/>
          <w:bCs/>
          <w:lang w:val="en-US"/>
        </w:rPr>
        <w:t>:  Tx-Rx separation values of -9.3 GHz and -9.8 GHz are specified for Ka band.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C459C71" w14:textId="15A91FCF" w:rsidR="00F34DD7" w:rsidRDefault="00F34DD7" w:rsidP="00D23312">
      <w:pPr>
        <w:numPr>
          <w:ilvl w:val="0"/>
          <w:numId w:val="2"/>
        </w:numPr>
        <w:tabs>
          <w:tab w:val="left" w:pos="1080"/>
        </w:tabs>
        <w:rPr>
          <w:lang w:val="en-US" w:eastAsia="x-none"/>
        </w:rPr>
      </w:pPr>
      <w:bookmarkStart w:id="0" w:name="_Hlk859252"/>
      <w:r>
        <w:rPr>
          <w:lang w:val="en-US" w:eastAsia="x-none"/>
        </w:rPr>
        <w:t>RP-222654, “</w:t>
      </w:r>
      <w:r w:rsidR="00302248" w:rsidRPr="00302248">
        <w:rPr>
          <w:lang w:val="en-US" w:eastAsia="x-none"/>
        </w:rPr>
        <w:t>Revised WID: NR NTN (Non-Terrestrial Networks) enhancements</w:t>
      </w:r>
      <w:r w:rsidR="00302248">
        <w:rPr>
          <w:lang w:val="en-US" w:eastAsia="x-none"/>
        </w:rPr>
        <w:t>,” Thales</w:t>
      </w:r>
      <w:bookmarkEnd w:id="0"/>
    </w:p>
    <w:p w14:paraId="1435F8FB" w14:textId="07192D71" w:rsidR="003B5E37" w:rsidRDefault="003B5E37" w:rsidP="00D23312">
      <w:pPr>
        <w:numPr>
          <w:ilvl w:val="0"/>
          <w:numId w:val="2"/>
        </w:numPr>
        <w:tabs>
          <w:tab w:val="left" w:pos="1080"/>
        </w:tabs>
        <w:rPr>
          <w:lang w:val="en-US" w:eastAsia="x-none"/>
        </w:rPr>
      </w:pPr>
      <w:r>
        <w:rPr>
          <w:lang w:val="en-US" w:eastAsia="x-none"/>
        </w:rPr>
        <w:t>RP-210439, “</w:t>
      </w:r>
      <w:r w:rsidRPr="003B5E37">
        <w:rPr>
          <w:lang w:val="en-US" w:eastAsia="x-none"/>
        </w:rPr>
        <w:t>Ka-band proposed as exemplary band for NR-NTN in Rel-17</w:t>
      </w:r>
      <w:r>
        <w:rPr>
          <w:lang w:val="en-US" w:eastAsia="x-none"/>
        </w:rPr>
        <w:t xml:space="preserve">,” </w:t>
      </w:r>
      <w:r w:rsidRPr="003B5E37">
        <w:rPr>
          <w:lang w:val="en-US" w:eastAsia="x-none"/>
        </w:rPr>
        <w:t>Hughes, Inmarsat, Thales, Panasonic, Fraunhofer, ESA, Intelsat</w:t>
      </w:r>
    </w:p>
    <w:sectPr w:rsidR="003B5E37"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3E077" w14:textId="77777777" w:rsidR="00BC1B9A" w:rsidRDefault="00BC1B9A">
      <w:r>
        <w:separator/>
      </w:r>
    </w:p>
  </w:endnote>
  <w:endnote w:type="continuationSeparator" w:id="0">
    <w:p w14:paraId="7D7E77BA" w14:textId="77777777" w:rsidR="00BC1B9A" w:rsidRDefault="00BC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9367" w14:textId="77777777" w:rsidR="00BC1B9A" w:rsidRDefault="00BC1B9A">
      <w:r>
        <w:separator/>
      </w:r>
    </w:p>
  </w:footnote>
  <w:footnote w:type="continuationSeparator" w:id="0">
    <w:p w14:paraId="19A50C31" w14:textId="77777777" w:rsidR="00BC1B9A" w:rsidRDefault="00BC1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C21D8"/>
    <w:multiLevelType w:val="hybridMultilevel"/>
    <w:tmpl w:val="4148F82E"/>
    <w:lvl w:ilvl="0" w:tplc="8BCC9BCA">
      <w:start w:val="1"/>
      <w:numFmt w:val="bullet"/>
      <w:lvlText w:val="•"/>
      <w:lvlJc w:val="left"/>
      <w:pPr>
        <w:tabs>
          <w:tab w:val="num" w:pos="720"/>
        </w:tabs>
        <w:ind w:left="720" w:hanging="360"/>
      </w:pPr>
      <w:rPr>
        <w:rFonts w:ascii="Arial" w:hAnsi="Arial" w:hint="default"/>
      </w:rPr>
    </w:lvl>
    <w:lvl w:ilvl="1" w:tplc="33E090F6">
      <w:start w:val="1"/>
      <w:numFmt w:val="bullet"/>
      <w:lvlText w:val="•"/>
      <w:lvlJc w:val="left"/>
      <w:pPr>
        <w:tabs>
          <w:tab w:val="num" w:pos="1440"/>
        </w:tabs>
        <w:ind w:left="1440" w:hanging="360"/>
      </w:pPr>
      <w:rPr>
        <w:rFonts w:ascii="Arial" w:hAnsi="Arial" w:hint="default"/>
      </w:rPr>
    </w:lvl>
    <w:lvl w:ilvl="2" w:tplc="C860971A" w:tentative="1">
      <w:start w:val="1"/>
      <w:numFmt w:val="bullet"/>
      <w:lvlText w:val="•"/>
      <w:lvlJc w:val="left"/>
      <w:pPr>
        <w:tabs>
          <w:tab w:val="num" w:pos="2160"/>
        </w:tabs>
        <w:ind w:left="2160" w:hanging="360"/>
      </w:pPr>
      <w:rPr>
        <w:rFonts w:ascii="Arial" w:hAnsi="Arial" w:hint="default"/>
      </w:rPr>
    </w:lvl>
    <w:lvl w:ilvl="3" w:tplc="5DB8C54E" w:tentative="1">
      <w:start w:val="1"/>
      <w:numFmt w:val="bullet"/>
      <w:lvlText w:val="•"/>
      <w:lvlJc w:val="left"/>
      <w:pPr>
        <w:tabs>
          <w:tab w:val="num" w:pos="2880"/>
        </w:tabs>
        <w:ind w:left="2880" w:hanging="360"/>
      </w:pPr>
      <w:rPr>
        <w:rFonts w:ascii="Arial" w:hAnsi="Arial" w:hint="default"/>
      </w:rPr>
    </w:lvl>
    <w:lvl w:ilvl="4" w:tplc="DE1A16B6" w:tentative="1">
      <w:start w:val="1"/>
      <w:numFmt w:val="bullet"/>
      <w:lvlText w:val="•"/>
      <w:lvlJc w:val="left"/>
      <w:pPr>
        <w:tabs>
          <w:tab w:val="num" w:pos="3600"/>
        </w:tabs>
        <w:ind w:left="3600" w:hanging="360"/>
      </w:pPr>
      <w:rPr>
        <w:rFonts w:ascii="Arial" w:hAnsi="Arial" w:hint="default"/>
      </w:rPr>
    </w:lvl>
    <w:lvl w:ilvl="5" w:tplc="A1EC557E" w:tentative="1">
      <w:start w:val="1"/>
      <w:numFmt w:val="bullet"/>
      <w:lvlText w:val="•"/>
      <w:lvlJc w:val="left"/>
      <w:pPr>
        <w:tabs>
          <w:tab w:val="num" w:pos="4320"/>
        </w:tabs>
        <w:ind w:left="4320" w:hanging="360"/>
      </w:pPr>
      <w:rPr>
        <w:rFonts w:ascii="Arial" w:hAnsi="Arial" w:hint="default"/>
      </w:rPr>
    </w:lvl>
    <w:lvl w:ilvl="6" w:tplc="5D62E2DE" w:tentative="1">
      <w:start w:val="1"/>
      <w:numFmt w:val="bullet"/>
      <w:lvlText w:val="•"/>
      <w:lvlJc w:val="left"/>
      <w:pPr>
        <w:tabs>
          <w:tab w:val="num" w:pos="5040"/>
        </w:tabs>
        <w:ind w:left="5040" w:hanging="360"/>
      </w:pPr>
      <w:rPr>
        <w:rFonts w:ascii="Arial" w:hAnsi="Arial" w:hint="default"/>
      </w:rPr>
    </w:lvl>
    <w:lvl w:ilvl="7" w:tplc="E2324340" w:tentative="1">
      <w:start w:val="1"/>
      <w:numFmt w:val="bullet"/>
      <w:lvlText w:val="•"/>
      <w:lvlJc w:val="left"/>
      <w:pPr>
        <w:tabs>
          <w:tab w:val="num" w:pos="5760"/>
        </w:tabs>
        <w:ind w:left="5760" w:hanging="360"/>
      </w:pPr>
      <w:rPr>
        <w:rFonts w:ascii="Arial" w:hAnsi="Arial" w:hint="default"/>
      </w:rPr>
    </w:lvl>
    <w:lvl w:ilvl="8" w:tplc="461AB3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8"/>
  </w:num>
  <w:num w:numId="3" w16cid:durableId="30959319">
    <w:abstractNumId w:val="32"/>
  </w:num>
  <w:num w:numId="4" w16cid:durableId="1579515455">
    <w:abstractNumId w:val="35"/>
  </w:num>
  <w:num w:numId="5" w16cid:durableId="1213884486">
    <w:abstractNumId w:val="26"/>
  </w:num>
  <w:num w:numId="6" w16cid:durableId="895549640">
    <w:abstractNumId w:val="11"/>
  </w:num>
  <w:num w:numId="7" w16cid:durableId="1494643654">
    <w:abstractNumId w:val="3"/>
  </w:num>
  <w:num w:numId="8" w16cid:durableId="1777947175">
    <w:abstractNumId w:val="31"/>
  </w:num>
  <w:num w:numId="9" w16cid:durableId="461308997">
    <w:abstractNumId w:val="12"/>
  </w:num>
  <w:num w:numId="10" w16cid:durableId="1624651259">
    <w:abstractNumId w:val="23"/>
  </w:num>
  <w:num w:numId="11" w16cid:durableId="1362783709">
    <w:abstractNumId w:val="37"/>
  </w:num>
  <w:num w:numId="12" w16cid:durableId="1425344883">
    <w:abstractNumId w:val="10"/>
  </w:num>
  <w:num w:numId="13" w16cid:durableId="2073697746">
    <w:abstractNumId w:val="20"/>
  </w:num>
  <w:num w:numId="14" w16cid:durableId="866678966">
    <w:abstractNumId w:val="5"/>
  </w:num>
  <w:num w:numId="15" w16cid:durableId="1666591006">
    <w:abstractNumId w:val="19"/>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4"/>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2"/>
  </w:num>
  <w:num w:numId="28" w16cid:durableId="126902088">
    <w:abstractNumId w:val="24"/>
  </w:num>
  <w:num w:numId="29" w16cid:durableId="906383168">
    <w:abstractNumId w:val="29"/>
  </w:num>
  <w:num w:numId="30" w16cid:durableId="1341155545">
    <w:abstractNumId w:val="6"/>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6"/>
  </w:num>
  <w:num w:numId="36" w16cid:durableId="1071586423">
    <w:abstractNumId w:val="2"/>
  </w:num>
  <w:num w:numId="37" w16cid:durableId="1338195957">
    <w:abstractNumId w:val="30"/>
  </w:num>
  <w:num w:numId="38" w16cid:durableId="1058632768">
    <w:abstractNumId w:val="7"/>
  </w:num>
  <w:num w:numId="39" w16cid:durableId="1014115387">
    <w:abstractNumId w:val="21"/>
  </w:num>
  <w:num w:numId="40" w16cid:durableId="13545743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9B3"/>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6ED"/>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51C"/>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1A"/>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48"/>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05B"/>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E37"/>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6D2E"/>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22A"/>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AFE"/>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6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048"/>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11CE"/>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76"/>
    <w:rsid w:val="008951A8"/>
    <w:rsid w:val="008956BD"/>
    <w:rsid w:val="00895737"/>
    <w:rsid w:val="0089624D"/>
    <w:rsid w:val="008968D7"/>
    <w:rsid w:val="00896DB2"/>
    <w:rsid w:val="00896EB8"/>
    <w:rsid w:val="00897554"/>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51D"/>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88B"/>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2C"/>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11E"/>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64F"/>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B9A"/>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1EAC"/>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3D93"/>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0F8"/>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3F26"/>
    <w:rsid w:val="00E040AF"/>
    <w:rsid w:val="00E04392"/>
    <w:rsid w:val="00E045B1"/>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4DD7"/>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6836309">
      <w:bodyDiv w:val="1"/>
      <w:marLeft w:val="0"/>
      <w:marRight w:val="0"/>
      <w:marTop w:val="0"/>
      <w:marBottom w:val="0"/>
      <w:divBdr>
        <w:top w:val="none" w:sz="0" w:space="0" w:color="auto"/>
        <w:left w:val="none" w:sz="0" w:space="0" w:color="auto"/>
        <w:bottom w:val="none" w:sz="0" w:space="0" w:color="auto"/>
        <w:right w:val="none" w:sz="0" w:space="0" w:color="auto"/>
      </w:divBdr>
      <w:divsChild>
        <w:div w:id="2119988770">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365322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1026</Words>
  <Characters>5057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2022-09-30T16:11:00Z</dcterms:created>
  <dcterms:modified xsi:type="dcterms:W3CDTF">2022-09-30T16:11:00Z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