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2FED" w14:textId="23B1631D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5E3C29">
        <w:rPr>
          <w:b/>
          <w:noProof/>
          <w:sz w:val="24"/>
        </w:rPr>
        <w:t>bis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5A1630" w:rsidRPr="005A1630">
        <w:rPr>
          <w:b/>
          <w:noProof/>
          <w:sz w:val="24"/>
        </w:rPr>
        <w:t>R4-22</w:t>
      </w:r>
      <w:r w:rsidR="00D27600" w:rsidRPr="00D27600">
        <w:rPr>
          <w:b/>
          <w:noProof/>
          <w:sz w:val="24"/>
        </w:rPr>
        <w:t>15342</w:t>
      </w:r>
    </w:p>
    <w:p w14:paraId="5E26755C" w14:textId="77777777" w:rsidR="001512D7" w:rsidRPr="0010618D" w:rsidRDefault="005E3C29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Oct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471283C" w14:textId="7777777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C3810">
        <w:rPr>
          <w:rFonts w:ascii="Arial" w:hAnsi="Arial" w:cs="Arial"/>
          <w:b/>
        </w:rPr>
        <w:t>BS</w:t>
      </w:r>
      <w:r w:rsidR="002815EC" w:rsidRPr="002815EC">
        <w:rPr>
          <w:rFonts w:ascii="Arial" w:hAnsi="Arial" w:cs="Arial"/>
          <w:b/>
        </w:rPr>
        <w:t xml:space="preserve"> requirements for 5G terrestrial broadcast</w:t>
      </w:r>
    </w:p>
    <w:p w14:paraId="042149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0C0068B0" w14:textId="18F5094F" w:rsidR="002B09A1" w:rsidRPr="00B53D7C" w:rsidRDefault="002B09A1" w:rsidP="000F7ECB">
      <w:pPr>
        <w:spacing w:after="60"/>
        <w:ind w:left="1985" w:hanging="1985"/>
        <w:rPr>
          <w:rFonts w:ascii="Arial" w:hAnsi="Arial" w:cs="Arial"/>
          <w:b/>
          <w:lang w:val="de-DE"/>
        </w:rPr>
      </w:pPr>
      <w:r w:rsidRPr="00B53D7C">
        <w:rPr>
          <w:rFonts w:ascii="Arial" w:hAnsi="Arial" w:cs="Arial"/>
          <w:b/>
          <w:lang w:val="de-DE"/>
        </w:rPr>
        <w:t>Source:</w:t>
      </w:r>
      <w:r w:rsidRPr="00B53D7C">
        <w:rPr>
          <w:rFonts w:ascii="Arial" w:hAnsi="Arial" w:cs="Arial"/>
          <w:b/>
          <w:lang w:val="de-DE"/>
        </w:rPr>
        <w:tab/>
      </w:r>
      <w:r w:rsidR="009C3810" w:rsidRPr="00B53D7C">
        <w:rPr>
          <w:rFonts w:ascii="Arial" w:hAnsi="Arial" w:cs="Arial"/>
          <w:b/>
          <w:lang w:val="de-DE"/>
        </w:rPr>
        <w:t>SWR, EBU</w:t>
      </w:r>
      <w:r w:rsidR="00B53D7C" w:rsidRPr="00B53D7C">
        <w:rPr>
          <w:rFonts w:ascii="Arial" w:hAnsi="Arial" w:cs="Arial"/>
          <w:b/>
          <w:lang w:val="de-DE"/>
        </w:rPr>
        <w:t xml:space="preserve">, </w:t>
      </w:r>
      <w:proofErr w:type="spellStart"/>
      <w:r w:rsidR="00B53D7C" w:rsidRPr="00B53D7C">
        <w:rPr>
          <w:rFonts w:ascii="Arial" w:hAnsi="Arial" w:cs="Arial"/>
          <w:b/>
          <w:lang w:val="de-DE"/>
        </w:rPr>
        <w:t>Rohde&amp;Schwarz</w:t>
      </w:r>
      <w:proofErr w:type="spellEnd"/>
    </w:p>
    <w:p w14:paraId="06BCE3A9" w14:textId="77777777" w:rsidR="0010618D" w:rsidRPr="00B53D7C" w:rsidRDefault="0010618D" w:rsidP="000F7EC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77674F5" w14:textId="4178FA70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E01C1">
        <w:rPr>
          <w:rFonts w:ascii="Arial" w:hAnsi="Arial" w:cs="Arial"/>
          <w:b/>
        </w:rPr>
        <w:t>7.4</w:t>
      </w:r>
      <w:r w:rsidR="00D27600">
        <w:rPr>
          <w:rFonts w:ascii="Arial" w:hAnsi="Arial" w:cs="Arial"/>
          <w:b/>
        </w:rPr>
        <w:t>.4</w:t>
      </w:r>
    </w:p>
    <w:p w14:paraId="36719513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3E70CAFA" w14:textId="77777777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420BF9" w:rsidRPr="00420BF9">
        <w:rPr>
          <w:rFonts w:ascii="Arial" w:hAnsi="Arial" w:cs="Arial"/>
          <w:b/>
        </w:rPr>
        <w:t>LTE_terr_bcast_bands_part2-Core</w:t>
      </w:r>
    </w:p>
    <w:p w14:paraId="0827A0D5" w14:textId="77777777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790315">
        <w:rPr>
          <w:rFonts w:ascii="Arial" w:hAnsi="Arial" w:cs="Arial"/>
          <w:b/>
        </w:rPr>
        <w:t>4</w:t>
      </w:r>
    </w:p>
    <w:p w14:paraId="7351ADD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F872697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1EE030B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9B9CFB9" w14:textId="77777777" w:rsidR="0045428D" w:rsidRDefault="000A567D" w:rsidP="002A1C01">
      <w:pPr>
        <w:pStyle w:val="berschrift1"/>
      </w:pPr>
      <w:r>
        <w:t>1.</w:t>
      </w:r>
      <w:r>
        <w:tab/>
      </w:r>
      <w:r w:rsidR="002A1C01">
        <w:t>Introduction</w:t>
      </w:r>
    </w:p>
    <w:p w14:paraId="0862ADA0" w14:textId="77777777" w:rsidR="004D43BF" w:rsidRDefault="008511D4" w:rsidP="008511D4">
      <w:r>
        <w:t xml:space="preserve">New </w:t>
      </w:r>
      <w:r w:rsidR="004D43BF">
        <w:t>RAN</w:t>
      </w:r>
      <w:r w:rsidR="00FE5280">
        <w:t>4</w:t>
      </w:r>
      <w:r w:rsidR="004D43BF">
        <w:t xml:space="preserve"> lead </w:t>
      </w:r>
      <w:r>
        <w:t>WI</w:t>
      </w:r>
      <w:r w:rsidR="000F2985">
        <w:t xml:space="preserve"> [1] </w:t>
      </w:r>
      <w:r>
        <w:t xml:space="preserve">was approved with </w:t>
      </w:r>
      <w:r w:rsidR="004D43BF">
        <w:t xml:space="preserve">the </w:t>
      </w:r>
      <w:r w:rsidR="002E7D7C">
        <w:t>BS</w:t>
      </w:r>
      <w:r w:rsidR="00FE5280">
        <w:t xml:space="preserve"> RF </w:t>
      </w:r>
      <w:r w:rsidR="004D43BF">
        <w:t>objective as follows:</w:t>
      </w:r>
    </w:p>
    <w:p w14:paraId="4CAB7631" w14:textId="77777777" w:rsidR="002E7D7C" w:rsidRDefault="002E7D7C" w:rsidP="002E7D7C">
      <w:pPr>
        <w:spacing w:after="0"/>
        <w:rPr>
          <w:bCs/>
          <w:lang w:val="en-US"/>
        </w:rPr>
      </w:pPr>
    </w:p>
    <w:p w14:paraId="68E20FF0" w14:textId="77777777" w:rsidR="002E7D7C" w:rsidRDefault="002E7D7C" w:rsidP="002E7D7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For MBMS-dedicated cells:</w:t>
      </w:r>
    </w:p>
    <w:p w14:paraId="438A57BC" w14:textId="77777777" w:rsidR="002E7D7C" w:rsidRDefault="002E7D7C" w:rsidP="002E7D7C">
      <w:pPr>
        <w:spacing w:after="0"/>
        <w:ind w:left="720"/>
        <w:rPr>
          <w:bCs/>
          <w:lang w:val="en-US"/>
        </w:rPr>
      </w:pPr>
    </w:p>
    <w:p w14:paraId="2D549034" w14:textId="77777777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Specify band(s), within the portion of UHF spectrum allocated to broadcast systems (~470 - ~694/698 MHz, depending on the region), that support the channelization available to broadcasting operators [RAN4].</w:t>
      </w:r>
    </w:p>
    <w:p w14:paraId="202CEA9E" w14:textId="77777777" w:rsidR="002E7D7C" w:rsidRDefault="002E7D7C" w:rsidP="002E7D7C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RAN4 to define the exact band plan suitable for broadcasting operators’ spectrum allocation</w:t>
      </w:r>
    </w:p>
    <w:p w14:paraId="76316D10" w14:textId="77777777" w:rsidR="002E7D7C" w:rsidRDefault="002E7D7C" w:rsidP="002E7D7C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6131EB75" w14:textId="77777777" w:rsidR="002E7D7C" w:rsidRDefault="002E7D7C" w:rsidP="002E7D7C">
      <w:pPr>
        <w:spacing w:after="0"/>
        <w:ind w:left="2160"/>
        <w:rPr>
          <w:bCs/>
          <w:lang w:val="en-US"/>
        </w:rPr>
      </w:pPr>
    </w:p>
    <w:p w14:paraId="5322D007" w14:textId="77777777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7993854A" w14:textId="77777777" w:rsidR="002E7D7C" w:rsidRDefault="002E7D7C" w:rsidP="002E7D7C">
      <w:pPr>
        <w:spacing w:after="0"/>
        <w:rPr>
          <w:bCs/>
          <w:lang w:val="en-US"/>
        </w:rPr>
      </w:pPr>
    </w:p>
    <w:p w14:paraId="2B6D658A" w14:textId="77777777" w:rsidR="002E7D7C" w:rsidRDefault="002E7D7C" w:rsidP="002E7D7C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…</w:t>
      </w:r>
    </w:p>
    <w:p w14:paraId="1EDD2A23" w14:textId="77777777" w:rsidR="002E7D7C" w:rsidRDefault="002E7D7C" w:rsidP="002E7D7C">
      <w:pPr>
        <w:spacing w:after="0"/>
        <w:ind w:left="1800"/>
        <w:rPr>
          <w:bCs/>
          <w:lang w:val="en-US"/>
        </w:rPr>
      </w:pPr>
    </w:p>
    <w:p w14:paraId="25A653BD" w14:textId="77777777" w:rsidR="002E7D7C" w:rsidRDefault="002E7D7C" w:rsidP="002E7D7C">
      <w:pPr>
        <w:spacing w:after="0"/>
        <w:rPr>
          <w:bCs/>
          <w:lang w:val="en-US"/>
        </w:rPr>
      </w:pPr>
    </w:p>
    <w:p w14:paraId="78E73706" w14:textId="77777777" w:rsidR="002E7D7C" w:rsidRDefault="002E7D7C" w:rsidP="002E7D7C">
      <w:pPr>
        <w:ind w:left="720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5936D851" w14:textId="77777777" w:rsidR="002E7D7C" w:rsidRDefault="002E7D7C" w:rsidP="002E7D7C">
      <w:pPr>
        <w:ind w:left="720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(~470 - ~694/698 MHz) is ensured through coordination, in line with </w:t>
      </w:r>
      <w:r>
        <w:rPr>
          <w:bCs/>
          <w:lang w:val="en-US"/>
        </w:rPr>
        <w:tab/>
      </w:r>
      <w:r>
        <w:rPr>
          <w:bCs/>
          <w:lang w:val="en-US"/>
        </w:rPr>
        <w:tab/>
        <w:t>regional and national regulation.</w:t>
      </w:r>
    </w:p>
    <w:p w14:paraId="28156E13" w14:textId="77777777" w:rsidR="00156C9F" w:rsidRDefault="00156C9F" w:rsidP="00865C6D"/>
    <w:p w14:paraId="592C8FCA" w14:textId="77777777" w:rsidR="003A6C9D" w:rsidRDefault="008F4B69" w:rsidP="009C3810">
      <w:r>
        <w:t>WID [1] has other objectives</w:t>
      </w:r>
      <w:r w:rsidR="00106376">
        <w:t xml:space="preserve"> for</w:t>
      </w:r>
      <w:r w:rsidR="002E7D7C">
        <w:t xml:space="preserve"> UE RF requirements</w:t>
      </w:r>
      <w:r w:rsidR="003A6C9D">
        <w:t>,</w:t>
      </w:r>
      <w:r>
        <w:t xml:space="preserve"> </w:t>
      </w:r>
      <w:r w:rsidR="004B5971">
        <w:t xml:space="preserve">but </w:t>
      </w:r>
      <w:r w:rsidR="000551C4">
        <w:t xml:space="preserve">this </w:t>
      </w:r>
      <w:r w:rsidR="002E7D7C">
        <w:t>document only addresses band definition and BS requirements.</w:t>
      </w:r>
      <w:r w:rsidR="00C064DE">
        <w:t xml:space="preserve"> </w:t>
      </w:r>
    </w:p>
    <w:p w14:paraId="1D951DC3" w14:textId="72B53E42" w:rsidR="00790315" w:rsidRDefault="00790315" w:rsidP="009C3810">
      <w:r>
        <w:t>The operation of transmitters in the spectrum range 470 – 698 MHz which is allocated</w:t>
      </w:r>
      <w:r w:rsidR="002077E9">
        <w:t xml:space="preserve"> worldwide</w:t>
      </w:r>
      <w:r>
        <w:t xml:space="preserve"> to the broadcasting service </w:t>
      </w:r>
      <w:r w:rsidR="002077E9">
        <w:t>in</w:t>
      </w:r>
      <w:r>
        <w:t xml:space="preserve"> the </w:t>
      </w:r>
      <w:r w:rsidR="002077E9">
        <w:t xml:space="preserve">Radio Regulations of </w:t>
      </w:r>
      <w:r>
        <w:t>ITU-R is governed by regulatory frameworks and bilateral agreements between affected administrations</w:t>
      </w:r>
      <w:r w:rsidR="00ED4AE9">
        <w:t>. In ITU-R Region</w:t>
      </w:r>
      <w:r w:rsidR="002077E9">
        <w:t xml:space="preserve"> 1</w:t>
      </w:r>
      <w:r w:rsidR="00ED4AE9">
        <w:t xml:space="preserve"> the GE06 Agreement and Plan are such a regulatory framework. In Region 2 and 3 different rules are applied as provided for example in [</w:t>
      </w:r>
      <w:r w:rsidR="004B6EF1">
        <w:t>2</w:t>
      </w:r>
      <w:r w:rsidR="00ED4AE9">
        <w:t>], [</w:t>
      </w:r>
      <w:r w:rsidR="004B6EF1">
        <w:t>3</w:t>
      </w:r>
      <w:r w:rsidR="00ED4AE9">
        <w:t>] or [</w:t>
      </w:r>
      <w:r w:rsidR="004B6EF1">
        <w:t>4</w:t>
      </w:r>
      <w:r w:rsidR="00ED4AE9">
        <w:t>].</w:t>
      </w:r>
    </w:p>
    <w:p w14:paraId="7CA39276" w14:textId="77777777" w:rsidR="00FC1F62" w:rsidRDefault="000A567D" w:rsidP="00FC1F62">
      <w:pPr>
        <w:pStyle w:val="berschrift1"/>
      </w:pPr>
      <w:r>
        <w:lastRenderedPageBreak/>
        <w:t xml:space="preserve">2. </w:t>
      </w:r>
      <w:r>
        <w:tab/>
      </w:r>
      <w:r w:rsidR="002A1C01">
        <w:t>Discussion</w:t>
      </w:r>
    </w:p>
    <w:p w14:paraId="2A36A3CB" w14:textId="2E2253ED" w:rsidR="009C3810" w:rsidRDefault="009C3810" w:rsidP="009C3810">
      <w:r>
        <w:t>SWR [</w:t>
      </w:r>
      <w:r w:rsidR="004B6EF1">
        <w:t>5</w:t>
      </w:r>
      <w:r>
        <w:t>] is one of the regional German public broadcasting companies. SWR is a member of the European Broadcasting Union (EBU) [</w:t>
      </w:r>
      <w:r w:rsidR="004B6EF1">
        <w:t>6</w:t>
      </w:r>
      <w:r>
        <w:t>]. The EBU is the world’s leading alliance of Public Service Media (PSM) organisations. It is a not-for-profit organisation representing 112 member organisations in 56 countries.</w:t>
      </w:r>
    </w:p>
    <w:p w14:paraId="0D365E05" w14:textId="77777777" w:rsidR="009C3810" w:rsidRDefault="009C3810" w:rsidP="009C3810">
      <w:r>
        <w:t xml:space="preserve">SWR has been actively contributing to the specification of LTE based 5G Terrestrial Broadcasting (in brief 5G Broadcast) from the very first days of the EnTV study item in 2015. </w:t>
      </w:r>
    </w:p>
    <w:p w14:paraId="6D5EC3AE" w14:textId="77777777" w:rsidR="00703884" w:rsidRDefault="000479FB" w:rsidP="000479FB">
      <w:r>
        <w:t xml:space="preserve">Broadcaster plan to deploy 5G Broadcast network in the band 470 – 698 </w:t>
      </w:r>
      <w:proofErr w:type="spellStart"/>
      <w:r>
        <w:t>MHz.</w:t>
      </w:r>
      <w:proofErr w:type="spellEnd"/>
      <w:r>
        <w:t xml:space="preserve"> In order to ensure compatibility between different services in this band</w:t>
      </w:r>
      <w:r w:rsidR="00350640">
        <w:t>.</w:t>
      </w:r>
      <w:r>
        <w:t xml:space="preserve"> RAN4 needs to define the relevant technical parameters such ACS, ACLR, in-band and out-of-band blocking. It is proposed to derive necessary parameters from the existing technical documentation of the ITU-R for the broadcasting service. </w:t>
      </w:r>
    </w:p>
    <w:p w14:paraId="79C18CED" w14:textId="47DFBCE7" w:rsidR="000479FB" w:rsidRDefault="000479FB" w:rsidP="000479FB">
      <w:r>
        <w:t xml:space="preserve">For example, </w:t>
      </w:r>
      <w:r w:rsidR="0058318B">
        <w:t xml:space="preserve">ITU-R Recommendation BT.1368-13 </w:t>
      </w:r>
      <w:r w:rsidR="005E3C29">
        <w:t xml:space="preserve">[7] </w:t>
      </w:r>
      <w:r w:rsidR="0058318B">
        <w:t xml:space="preserve">provides in Attachment 3 to Annex 2 (p68) formulas which link ACS and ACLR with the protection ratio (PR) used when planning and deploying networks of the broadcasting service. </w:t>
      </w:r>
    </w:p>
    <w:p w14:paraId="153A1062" w14:textId="557CD814" w:rsidR="00703884" w:rsidRDefault="007A482D" w:rsidP="002C50CA">
      <w:r>
        <w:t xml:space="preserve">In ITU-R Region 1 the usage of the band 470 – 694 MHz is governed by the GE06 Agreement. Operation of DTT transmitters </w:t>
      </w:r>
      <w:r w:rsidR="00E3316C">
        <w:t xml:space="preserve">using 8 MHz bandwidth </w:t>
      </w:r>
      <w:r>
        <w:t xml:space="preserve">need to meet an </w:t>
      </w:r>
      <w:r w:rsidR="002C50CA">
        <w:t xml:space="preserve">uncritical </w:t>
      </w:r>
      <w:r>
        <w:t xml:space="preserve">out-of-band emission mask as given in </w:t>
      </w:r>
      <w:r w:rsidR="00E3316C">
        <w:t xml:space="preserve">Annex 2 of </w:t>
      </w:r>
      <w:r>
        <w:t>[</w:t>
      </w:r>
      <w:r w:rsidR="00E3316C">
        <w:t>8</w:t>
      </w:r>
      <w:r>
        <w:t>]</w:t>
      </w:r>
      <w:r w:rsidR="00E3316C">
        <w:t xml:space="preserve"> in Figure 6 and Table 3</w:t>
      </w:r>
      <w:r w:rsidR="002C50CA">
        <w:t>. This mask is mandated by the GE06 Agreement</w:t>
      </w:r>
      <w:r w:rsidR="00703884">
        <w:t xml:space="preserve"> which is based on ETSI Standard EN 302 296 </w:t>
      </w:r>
      <w:r w:rsidR="00845BA9">
        <w:t>[9</w:t>
      </w:r>
      <w:r w:rsidR="00703884">
        <w:t>]</w:t>
      </w:r>
      <w:r w:rsidR="00845BA9">
        <w:t>. Table 4.5 and 4.8 of [9] provide ACLR values for different types of transmitters. For convenience these two tables are copied here.</w:t>
      </w:r>
    </w:p>
    <w:p w14:paraId="317A4D6F" w14:textId="244A4B35" w:rsidR="00845BA9" w:rsidRDefault="003C4D46" w:rsidP="002C50CA">
      <w:pPr>
        <w:rPr>
          <w:lang w:val="en-US"/>
        </w:rPr>
      </w:pPr>
      <w:r>
        <w:rPr>
          <w:noProof/>
        </w:rPr>
        <w:drawing>
          <wp:inline distT="0" distB="0" distL="0" distR="0" wp14:anchorId="65068F8F" wp14:editId="2AEAE33C">
            <wp:extent cx="6057900" cy="1612900"/>
            <wp:effectExtent l="0" t="0" r="0" b="6350"/>
            <wp:docPr id="1" name="Grafik 1" descr="Ein Bild, das 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isch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3E7C6" w14:textId="133B5AD6" w:rsidR="003C4D46" w:rsidRDefault="003C4D46" w:rsidP="002C50CA">
      <w:pPr>
        <w:rPr>
          <w:lang w:val="en-US"/>
        </w:rPr>
      </w:pPr>
      <w:r>
        <w:rPr>
          <w:noProof/>
        </w:rPr>
        <w:drawing>
          <wp:inline distT="0" distB="0" distL="0" distR="0" wp14:anchorId="3BD18ACB" wp14:editId="172C22AF">
            <wp:extent cx="6000750" cy="2108200"/>
            <wp:effectExtent l="0" t="0" r="0" b="6350"/>
            <wp:docPr id="2" name="Grafik 2" descr="Ein Bild, das 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isch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A7907" w14:textId="67186D40" w:rsidR="002C50CA" w:rsidRDefault="00E3316C" w:rsidP="002C50CA">
      <w:r>
        <w:t>P</w:t>
      </w:r>
      <w:r w:rsidRPr="00593CC8">
        <w:t>lanning criteria, including protection ratios, for second generation of digital terrestrial television broadcasting systems in the UHF band can be found in [</w:t>
      </w:r>
      <w:r w:rsidR="00845BA9">
        <w:t>10</w:t>
      </w:r>
      <w:r w:rsidRPr="00593CC8">
        <w:t>].</w:t>
      </w:r>
    </w:p>
    <w:p w14:paraId="690F65D9" w14:textId="78E7EB54" w:rsidR="00593CC8" w:rsidRDefault="00593CC8" w:rsidP="000479FB">
      <w:r>
        <w:t>A methodology to derive the necessary parameters</w:t>
      </w:r>
      <w:r w:rsidR="00E3316C">
        <w:t xml:space="preserve">, </w:t>
      </w:r>
      <w:proofErr w:type="gramStart"/>
      <w:r w:rsidR="00E3316C">
        <w:t>i.e.</w:t>
      </w:r>
      <w:proofErr w:type="gramEnd"/>
      <w:r w:rsidR="00E3316C">
        <w:t xml:space="preserve"> ACLR and ACS,</w:t>
      </w:r>
      <w:r>
        <w:t xml:space="preserve"> c</w:t>
      </w:r>
      <w:r w:rsidR="00E3316C">
        <w:t xml:space="preserve">an </w:t>
      </w:r>
      <w:r>
        <w:t>be outlined as follows:</w:t>
      </w:r>
    </w:p>
    <w:p w14:paraId="16FF66CD" w14:textId="332FB61B" w:rsidR="00593CC8" w:rsidRDefault="00593CC8" w:rsidP="00593CC8">
      <w:pPr>
        <w:pStyle w:val="Listenabsatz"/>
        <w:numPr>
          <w:ilvl w:val="0"/>
          <w:numId w:val="16"/>
        </w:numPr>
      </w:pPr>
      <w:r>
        <w:t>Us</w:t>
      </w:r>
      <w:r w:rsidR="007F2154">
        <w:t>ing</w:t>
      </w:r>
      <w:r>
        <w:t xml:space="preserve"> the emission mask from </w:t>
      </w:r>
      <w:r w:rsidR="007F2154" w:rsidRPr="00E3316C">
        <w:rPr>
          <w:lang w:val="en-US"/>
        </w:rPr>
        <w:t xml:space="preserve">ITU-R Recommendation </w:t>
      </w:r>
      <w:r w:rsidR="007F2154">
        <w:rPr>
          <w:lang w:val="en-US"/>
        </w:rPr>
        <w:t xml:space="preserve">BT.1206-3 </w:t>
      </w:r>
      <w:r w:rsidR="00FE0916">
        <w:t xml:space="preserve">a value for the ACLR </w:t>
      </w:r>
      <w:r w:rsidR="007F2154">
        <w:t>can be calculated by integrating over the occupied bandwidth of the interfered systems at a selected frequency offset between wanted and interfering signal.</w:t>
      </w:r>
    </w:p>
    <w:p w14:paraId="0ACCA4AF" w14:textId="72F4F9D1" w:rsidR="007C2EAC" w:rsidRDefault="007F2154" w:rsidP="00593CC8">
      <w:pPr>
        <w:pStyle w:val="Listenabsatz"/>
        <w:numPr>
          <w:ilvl w:val="0"/>
          <w:numId w:val="16"/>
        </w:numPr>
      </w:pPr>
      <w:r>
        <w:t>T</w:t>
      </w:r>
      <w:r w:rsidR="00FE0916">
        <w:t xml:space="preserve">he formula given in Attachment 3 Annes 2 of </w:t>
      </w:r>
      <w:r w:rsidRPr="005E3C29">
        <w:rPr>
          <w:lang w:val="en-US"/>
        </w:rPr>
        <w:t xml:space="preserve">ITU-R Recommendation </w:t>
      </w:r>
      <w:r>
        <w:rPr>
          <w:lang w:val="en-US"/>
        </w:rPr>
        <w:t>BT.1368-13</w:t>
      </w:r>
      <w:r w:rsidR="00FE0916">
        <w:t xml:space="preserve"> </w:t>
      </w:r>
      <w:r>
        <w:t xml:space="preserve">links ACS, ACLR </w:t>
      </w:r>
      <w:r w:rsidR="00DC3A63">
        <w:t>a</w:t>
      </w:r>
      <w:r>
        <w:t xml:space="preserve">nd PR. </w:t>
      </w:r>
      <w:r w:rsidR="007C2EAC">
        <w:t>Using the calculated ACLR value and</w:t>
      </w:r>
      <w:r>
        <w:t xml:space="preserve"> selecting appropriate </w:t>
      </w:r>
      <w:r w:rsidR="00FE0916">
        <w:t>PR</w:t>
      </w:r>
      <w:r>
        <w:t xml:space="preserve"> values fr</w:t>
      </w:r>
      <w:r w:rsidR="00386DCB">
        <w:t>o</w:t>
      </w:r>
      <w:r>
        <w:t xml:space="preserve">m </w:t>
      </w:r>
      <w:r w:rsidRPr="004F2F2E">
        <w:rPr>
          <w:lang w:val="en-US"/>
        </w:rPr>
        <w:t xml:space="preserve">ITU-R </w:t>
      </w:r>
      <w:r>
        <w:rPr>
          <w:lang w:val="en-US"/>
        </w:rPr>
        <w:t xml:space="preserve">Recommendation </w:t>
      </w:r>
      <w:r w:rsidRPr="004F2F2E">
        <w:rPr>
          <w:lang w:val="en-US"/>
        </w:rPr>
        <w:t xml:space="preserve">BT.2033 </w:t>
      </w:r>
      <w:r w:rsidR="007C2EAC">
        <w:rPr>
          <w:lang w:val="en-US"/>
        </w:rPr>
        <w:t>allows to calculate the ACS value which needs to be met by the terminal.</w:t>
      </w:r>
    </w:p>
    <w:p w14:paraId="01CB4C92" w14:textId="32CDB5AE" w:rsidR="00FE0916" w:rsidRPr="00593CC8" w:rsidRDefault="007C2EAC" w:rsidP="007C2EAC">
      <w:r>
        <w:lastRenderedPageBreak/>
        <w:t xml:space="preserve">The same methodology can be applied for ITU-R Regions 2 and 3 in order to derive the necessary values. However, the calculations </w:t>
      </w:r>
      <w:proofErr w:type="gramStart"/>
      <w:r>
        <w:t>have to</w:t>
      </w:r>
      <w:proofErr w:type="gramEnd"/>
      <w:r>
        <w:t xml:space="preserve"> be based on the applicable regulatory technical documentation, respectively. </w:t>
      </w:r>
    </w:p>
    <w:p w14:paraId="11485943" w14:textId="037114B9" w:rsidR="00C06330" w:rsidRDefault="00C06330" w:rsidP="00C06330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</w:r>
      <w:r w:rsidR="007C2EAC">
        <w:rPr>
          <w:b/>
          <w:bCs/>
        </w:rPr>
        <w:t xml:space="preserve">Derive the required values for ACLR and ACS values by the outlined methodology based on </w:t>
      </w:r>
      <w:r w:rsidR="007C2EAC">
        <w:rPr>
          <w:b/>
          <w:bCs/>
        </w:rPr>
        <w:tab/>
      </w:r>
      <w:r w:rsidR="007C2EAC">
        <w:rPr>
          <w:b/>
          <w:bCs/>
        </w:rPr>
        <w:tab/>
      </w:r>
      <w:r w:rsidR="007C2EAC">
        <w:rPr>
          <w:b/>
          <w:bCs/>
        </w:rPr>
        <w:tab/>
        <w:t>ITU-R Recommendations</w:t>
      </w:r>
      <w:r w:rsidR="00981AA9">
        <w:rPr>
          <w:b/>
          <w:bCs/>
        </w:rPr>
        <w:t xml:space="preserve"> or equivalent regulatory documentation</w:t>
      </w:r>
      <w:r w:rsidR="007C2EAC">
        <w:rPr>
          <w:b/>
          <w:bCs/>
        </w:rPr>
        <w:t xml:space="preserve">. </w:t>
      </w:r>
    </w:p>
    <w:p w14:paraId="1F9507E1" w14:textId="77777777" w:rsidR="00CA585B" w:rsidRPr="005203CE" w:rsidRDefault="0091202B" w:rsidP="005203CE">
      <w:pPr>
        <w:pStyle w:val="berschrift1"/>
      </w:pPr>
      <w:r>
        <w:t>Summary</w:t>
      </w:r>
    </w:p>
    <w:p w14:paraId="335C007B" w14:textId="77777777" w:rsidR="00F51227" w:rsidRPr="00F51227" w:rsidRDefault="00F51227" w:rsidP="00B76D38">
      <w:r>
        <w:t>Based on the discussion the following is proposed to achieve the objectives of the WI:</w:t>
      </w:r>
    </w:p>
    <w:p w14:paraId="373BFEE9" w14:textId="30600D19" w:rsidR="007C2EAC" w:rsidRDefault="007C2EAC" w:rsidP="007C2EAC">
      <w:pPr>
        <w:rPr>
          <w:b/>
          <w:bCs/>
        </w:rPr>
      </w:pPr>
      <w:r w:rsidRPr="00985367">
        <w:rPr>
          <w:b/>
          <w:bCs/>
        </w:rPr>
        <w:t>Proposal</w:t>
      </w:r>
      <w:r>
        <w:rPr>
          <w:b/>
          <w:bCs/>
        </w:rPr>
        <w:t xml:space="preserve"> 1</w:t>
      </w:r>
      <w:r w:rsidRPr="00985367">
        <w:rPr>
          <w:b/>
          <w:bCs/>
        </w:rPr>
        <w:t>:</w:t>
      </w:r>
      <w:r>
        <w:rPr>
          <w:b/>
          <w:bCs/>
        </w:rPr>
        <w:tab/>
        <w:t xml:space="preserve">Derive the required values for ACLR and ACS values by the outlined methodology based on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ITU-R Recommendations</w:t>
      </w:r>
      <w:r w:rsidR="00981AA9" w:rsidRPr="00981AA9">
        <w:rPr>
          <w:b/>
          <w:bCs/>
        </w:rPr>
        <w:t xml:space="preserve"> </w:t>
      </w:r>
      <w:r w:rsidR="00981AA9">
        <w:rPr>
          <w:b/>
          <w:bCs/>
        </w:rPr>
        <w:t>or equivalent regulatory documentation</w:t>
      </w:r>
      <w:r>
        <w:rPr>
          <w:b/>
          <w:bCs/>
        </w:rPr>
        <w:t xml:space="preserve">. </w:t>
      </w:r>
    </w:p>
    <w:p w14:paraId="57872414" w14:textId="77777777" w:rsidR="007018F3" w:rsidRDefault="007018F3" w:rsidP="007018F3">
      <w:pPr>
        <w:pStyle w:val="berschrift1"/>
      </w:pPr>
      <w:r>
        <w:t>References</w:t>
      </w:r>
    </w:p>
    <w:p w14:paraId="767FEE9A" w14:textId="77777777" w:rsidR="00EC43BE" w:rsidRDefault="007018F3" w:rsidP="00B76D38">
      <w:pPr>
        <w:pStyle w:val="B1"/>
      </w:pPr>
      <w:r>
        <w:t>[1]</w:t>
      </w:r>
      <w:r>
        <w:tab/>
      </w:r>
      <w:r w:rsidR="00E35F58" w:rsidRPr="00E35F58">
        <w:t>RP-220518</w:t>
      </w:r>
      <w:r w:rsidR="00377211">
        <w:t>, “</w:t>
      </w:r>
      <w:r w:rsidR="004823A8" w:rsidRPr="004823A8">
        <w:t>Revised WID: New bands and bandwidth allocation for LTE based 5G terrestrial broadcast - part 2</w:t>
      </w:r>
      <w:r w:rsidR="00377211">
        <w:t>”</w:t>
      </w:r>
      <w:r w:rsidR="00632509">
        <w:t xml:space="preserve">, </w:t>
      </w:r>
      <w:r w:rsidR="00587DB6" w:rsidRPr="00587DB6">
        <w:t>EBU, Qualcomm</w:t>
      </w:r>
      <w:r w:rsidR="00B261DD" w:rsidRPr="00B261DD">
        <w:t>.</w:t>
      </w:r>
      <w:r w:rsidR="00B261DD">
        <w:t xml:space="preserve">, </w:t>
      </w:r>
      <w:r w:rsidR="00C576AE" w:rsidRPr="00C576AE">
        <w:t>3GPP TSG RAN Meeting #9</w:t>
      </w:r>
      <w:r w:rsidR="004A7555">
        <w:t>5e</w:t>
      </w:r>
      <w:r w:rsidR="00C576AE">
        <w:t xml:space="preserve">, </w:t>
      </w:r>
      <w:r w:rsidR="00175FA0" w:rsidRPr="00175FA0">
        <w:t>Electronic Meeting, March 17 - 23, 2022</w:t>
      </w:r>
    </w:p>
    <w:p w14:paraId="24F173E5" w14:textId="77777777" w:rsidR="004B6EF1" w:rsidRPr="004B6EF1" w:rsidRDefault="004B6EF1" w:rsidP="004B6EF1">
      <w:pPr>
        <w:pStyle w:val="B1"/>
        <w:rPr>
          <w:iCs/>
        </w:rPr>
      </w:pPr>
      <w:r w:rsidRPr="004B6EF1">
        <w:rPr>
          <w:rStyle w:val="Hyperlink"/>
          <w:color w:val="auto"/>
        </w:rPr>
        <w:t>[2]</w:t>
      </w:r>
      <w:r w:rsidR="005E3C29">
        <w:rPr>
          <w:rStyle w:val="Hyperlink"/>
          <w:color w:val="auto"/>
          <w:u w:val="none"/>
        </w:rPr>
        <w:t xml:space="preserve"> </w:t>
      </w:r>
      <w:r w:rsidRPr="004B6EF1">
        <w:rPr>
          <w:iCs/>
        </w:rPr>
        <w:t>Title 47 CFR 73.622, Digital television table of allotments, FCC, United States</w:t>
      </w:r>
    </w:p>
    <w:p w14:paraId="5DF7EC09" w14:textId="77777777" w:rsidR="004B6EF1" w:rsidRPr="004B6EF1" w:rsidRDefault="004B6EF1" w:rsidP="004B6EF1">
      <w:pPr>
        <w:pStyle w:val="B1"/>
        <w:rPr>
          <w:lang w:val="pt-PT"/>
        </w:rPr>
      </w:pPr>
      <w:r w:rsidRPr="004B6EF1">
        <w:rPr>
          <w:rStyle w:val="Hyperlink"/>
          <w:color w:val="auto"/>
          <w:lang w:val="pt-PT"/>
        </w:rPr>
        <w:t>[3]</w:t>
      </w:r>
      <w:r w:rsidR="005E3C29">
        <w:rPr>
          <w:rStyle w:val="Hyperlink"/>
          <w:color w:val="auto"/>
          <w:u w:val="none"/>
          <w:lang w:val="pt-PT"/>
        </w:rPr>
        <w:t xml:space="preserve"> </w:t>
      </w:r>
      <w:r w:rsidRPr="004B6EF1">
        <w:rPr>
          <w:lang w:val="pt-PT"/>
        </w:rPr>
        <w:t xml:space="preserve">ABNT 15601, NORMA BRASILEÑA, Televisión digital terrestre — Sistema de transmisión ISDB-Tb, Anatel, Brazil </w:t>
      </w:r>
    </w:p>
    <w:p w14:paraId="0B26F8ED" w14:textId="77777777" w:rsidR="004B6EF1" w:rsidRDefault="004B6EF1" w:rsidP="004B6EF1">
      <w:pPr>
        <w:pStyle w:val="B1"/>
      </w:pPr>
      <w:r w:rsidRPr="004B6EF1">
        <w:rPr>
          <w:rStyle w:val="Hyperlink"/>
          <w:color w:val="auto"/>
        </w:rPr>
        <w:t>[4]</w:t>
      </w:r>
      <w:r w:rsidR="005E3C29">
        <w:rPr>
          <w:rStyle w:val="Hyperlink"/>
          <w:color w:val="auto"/>
          <w:u w:val="none"/>
        </w:rPr>
        <w:t xml:space="preserve"> </w:t>
      </w:r>
      <w:r w:rsidRPr="00567B34">
        <w:rPr>
          <w:iCs/>
        </w:rPr>
        <w:t>GB20600-2006 [8], Framing structure, channel coding and modulation for digital television terrestrial broadcasting system, National Radio and Television Standardization Technical Committee, People’s Republic of China</w:t>
      </w:r>
    </w:p>
    <w:p w14:paraId="712865E6" w14:textId="77777777" w:rsidR="009C3810" w:rsidRDefault="00414B0A" w:rsidP="009C3810">
      <w:pPr>
        <w:pStyle w:val="B1"/>
      </w:pPr>
      <w:r>
        <w:t>[</w:t>
      </w:r>
      <w:r w:rsidR="004B6EF1">
        <w:t>5</w:t>
      </w:r>
      <w:r w:rsidR="00106F7A">
        <w:t>]</w:t>
      </w:r>
      <w:r>
        <w:t xml:space="preserve"> </w:t>
      </w:r>
      <w:hyperlink r:id="rId15" w:history="1">
        <w:r w:rsidR="009C3810" w:rsidRPr="00617479">
          <w:rPr>
            <w:rStyle w:val="Hyperlink"/>
          </w:rPr>
          <w:t>www.swr.de</w:t>
        </w:r>
      </w:hyperlink>
    </w:p>
    <w:p w14:paraId="35DA2589" w14:textId="77777777" w:rsidR="00B651E6" w:rsidRDefault="001C7750" w:rsidP="008E5B7B">
      <w:pPr>
        <w:pStyle w:val="B1"/>
      </w:pPr>
      <w:r>
        <w:t>[</w:t>
      </w:r>
      <w:r w:rsidR="004B6EF1">
        <w:t>6</w:t>
      </w:r>
      <w:r>
        <w:t>]</w:t>
      </w:r>
      <w:r w:rsidR="009C3810">
        <w:t xml:space="preserve"> </w:t>
      </w:r>
      <w:hyperlink r:id="rId16" w:history="1">
        <w:r w:rsidR="009C3810" w:rsidRPr="00617479">
          <w:rPr>
            <w:rStyle w:val="Hyperlink"/>
          </w:rPr>
          <w:t>www.ebu.ch</w:t>
        </w:r>
      </w:hyperlink>
    </w:p>
    <w:p w14:paraId="5B1FFDE5" w14:textId="0A8FEB4D" w:rsidR="004F2F2E" w:rsidRDefault="00417727" w:rsidP="00E3316C">
      <w:pPr>
        <w:pStyle w:val="B1"/>
        <w:rPr>
          <w:lang w:val="en-US"/>
        </w:rPr>
      </w:pPr>
      <w:r w:rsidRPr="005E3C29">
        <w:rPr>
          <w:lang w:val="en-US"/>
        </w:rPr>
        <w:t>[</w:t>
      </w:r>
      <w:r w:rsidR="005E3C29">
        <w:rPr>
          <w:lang w:val="en-US"/>
        </w:rPr>
        <w:t>7</w:t>
      </w:r>
      <w:r w:rsidRPr="005E3C29">
        <w:rPr>
          <w:lang w:val="en-US"/>
        </w:rPr>
        <w:t xml:space="preserve">] </w:t>
      </w:r>
      <w:r w:rsidR="005E3C29" w:rsidRPr="005E3C29">
        <w:rPr>
          <w:lang w:val="en-US"/>
        </w:rPr>
        <w:t xml:space="preserve">ITU-R Recommendation </w:t>
      </w:r>
      <w:r w:rsidR="005E3C29">
        <w:rPr>
          <w:lang w:val="en-US"/>
        </w:rPr>
        <w:t xml:space="preserve">BT.1368-13, </w:t>
      </w:r>
      <w:hyperlink r:id="rId17" w:history="1">
        <w:r w:rsidR="005E3C29" w:rsidRPr="0083374E">
          <w:rPr>
            <w:rStyle w:val="Hyperlink"/>
            <w:lang w:val="en-US"/>
          </w:rPr>
          <w:t>https://www.itu.int/rec/R-REC-BT.1368-13-201706-I/en</w:t>
        </w:r>
      </w:hyperlink>
      <w:r w:rsidR="005E3C29" w:rsidRPr="005E3C29">
        <w:rPr>
          <w:lang w:val="en-US"/>
        </w:rPr>
        <w:t xml:space="preserve"> </w:t>
      </w:r>
    </w:p>
    <w:p w14:paraId="56BB0E08" w14:textId="5B95AEF7" w:rsidR="002C50CA" w:rsidRDefault="002C50CA" w:rsidP="008E5B7B">
      <w:pPr>
        <w:pStyle w:val="B1"/>
        <w:rPr>
          <w:lang w:val="en-US"/>
        </w:rPr>
      </w:pPr>
      <w:r w:rsidRPr="00E3316C">
        <w:rPr>
          <w:lang w:val="en-US"/>
        </w:rPr>
        <w:t>[</w:t>
      </w:r>
      <w:r w:rsidR="00E3316C">
        <w:rPr>
          <w:lang w:val="en-US"/>
        </w:rPr>
        <w:t>8</w:t>
      </w:r>
      <w:r w:rsidRPr="00E3316C">
        <w:rPr>
          <w:lang w:val="en-US"/>
        </w:rPr>
        <w:t xml:space="preserve">] </w:t>
      </w:r>
      <w:r w:rsidR="00E3316C" w:rsidRPr="00E3316C">
        <w:rPr>
          <w:lang w:val="en-US"/>
        </w:rPr>
        <w:t xml:space="preserve">ITU-R Recommendation </w:t>
      </w:r>
      <w:r w:rsidR="00E3316C">
        <w:rPr>
          <w:lang w:val="en-US"/>
        </w:rPr>
        <w:t xml:space="preserve">BT.1206-3, </w:t>
      </w:r>
      <w:hyperlink r:id="rId18" w:history="1">
        <w:r w:rsidR="00E3316C" w:rsidRPr="00E45C88">
          <w:rPr>
            <w:rStyle w:val="Hyperlink"/>
            <w:lang w:val="en-US"/>
          </w:rPr>
          <w:t>https://www.itu.int/rec/R-REC-BT.1206-3-201604-I/en</w:t>
        </w:r>
      </w:hyperlink>
      <w:r w:rsidR="00E3316C">
        <w:rPr>
          <w:lang w:val="en-US"/>
        </w:rPr>
        <w:t xml:space="preserve"> </w:t>
      </w:r>
    </w:p>
    <w:p w14:paraId="1866245B" w14:textId="7BE91121" w:rsidR="00845BA9" w:rsidRPr="00845BA9" w:rsidRDefault="00845BA9" w:rsidP="008E5B7B">
      <w:pPr>
        <w:pStyle w:val="B1"/>
        <w:rPr>
          <w:lang w:val="de-DE"/>
        </w:rPr>
      </w:pPr>
      <w:r w:rsidRPr="00845BA9">
        <w:rPr>
          <w:lang w:val="de-DE"/>
        </w:rPr>
        <w:t>[9] ETSI EN 302 296</w:t>
      </w:r>
      <w:r>
        <w:rPr>
          <w:lang w:val="de-DE"/>
        </w:rPr>
        <w:t xml:space="preserve"> </w:t>
      </w:r>
      <w:hyperlink r:id="rId19" w:history="1">
        <w:r w:rsidR="003C4D46" w:rsidRPr="00F268FE">
          <w:rPr>
            <w:rStyle w:val="Hyperlink"/>
            <w:lang w:val="de-DE"/>
          </w:rPr>
          <w:t>https://www.etsi.org/deliver/etsi_en/302200_302299/302296/02.02.01_30/en_302296v020201v.pdf</w:t>
        </w:r>
      </w:hyperlink>
      <w:r w:rsidRPr="00845BA9">
        <w:rPr>
          <w:lang w:val="de-DE"/>
        </w:rPr>
        <w:t xml:space="preserve"> </w:t>
      </w:r>
    </w:p>
    <w:p w14:paraId="23EF67A3" w14:textId="32B693F9" w:rsidR="00E3316C" w:rsidRPr="00E3316C" w:rsidRDefault="00E3316C" w:rsidP="008E5B7B">
      <w:pPr>
        <w:pStyle w:val="B1"/>
        <w:rPr>
          <w:lang w:val="en-US"/>
        </w:rPr>
      </w:pPr>
      <w:r>
        <w:rPr>
          <w:lang w:val="en-US"/>
        </w:rPr>
        <w:t>[</w:t>
      </w:r>
      <w:r w:rsidR="00845BA9">
        <w:rPr>
          <w:lang w:val="en-US"/>
        </w:rPr>
        <w:t>10</w:t>
      </w:r>
      <w:r>
        <w:rPr>
          <w:lang w:val="en-US"/>
        </w:rPr>
        <w:t xml:space="preserve">] </w:t>
      </w:r>
      <w:r w:rsidRPr="004F2F2E">
        <w:rPr>
          <w:lang w:val="en-US"/>
        </w:rPr>
        <w:t xml:space="preserve">ITU-R </w:t>
      </w:r>
      <w:r w:rsidR="007F2154">
        <w:rPr>
          <w:lang w:val="en-US"/>
        </w:rPr>
        <w:t xml:space="preserve">Recommendation </w:t>
      </w:r>
      <w:r w:rsidRPr="004F2F2E">
        <w:rPr>
          <w:lang w:val="en-US"/>
        </w:rPr>
        <w:t>BT.2033 Planning criteria, including protection ratios, for second generation of digital terrestrial television broadcasting systems in the VHF/UHF bands</w:t>
      </w:r>
    </w:p>
    <w:p w14:paraId="755C1EAB" w14:textId="77777777" w:rsidR="00C45E7F" w:rsidRDefault="00C45E7F" w:rsidP="007C2EAC">
      <w:pPr>
        <w:pStyle w:val="B1"/>
        <w:ind w:left="0" w:firstLine="0"/>
      </w:pPr>
    </w:p>
    <w:p w14:paraId="6A117636" w14:textId="77777777" w:rsidR="009C3810" w:rsidRPr="008E5B7B" w:rsidRDefault="009C3810" w:rsidP="008E5B7B">
      <w:pPr>
        <w:pStyle w:val="B1"/>
        <w:rPr>
          <w:bCs/>
        </w:rPr>
      </w:pPr>
    </w:p>
    <w:sectPr w:rsidR="009C3810" w:rsidRPr="008E5B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54365" w14:textId="77777777" w:rsidR="00E96123" w:rsidRDefault="00E96123" w:rsidP="009C3810">
      <w:pPr>
        <w:spacing w:after="0"/>
      </w:pPr>
      <w:r>
        <w:separator/>
      </w:r>
    </w:p>
  </w:endnote>
  <w:endnote w:type="continuationSeparator" w:id="0">
    <w:p w14:paraId="660B9D62" w14:textId="77777777" w:rsidR="00E96123" w:rsidRDefault="00E96123" w:rsidP="009C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4961D" w14:textId="77777777" w:rsidR="00E96123" w:rsidRDefault="00E96123" w:rsidP="009C3810">
      <w:pPr>
        <w:spacing w:after="0"/>
      </w:pPr>
      <w:r>
        <w:separator/>
      </w:r>
    </w:p>
  </w:footnote>
  <w:footnote w:type="continuationSeparator" w:id="0">
    <w:p w14:paraId="18B7AC5E" w14:textId="77777777" w:rsidR="00E96123" w:rsidRDefault="00E96123" w:rsidP="009C3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6A265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E8A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AA17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9415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5EC1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3C717403"/>
    <w:multiLevelType w:val="hybridMultilevel"/>
    <w:tmpl w:val="C4103176"/>
    <w:lvl w:ilvl="0" w:tplc="FA121E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F97D0C"/>
    <w:multiLevelType w:val="hybridMultilevel"/>
    <w:tmpl w:val="F50A1B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690469">
    <w:abstractNumId w:val="8"/>
  </w:num>
  <w:num w:numId="2" w16cid:durableId="1465077868">
    <w:abstractNumId w:val="3"/>
  </w:num>
  <w:num w:numId="3" w16cid:durableId="766996511">
    <w:abstractNumId w:val="1"/>
  </w:num>
  <w:num w:numId="4" w16cid:durableId="74207864">
    <w:abstractNumId w:val="6"/>
  </w:num>
  <w:num w:numId="5" w16cid:durableId="656687971">
    <w:abstractNumId w:val="12"/>
  </w:num>
  <w:num w:numId="6" w16cid:durableId="1894534953">
    <w:abstractNumId w:val="2"/>
  </w:num>
  <w:num w:numId="7" w16cid:durableId="1694303239">
    <w:abstractNumId w:val="0"/>
  </w:num>
  <w:num w:numId="8" w16cid:durableId="346715602">
    <w:abstractNumId w:val="11"/>
  </w:num>
  <w:num w:numId="9" w16cid:durableId="2068722264">
    <w:abstractNumId w:val="14"/>
  </w:num>
  <w:num w:numId="10" w16cid:durableId="754472382">
    <w:abstractNumId w:val="9"/>
  </w:num>
  <w:num w:numId="11" w16cid:durableId="2025859903">
    <w:abstractNumId w:val="10"/>
  </w:num>
  <w:num w:numId="12" w16cid:durableId="2078820430">
    <w:abstractNumId w:val="10"/>
  </w:num>
  <w:num w:numId="13" w16cid:durableId="1273249795">
    <w:abstractNumId w:val="4"/>
  </w:num>
  <w:num w:numId="14" w16cid:durableId="359088005">
    <w:abstractNumId w:val="13"/>
  </w:num>
  <w:num w:numId="15" w16cid:durableId="1439445984">
    <w:abstractNumId w:val="7"/>
  </w:num>
  <w:num w:numId="16" w16cid:durableId="213806243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21D"/>
    <w:rsid w:val="00002B95"/>
    <w:rsid w:val="000035D7"/>
    <w:rsid w:val="000042E1"/>
    <w:rsid w:val="000046A6"/>
    <w:rsid w:val="00004FC4"/>
    <w:rsid w:val="00007F05"/>
    <w:rsid w:val="0001019D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479FB"/>
    <w:rsid w:val="00050807"/>
    <w:rsid w:val="000513F8"/>
    <w:rsid w:val="000514BA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1A57"/>
    <w:rsid w:val="000A210A"/>
    <w:rsid w:val="000A2940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3E4"/>
    <w:rsid w:val="00127A2B"/>
    <w:rsid w:val="00130605"/>
    <w:rsid w:val="00131AFF"/>
    <w:rsid w:val="00131C7C"/>
    <w:rsid w:val="00132CD5"/>
    <w:rsid w:val="00132DD3"/>
    <w:rsid w:val="00134706"/>
    <w:rsid w:val="00134856"/>
    <w:rsid w:val="001351EB"/>
    <w:rsid w:val="00135282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C9F"/>
    <w:rsid w:val="00156FF8"/>
    <w:rsid w:val="001573DA"/>
    <w:rsid w:val="001600C2"/>
    <w:rsid w:val="001614BB"/>
    <w:rsid w:val="00161C73"/>
    <w:rsid w:val="0016323F"/>
    <w:rsid w:val="00164A0D"/>
    <w:rsid w:val="00166494"/>
    <w:rsid w:val="00166E70"/>
    <w:rsid w:val="0017059D"/>
    <w:rsid w:val="00170A24"/>
    <w:rsid w:val="00170DB5"/>
    <w:rsid w:val="00170F29"/>
    <w:rsid w:val="001711D4"/>
    <w:rsid w:val="00171914"/>
    <w:rsid w:val="001727DA"/>
    <w:rsid w:val="001729D8"/>
    <w:rsid w:val="001737B8"/>
    <w:rsid w:val="00174014"/>
    <w:rsid w:val="0017403D"/>
    <w:rsid w:val="00175FA0"/>
    <w:rsid w:val="00176BC9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5BC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3AE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077E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755"/>
    <w:rsid w:val="00224AB3"/>
    <w:rsid w:val="00224E7C"/>
    <w:rsid w:val="00225AD9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020B"/>
    <w:rsid w:val="00281272"/>
    <w:rsid w:val="00281315"/>
    <w:rsid w:val="002815EC"/>
    <w:rsid w:val="00281C1F"/>
    <w:rsid w:val="002820E8"/>
    <w:rsid w:val="00282EB5"/>
    <w:rsid w:val="00283688"/>
    <w:rsid w:val="00283EF3"/>
    <w:rsid w:val="002849C1"/>
    <w:rsid w:val="00285360"/>
    <w:rsid w:val="00286ACA"/>
    <w:rsid w:val="00287649"/>
    <w:rsid w:val="00287F7B"/>
    <w:rsid w:val="00290019"/>
    <w:rsid w:val="002927A0"/>
    <w:rsid w:val="00292875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50CA"/>
    <w:rsid w:val="002C65B6"/>
    <w:rsid w:val="002C6C92"/>
    <w:rsid w:val="002C6CD2"/>
    <w:rsid w:val="002C6F67"/>
    <w:rsid w:val="002C70C6"/>
    <w:rsid w:val="002D062B"/>
    <w:rsid w:val="002D2D80"/>
    <w:rsid w:val="002D2EEF"/>
    <w:rsid w:val="002D486C"/>
    <w:rsid w:val="002D4CC7"/>
    <w:rsid w:val="002D4FBE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E7D7C"/>
    <w:rsid w:val="002F0BA8"/>
    <w:rsid w:val="002F1C8C"/>
    <w:rsid w:val="002F28ED"/>
    <w:rsid w:val="002F3968"/>
    <w:rsid w:val="002F51AA"/>
    <w:rsid w:val="002F59D6"/>
    <w:rsid w:val="002F6DC2"/>
    <w:rsid w:val="0030050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41F"/>
    <w:rsid w:val="00336D8E"/>
    <w:rsid w:val="00337718"/>
    <w:rsid w:val="00340BD0"/>
    <w:rsid w:val="00340F07"/>
    <w:rsid w:val="00341516"/>
    <w:rsid w:val="0034206B"/>
    <w:rsid w:val="003424C0"/>
    <w:rsid w:val="003430BD"/>
    <w:rsid w:val="0034635A"/>
    <w:rsid w:val="00346C62"/>
    <w:rsid w:val="003476B3"/>
    <w:rsid w:val="00347BB5"/>
    <w:rsid w:val="00350640"/>
    <w:rsid w:val="003509D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6DCB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3637"/>
    <w:rsid w:val="003A4125"/>
    <w:rsid w:val="003A42FF"/>
    <w:rsid w:val="003A43B2"/>
    <w:rsid w:val="003A4432"/>
    <w:rsid w:val="003A476E"/>
    <w:rsid w:val="003A4CD3"/>
    <w:rsid w:val="003A4D09"/>
    <w:rsid w:val="003A6C9D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D46"/>
    <w:rsid w:val="003C5708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2367"/>
    <w:rsid w:val="003F30E0"/>
    <w:rsid w:val="003F58AD"/>
    <w:rsid w:val="003F6DA5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727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FE5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6EF1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2F2E"/>
    <w:rsid w:val="004F3AB3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19AB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DA8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26C6"/>
    <w:rsid w:val="0058318B"/>
    <w:rsid w:val="005833C4"/>
    <w:rsid w:val="005838E4"/>
    <w:rsid w:val="005839AE"/>
    <w:rsid w:val="0058408C"/>
    <w:rsid w:val="00584247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CC8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1DB3"/>
    <w:rsid w:val="005E2B0B"/>
    <w:rsid w:val="005E3A21"/>
    <w:rsid w:val="005E3C29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510F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0387"/>
    <w:rsid w:val="006D244C"/>
    <w:rsid w:val="006D312F"/>
    <w:rsid w:val="006D3FD4"/>
    <w:rsid w:val="006D4F66"/>
    <w:rsid w:val="006D5E7B"/>
    <w:rsid w:val="006D67CA"/>
    <w:rsid w:val="006D6CDF"/>
    <w:rsid w:val="006E06A3"/>
    <w:rsid w:val="006E0F90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F1A"/>
    <w:rsid w:val="006F5898"/>
    <w:rsid w:val="006F5CDE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884"/>
    <w:rsid w:val="0070412E"/>
    <w:rsid w:val="007043A0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295C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5BF8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E51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315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482D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34AD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2EAC"/>
    <w:rsid w:val="007C3CA4"/>
    <w:rsid w:val="007C436D"/>
    <w:rsid w:val="007C4A4B"/>
    <w:rsid w:val="007C4CA8"/>
    <w:rsid w:val="007C501E"/>
    <w:rsid w:val="007C6050"/>
    <w:rsid w:val="007C721F"/>
    <w:rsid w:val="007C7778"/>
    <w:rsid w:val="007C7B00"/>
    <w:rsid w:val="007D0000"/>
    <w:rsid w:val="007D0CF8"/>
    <w:rsid w:val="007D22FB"/>
    <w:rsid w:val="007D3C2D"/>
    <w:rsid w:val="007D5108"/>
    <w:rsid w:val="007D7F6F"/>
    <w:rsid w:val="007E01C1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2154"/>
    <w:rsid w:val="007F53EB"/>
    <w:rsid w:val="007F5687"/>
    <w:rsid w:val="007F5A2D"/>
    <w:rsid w:val="007F758E"/>
    <w:rsid w:val="00801199"/>
    <w:rsid w:val="008013A1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7EA6"/>
    <w:rsid w:val="00830C2E"/>
    <w:rsid w:val="0083147D"/>
    <w:rsid w:val="008344EC"/>
    <w:rsid w:val="00834633"/>
    <w:rsid w:val="00835632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45BA9"/>
    <w:rsid w:val="008500B9"/>
    <w:rsid w:val="00850213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B41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AF3"/>
    <w:rsid w:val="008A5B17"/>
    <w:rsid w:val="008A60F3"/>
    <w:rsid w:val="008A659A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02B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17A"/>
    <w:rsid w:val="0092542D"/>
    <w:rsid w:val="00926A4B"/>
    <w:rsid w:val="00926A90"/>
    <w:rsid w:val="00926DE5"/>
    <w:rsid w:val="009306AD"/>
    <w:rsid w:val="00931497"/>
    <w:rsid w:val="00931B39"/>
    <w:rsid w:val="00932943"/>
    <w:rsid w:val="009333F6"/>
    <w:rsid w:val="009334BF"/>
    <w:rsid w:val="00934028"/>
    <w:rsid w:val="0093408A"/>
    <w:rsid w:val="00934DE1"/>
    <w:rsid w:val="00934DEE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21A3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566"/>
    <w:rsid w:val="00962CEF"/>
    <w:rsid w:val="00963B1C"/>
    <w:rsid w:val="00964211"/>
    <w:rsid w:val="00966853"/>
    <w:rsid w:val="00966F3F"/>
    <w:rsid w:val="009673C2"/>
    <w:rsid w:val="00967D95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1AA9"/>
    <w:rsid w:val="00983E8F"/>
    <w:rsid w:val="0098447D"/>
    <w:rsid w:val="00985367"/>
    <w:rsid w:val="0098567F"/>
    <w:rsid w:val="00985F6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810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F5A"/>
    <w:rsid w:val="00A06682"/>
    <w:rsid w:val="00A07262"/>
    <w:rsid w:val="00A10D42"/>
    <w:rsid w:val="00A11038"/>
    <w:rsid w:val="00A11459"/>
    <w:rsid w:val="00A116A0"/>
    <w:rsid w:val="00A11A45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C41"/>
    <w:rsid w:val="00A15C70"/>
    <w:rsid w:val="00A1603D"/>
    <w:rsid w:val="00A167BE"/>
    <w:rsid w:val="00A16CB8"/>
    <w:rsid w:val="00A17836"/>
    <w:rsid w:val="00A17D67"/>
    <w:rsid w:val="00A22D40"/>
    <w:rsid w:val="00A236E4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6496"/>
    <w:rsid w:val="00A564DD"/>
    <w:rsid w:val="00A57AD8"/>
    <w:rsid w:val="00A57D4D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DFE"/>
    <w:rsid w:val="00AF33A5"/>
    <w:rsid w:val="00AF3B07"/>
    <w:rsid w:val="00AF3CAE"/>
    <w:rsid w:val="00AF3DE1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10065"/>
    <w:rsid w:val="00B100E5"/>
    <w:rsid w:val="00B10A08"/>
    <w:rsid w:val="00B113ED"/>
    <w:rsid w:val="00B12677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3D7C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7C35"/>
    <w:rsid w:val="00B71754"/>
    <w:rsid w:val="00B71E29"/>
    <w:rsid w:val="00B72694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182"/>
    <w:rsid w:val="00BA1993"/>
    <w:rsid w:val="00BA35E4"/>
    <w:rsid w:val="00BA3C61"/>
    <w:rsid w:val="00BA4DF2"/>
    <w:rsid w:val="00BA4FF3"/>
    <w:rsid w:val="00BA6DB0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3C3B"/>
    <w:rsid w:val="00BD431B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330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3BC5"/>
    <w:rsid w:val="00C4455B"/>
    <w:rsid w:val="00C44D20"/>
    <w:rsid w:val="00C45431"/>
    <w:rsid w:val="00C45E7F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1E20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D44"/>
    <w:rsid w:val="00C9521B"/>
    <w:rsid w:val="00C95C33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3D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4B50"/>
    <w:rsid w:val="00D051AA"/>
    <w:rsid w:val="00D0674B"/>
    <w:rsid w:val="00D0707D"/>
    <w:rsid w:val="00D076BA"/>
    <w:rsid w:val="00D07EBE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0D3"/>
    <w:rsid w:val="00D16DEA"/>
    <w:rsid w:val="00D17039"/>
    <w:rsid w:val="00D20034"/>
    <w:rsid w:val="00D20B89"/>
    <w:rsid w:val="00D210A7"/>
    <w:rsid w:val="00D21391"/>
    <w:rsid w:val="00D220A9"/>
    <w:rsid w:val="00D22E26"/>
    <w:rsid w:val="00D23D9A"/>
    <w:rsid w:val="00D247AC"/>
    <w:rsid w:val="00D24861"/>
    <w:rsid w:val="00D2529E"/>
    <w:rsid w:val="00D25C78"/>
    <w:rsid w:val="00D27600"/>
    <w:rsid w:val="00D2794C"/>
    <w:rsid w:val="00D30375"/>
    <w:rsid w:val="00D306B2"/>
    <w:rsid w:val="00D314D4"/>
    <w:rsid w:val="00D31A2C"/>
    <w:rsid w:val="00D3208D"/>
    <w:rsid w:val="00D3420A"/>
    <w:rsid w:val="00D35AFC"/>
    <w:rsid w:val="00D35B3D"/>
    <w:rsid w:val="00D36596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A6D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3470"/>
    <w:rsid w:val="00DA40CF"/>
    <w:rsid w:val="00DA4A77"/>
    <w:rsid w:val="00DA529C"/>
    <w:rsid w:val="00DA5D84"/>
    <w:rsid w:val="00DA6FC2"/>
    <w:rsid w:val="00DA772F"/>
    <w:rsid w:val="00DB0851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3A63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6416"/>
    <w:rsid w:val="00DF011D"/>
    <w:rsid w:val="00DF20C1"/>
    <w:rsid w:val="00DF39DE"/>
    <w:rsid w:val="00DF46AC"/>
    <w:rsid w:val="00DF46FA"/>
    <w:rsid w:val="00DF4964"/>
    <w:rsid w:val="00DF629E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2B7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16C"/>
    <w:rsid w:val="00E33B8C"/>
    <w:rsid w:val="00E33EF2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B8B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C75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123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D4A"/>
    <w:rsid w:val="00EB0E42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223E"/>
    <w:rsid w:val="00ED2C24"/>
    <w:rsid w:val="00ED414A"/>
    <w:rsid w:val="00ED4AE9"/>
    <w:rsid w:val="00ED5C6E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D67"/>
    <w:rsid w:val="00EE70DB"/>
    <w:rsid w:val="00EE759B"/>
    <w:rsid w:val="00EE795F"/>
    <w:rsid w:val="00EF08C9"/>
    <w:rsid w:val="00EF0BCF"/>
    <w:rsid w:val="00EF1E99"/>
    <w:rsid w:val="00EF291A"/>
    <w:rsid w:val="00EF4DBE"/>
    <w:rsid w:val="00EF525D"/>
    <w:rsid w:val="00EF60CC"/>
    <w:rsid w:val="00EF65A7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6EA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227"/>
    <w:rsid w:val="00F5136E"/>
    <w:rsid w:val="00F515E6"/>
    <w:rsid w:val="00F51864"/>
    <w:rsid w:val="00F5224C"/>
    <w:rsid w:val="00F527F9"/>
    <w:rsid w:val="00F541BA"/>
    <w:rsid w:val="00F56263"/>
    <w:rsid w:val="00F566E7"/>
    <w:rsid w:val="00F56FF3"/>
    <w:rsid w:val="00F57CFE"/>
    <w:rsid w:val="00F6029A"/>
    <w:rsid w:val="00F60E13"/>
    <w:rsid w:val="00F60E8E"/>
    <w:rsid w:val="00F61759"/>
    <w:rsid w:val="00F62A38"/>
    <w:rsid w:val="00F64D1B"/>
    <w:rsid w:val="00F6685E"/>
    <w:rsid w:val="00F70BAE"/>
    <w:rsid w:val="00F7223E"/>
    <w:rsid w:val="00F72902"/>
    <w:rsid w:val="00F7303B"/>
    <w:rsid w:val="00F74187"/>
    <w:rsid w:val="00F743BC"/>
    <w:rsid w:val="00F75883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36BB"/>
    <w:rsid w:val="00F93CE6"/>
    <w:rsid w:val="00F94ED5"/>
    <w:rsid w:val="00F94EE2"/>
    <w:rsid w:val="00F95ED1"/>
    <w:rsid w:val="00F95F05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0E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2905"/>
    <w:rsid w:val="00FD2D55"/>
    <w:rsid w:val="00FD32BA"/>
    <w:rsid w:val="00FD38F0"/>
    <w:rsid w:val="00FD764F"/>
    <w:rsid w:val="00FD7C6A"/>
    <w:rsid w:val="00FE023B"/>
    <w:rsid w:val="00FE0916"/>
    <w:rsid w:val="00FE15F3"/>
    <w:rsid w:val="00FE1FA5"/>
    <w:rsid w:val="00FE20E6"/>
    <w:rsid w:val="00FE2A9F"/>
    <w:rsid w:val="00FE2D1E"/>
    <w:rsid w:val="00FE2D98"/>
    <w:rsid w:val="00FE312B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524C4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70B11"/>
    <w:pPr>
      <w:spacing w:after="180"/>
    </w:pPr>
    <w:rPr>
      <w:lang w:val="en-GB"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0F7ECB"/>
    <w:rPr>
      <w:rFonts w:ascii="Arial" w:hAnsi="Arial"/>
      <w:b/>
      <w:noProof/>
      <w:sz w:val="18"/>
      <w:lang w:eastAsia="ko-KR" w:bidi="ar-SA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ellenraster">
    <w:name w:val="Table Grid"/>
    <w:basedOn w:val="NormaleTabelle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KommentarthemaZchn">
    <w:name w:val="Kommentarthema Zchn"/>
    <w:link w:val="Kommentarthema"/>
    <w:rsid w:val="006834CE"/>
    <w:rPr>
      <w:rFonts w:ascii="Arial" w:hAnsi="Arial"/>
      <w:b/>
      <w:bCs/>
      <w:lang w:val="en-GB" w:eastAsia="ko-KR"/>
    </w:rPr>
  </w:style>
  <w:style w:type="paragraph" w:styleId="Beschriftung">
    <w:name w:val="caption"/>
    <w:basedOn w:val="Standard"/>
    <w:next w:val="Standard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StandardWeb">
    <w:name w:val="Normal (Web)"/>
    <w:basedOn w:val="Standard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enabsatz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Standard"/>
    <w:link w:val="ListenabsatzZchn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enabsatzZchn">
    <w:name w:val="Listenabsatz Zchn"/>
    <w:aliases w:val="- Bullets Zchn,목록 단락 Zchn,Lista1 Zchn,?? ?? Zchn,????? Zchn,???? Zchn,列出段落 Zchn,列出段落1 Zchn,中等深浅网格 1 - 着色 21 Zchn,¥¡¡¡¡ì¬º¥¹¥È¶ÎÂä Zchn,ÁÐ³ö¶ÎÂä Zchn,列表段落1 Zchn,—ño’i—Ž Zchn,¥ê¥¹¥È¶ÎÂä Zchn,列表段落 Zchn,Lettre d'introduction Zchn"/>
    <w:link w:val="Listenabsatz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BesuchterLink">
    <w:name w:val="FollowedHyperlink"/>
    <w:rsid w:val="00D314D4"/>
    <w:rPr>
      <w:color w:val="954F72"/>
      <w:u w:val="single"/>
    </w:rPr>
  </w:style>
  <w:style w:type="paragraph" w:styleId="berarbeitung">
    <w:name w:val="Revision"/>
    <w:hidden/>
    <w:uiPriority w:val="99"/>
    <w:semiHidden/>
    <w:rsid w:val="006A2BF9"/>
    <w:rPr>
      <w:lang w:val="en-GB" w:eastAsia="ko-K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1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www.itu.int/rec/R-REC-BT.1206-3-201604-I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cid:image002.png@01D8D32C.A49FAFA0" TargetMode="External"/><Relationship Id="rId17" Type="http://schemas.openxmlformats.org/officeDocument/2006/relationships/hyperlink" Target="https://www.itu.int/rec/R-REC-BT.1368-13-201706-I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ebu.c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swr.d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en/302200_302299/302296/02.02.01_30/en_302296v020201v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3.png@01D8D32D.F012266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FCE81-27C6-4AF0-8C12-93EA1BE07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866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Beutler, Roland</cp:lastModifiedBy>
  <cp:revision>2</cp:revision>
  <cp:lastPrinted>2022-08-02T08:17:00Z</cp:lastPrinted>
  <dcterms:created xsi:type="dcterms:W3CDTF">2022-09-30T11:49:00Z</dcterms:created>
  <dcterms:modified xsi:type="dcterms:W3CDTF">2022-09-30T11:49:00Z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