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2D0F072"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8920B4">
        <w:rPr>
          <w:rFonts w:cs="Arial"/>
          <w:sz w:val="24"/>
          <w:szCs w:val="24"/>
          <w:lang w:val="de-DE"/>
        </w:rPr>
        <w:t>4</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C24F0B">
        <w:rPr>
          <w:rFonts w:cs="Arial"/>
          <w:sz w:val="24"/>
          <w:szCs w:val="24"/>
          <w:lang w:val="de-DE"/>
        </w:rPr>
        <w:t>1</w:t>
      </w:r>
      <w:r w:rsidR="0007744C">
        <w:rPr>
          <w:rFonts w:cs="Arial"/>
          <w:sz w:val="24"/>
          <w:szCs w:val="24"/>
          <w:lang w:val="de-DE"/>
        </w:rPr>
        <w:t>4000</w:t>
      </w:r>
    </w:p>
    <w:p w14:paraId="7C5F9A1F" w14:textId="2F774506" w:rsidR="006E440C" w:rsidRPr="00DB3907" w:rsidRDefault="00324696" w:rsidP="006E440C">
      <w:pPr>
        <w:pStyle w:val="Header"/>
        <w:tabs>
          <w:tab w:val="left" w:pos="6521"/>
        </w:tabs>
        <w:rPr>
          <w:rFonts w:cs="Arial"/>
          <w:sz w:val="24"/>
          <w:szCs w:val="24"/>
        </w:rPr>
      </w:pPr>
      <w:r>
        <w:rPr>
          <w:rFonts w:cs="Arial"/>
          <w:sz w:val="24"/>
          <w:szCs w:val="24"/>
        </w:rPr>
        <w:t>August</w:t>
      </w:r>
      <w:r w:rsidR="006E440C">
        <w:rPr>
          <w:rFonts w:cs="Arial"/>
          <w:sz w:val="24"/>
          <w:szCs w:val="24"/>
        </w:rPr>
        <w:t xml:space="preserve"> </w:t>
      </w:r>
      <w:r>
        <w:rPr>
          <w:rFonts w:cs="Arial"/>
          <w:sz w:val="24"/>
          <w:szCs w:val="24"/>
        </w:rPr>
        <w:t>15</w:t>
      </w:r>
      <w:r w:rsidR="006E440C">
        <w:rPr>
          <w:rFonts w:cs="Arial"/>
          <w:sz w:val="24"/>
          <w:szCs w:val="24"/>
          <w:vertAlign w:val="superscript"/>
        </w:rPr>
        <w:t>th</w:t>
      </w:r>
      <w:r w:rsidR="006E440C">
        <w:rPr>
          <w:rFonts w:cs="Arial"/>
          <w:sz w:val="24"/>
          <w:szCs w:val="24"/>
        </w:rPr>
        <w:t xml:space="preserve"> ‒ 2</w:t>
      </w:r>
      <w:r>
        <w:rPr>
          <w:rFonts w:cs="Arial"/>
          <w:sz w:val="24"/>
          <w:szCs w:val="24"/>
        </w:rPr>
        <w:t>6</w:t>
      </w:r>
      <w:r>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BAEC94A"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8613F">
        <w:rPr>
          <w:rFonts w:ascii="Arial" w:hAnsi="Arial"/>
          <w:sz w:val="24"/>
          <w:lang w:val="en-US"/>
        </w:rPr>
        <w:t>10.19.3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F9F63C2"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3734CF">
        <w:rPr>
          <w:rFonts w:ascii="Arial" w:hAnsi="Arial"/>
          <w:sz w:val="24"/>
          <w:lang w:val="en-US"/>
        </w:rPr>
        <w:t xml:space="preserve">UE RF requirements for the </w:t>
      </w:r>
      <w:r w:rsidR="00C12CF8">
        <w:rPr>
          <w:rFonts w:ascii="Arial" w:hAnsi="Arial"/>
          <w:sz w:val="24"/>
          <w:lang w:val="en-US"/>
        </w:rPr>
        <w:t>APT</w:t>
      </w:r>
      <w:r w:rsidR="00324696">
        <w:rPr>
          <w:rFonts w:ascii="Arial" w:hAnsi="Arial"/>
          <w:sz w:val="24"/>
          <w:lang w:val="en-US"/>
        </w:rPr>
        <w:t xml:space="preserve"> 600 MHz band</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372C6C" w14:textId="67B21391" w:rsidR="00B74467" w:rsidRDefault="001303FD" w:rsidP="00354733">
      <w:pPr>
        <w:rPr>
          <w:lang w:val="en-US"/>
        </w:rPr>
      </w:pPr>
      <w:r>
        <w:rPr>
          <w:lang w:val="en-US"/>
        </w:rPr>
        <w:t xml:space="preserve">The APT 600 MHz band </w:t>
      </w:r>
      <w:r w:rsidR="00941CAE">
        <w:rPr>
          <w:lang w:val="en-US"/>
        </w:rPr>
        <w:t xml:space="preserve">was the subject of a study item </w:t>
      </w:r>
      <w:r w:rsidR="006B3D8C">
        <w:rPr>
          <w:lang w:val="en-US"/>
        </w:rPr>
        <w:t xml:space="preserve">with a corresponding technical report published </w:t>
      </w:r>
      <w:r w:rsidR="007E2091">
        <w:rPr>
          <w:lang w:val="en-US"/>
        </w:rPr>
        <w:t xml:space="preserve">[1] during the Rel-17 timeframe.  </w:t>
      </w:r>
      <w:r w:rsidR="00717084">
        <w:rPr>
          <w:lang w:val="en-US"/>
        </w:rPr>
        <w:t xml:space="preserve">During the course of the study item, a preferred band plan </w:t>
      </w:r>
      <w:r w:rsidR="00103323">
        <w:rPr>
          <w:lang w:val="en-US"/>
        </w:rPr>
        <w:t xml:space="preserve">according to option B1 </w:t>
      </w:r>
      <w:r w:rsidR="00717084">
        <w:rPr>
          <w:lang w:val="en-US"/>
        </w:rPr>
        <w:t xml:space="preserve">was identified as well as feasibility and requirements evaluated.  </w:t>
      </w:r>
      <w:r w:rsidR="006D538E">
        <w:rPr>
          <w:lang w:val="en-US"/>
        </w:rPr>
        <w:t xml:space="preserve">A work item to specify the band has now been agreed [2].  </w:t>
      </w:r>
      <w:r w:rsidR="00476E21">
        <w:rPr>
          <w:lang w:val="en-US"/>
        </w:rPr>
        <w:t>UE RF requirements are presented for the APT 600 MHz band herein</w:t>
      </w:r>
      <w:r w:rsidR="002579D1">
        <w:rPr>
          <w:lang w:val="en-US"/>
        </w:rPr>
        <w:t xml:space="preserve"> with a draft CR in [</w:t>
      </w:r>
      <w:r w:rsidR="00C427B7">
        <w:rPr>
          <w:lang w:val="en-US"/>
        </w:rPr>
        <w:t>8</w:t>
      </w:r>
      <w:r w:rsidR="003E1CF3">
        <w:rPr>
          <w:lang w:val="en-US"/>
        </w:rPr>
        <w:t>]</w:t>
      </w:r>
      <w:r w:rsidR="000E0792">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2FE3D458" w14:textId="116D0DF2" w:rsidR="005524D9" w:rsidRDefault="00AC403D" w:rsidP="005524D9">
      <w:pPr>
        <w:pStyle w:val="Heading2"/>
        <w:rPr>
          <w:lang w:val="en-US"/>
        </w:rPr>
      </w:pPr>
      <w:r>
        <w:rPr>
          <w:lang w:val="en-US"/>
        </w:rPr>
        <w:t>Frequency arrangement</w:t>
      </w:r>
    </w:p>
    <w:p w14:paraId="1FBCC6CC" w14:textId="494886E5" w:rsidR="00AC403D" w:rsidRDefault="00AC403D" w:rsidP="00AC403D">
      <w:pPr>
        <w:rPr>
          <w:lang w:val="en-US"/>
        </w:rPr>
      </w:pPr>
      <w:r>
        <w:rPr>
          <w:lang w:val="en-US"/>
        </w:rPr>
        <w:t xml:space="preserve">According to </w:t>
      </w:r>
      <w:r w:rsidR="00BA7B5F">
        <w:rPr>
          <w:lang w:val="en-US"/>
        </w:rPr>
        <w:t>an LS [3] from AWG, the preferred frequency plan</w:t>
      </w:r>
      <w:r w:rsidR="00DD3CC3">
        <w:rPr>
          <w:lang w:val="en-US"/>
        </w:rPr>
        <w:t xml:space="preserve"> is according to option B1.  Thus, we have</w:t>
      </w:r>
      <w:r w:rsidR="008E532F">
        <w:rPr>
          <w:lang w:val="en-US"/>
        </w:rPr>
        <w:t xml:space="preserve"> the frequency arrangement as</w:t>
      </w:r>
    </w:p>
    <w:p w14:paraId="09E4FFEB" w14:textId="77777777" w:rsidR="008E532F" w:rsidRDefault="008E532F" w:rsidP="008E532F">
      <w:pPr>
        <w:pStyle w:val="TH"/>
      </w:pPr>
      <w:bookmarkStart w:id="0" w:name="_Hlk71023975"/>
      <w:r>
        <w:t>Table 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8E532F" w14:paraId="3D81C9D4" w14:textId="77777777" w:rsidTr="00B27F03">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13A9797" w14:textId="77777777" w:rsidR="008E532F" w:rsidRDefault="008E532F" w:rsidP="00B27F03">
            <w:pPr>
              <w:pStyle w:val="TAH"/>
              <w:rPr>
                <w:rFonts w:cs="Arial"/>
              </w:rPr>
            </w:pPr>
            <w:r>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FD63EB1" w14:textId="77777777" w:rsidR="008E532F" w:rsidRDefault="008E532F" w:rsidP="00B27F03">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492FE70A" w14:textId="77777777" w:rsidR="008E532F" w:rsidRDefault="008E532F" w:rsidP="00B27F03">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DBF4333" w14:textId="77777777" w:rsidR="008E532F" w:rsidRDefault="008E532F" w:rsidP="00B27F03">
            <w:pPr>
              <w:pStyle w:val="TAH"/>
              <w:rPr>
                <w:rFonts w:cs="Arial"/>
              </w:rPr>
            </w:pPr>
            <w:r>
              <w:rPr>
                <w:rFonts w:cs="Arial"/>
              </w:rPr>
              <w:t>Duplex Mode</w:t>
            </w:r>
          </w:p>
        </w:tc>
      </w:tr>
      <w:tr w:rsidR="008E532F" w14:paraId="7D9F456F" w14:textId="77777777" w:rsidTr="00B27F03">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7289CBD" w14:textId="77777777" w:rsidR="008E532F" w:rsidRDefault="008E532F" w:rsidP="00B27F03">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C11C685" w14:textId="77777777" w:rsidR="008E532F" w:rsidRDefault="008E532F" w:rsidP="00B27F0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40F99736" w14:textId="77777777" w:rsidR="008E532F" w:rsidRDefault="008E532F" w:rsidP="00B27F0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22AC39D" w14:textId="77777777" w:rsidR="008E532F" w:rsidRDefault="008E532F" w:rsidP="00B27F03">
            <w:pPr>
              <w:spacing w:after="0"/>
              <w:rPr>
                <w:rFonts w:ascii="Arial" w:hAnsi="Arial" w:cs="Arial"/>
                <w:b/>
                <w:sz w:val="18"/>
              </w:rPr>
            </w:pPr>
          </w:p>
        </w:tc>
      </w:tr>
      <w:tr w:rsidR="008E532F" w14:paraId="6220DC19" w14:textId="77777777" w:rsidTr="00B27F03">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237A6A3" w14:textId="77777777" w:rsidR="008E532F" w:rsidRDefault="008E532F" w:rsidP="00B27F03">
            <w:pPr>
              <w:pStyle w:val="TAC"/>
              <w:rPr>
                <w:rFonts w:cs="Arial"/>
              </w:rPr>
            </w:pPr>
          </w:p>
        </w:tc>
        <w:tc>
          <w:tcPr>
            <w:tcW w:w="1226" w:type="dxa"/>
            <w:tcBorders>
              <w:top w:val="single" w:sz="4" w:space="0" w:color="auto"/>
              <w:left w:val="single" w:sz="4" w:space="0" w:color="auto"/>
              <w:bottom w:val="single" w:sz="4" w:space="0" w:color="auto"/>
              <w:right w:val="nil"/>
            </w:tcBorders>
            <w:vAlign w:val="center"/>
            <w:hideMark/>
          </w:tcPr>
          <w:p w14:paraId="0C00AA0A" w14:textId="77777777" w:rsidR="008E532F" w:rsidRDefault="008E532F" w:rsidP="00B27F03">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087E78D" w14:textId="77777777" w:rsidR="008E532F" w:rsidRDefault="008E532F" w:rsidP="00B27F03">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8CABC40" w14:textId="77777777" w:rsidR="008E532F" w:rsidRDefault="008E532F" w:rsidP="00B27F03">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24A4CDA6" w14:textId="77777777" w:rsidR="008E532F" w:rsidRDefault="008E532F" w:rsidP="00B27F03">
            <w:pPr>
              <w:pStyle w:val="TAR"/>
              <w:rPr>
                <w:rFonts w:cs="Arial"/>
              </w:rPr>
            </w:pPr>
            <w:r>
              <w:rPr>
                <w:rFonts w:cs="Arial"/>
              </w:rPr>
              <w:t>612 MHz</w:t>
            </w:r>
          </w:p>
        </w:tc>
        <w:tc>
          <w:tcPr>
            <w:tcW w:w="317" w:type="dxa"/>
            <w:tcBorders>
              <w:top w:val="single" w:sz="4" w:space="0" w:color="auto"/>
              <w:left w:val="nil"/>
              <w:bottom w:val="single" w:sz="4" w:space="0" w:color="auto"/>
              <w:right w:val="nil"/>
            </w:tcBorders>
            <w:hideMark/>
          </w:tcPr>
          <w:p w14:paraId="61723072" w14:textId="77777777" w:rsidR="008E532F" w:rsidRDefault="008E532F" w:rsidP="00B27F03">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74B968C4" w14:textId="77777777" w:rsidR="008E532F" w:rsidRDefault="008E532F" w:rsidP="00B27F03">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07F521DD" w14:textId="77777777" w:rsidR="008E532F" w:rsidRDefault="008E532F" w:rsidP="00B27F03">
            <w:pPr>
              <w:pStyle w:val="TAC"/>
              <w:rPr>
                <w:rFonts w:cs="Arial"/>
              </w:rPr>
            </w:pPr>
            <w:r>
              <w:rPr>
                <w:rFonts w:cs="Arial"/>
              </w:rPr>
              <w:t>FDD</w:t>
            </w:r>
          </w:p>
        </w:tc>
      </w:tr>
      <w:bookmarkEnd w:id="0"/>
    </w:tbl>
    <w:p w14:paraId="7E6BD55B" w14:textId="0156F025" w:rsidR="008E532F" w:rsidRDefault="008E532F" w:rsidP="00AC403D">
      <w:pPr>
        <w:rPr>
          <w:lang w:val="en-US"/>
        </w:rPr>
      </w:pPr>
    </w:p>
    <w:p w14:paraId="7F476420" w14:textId="08FB69AA" w:rsidR="00EE78ED" w:rsidRDefault="00EE78ED" w:rsidP="00AC403D">
      <w:pPr>
        <w:rPr>
          <w:lang w:val="en-US"/>
        </w:rPr>
      </w:pPr>
      <w:r>
        <w:rPr>
          <w:lang w:val="en-US"/>
        </w:rPr>
        <w:t xml:space="preserve">It is further </w:t>
      </w:r>
      <w:r w:rsidR="00D9485A">
        <w:rPr>
          <w:lang w:val="en-US"/>
        </w:rPr>
        <w:t xml:space="preserve">indicated </w:t>
      </w:r>
      <w:r w:rsidR="00502ECA">
        <w:rPr>
          <w:lang w:val="en-US"/>
        </w:rPr>
        <w:t xml:space="preserve">in [2] that </w:t>
      </w:r>
      <w:r w:rsidR="00C416EA">
        <w:rPr>
          <w:lang w:val="en-US"/>
        </w:rPr>
        <w:t>“</w:t>
      </w:r>
      <w:r w:rsidR="00502ECA">
        <w:rPr>
          <w:lang w:val="en-US"/>
        </w:rPr>
        <w:t>Option B1</w:t>
      </w:r>
      <w:r w:rsidR="00C416EA">
        <w:rPr>
          <w:lang w:val="en-US"/>
        </w:rPr>
        <w:t xml:space="preserve"> with a single duplexer” should be the basis for the normative work.</w:t>
      </w:r>
    </w:p>
    <w:p w14:paraId="03D68B56" w14:textId="4730CDC5" w:rsidR="000F7DCE" w:rsidRDefault="000F7DCE" w:rsidP="000F7DCE">
      <w:pPr>
        <w:pStyle w:val="Heading2"/>
        <w:rPr>
          <w:lang w:val="en-US"/>
        </w:rPr>
      </w:pPr>
      <w:r>
        <w:rPr>
          <w:lang w:val="en-US"/>
        </w:rPr>
        <w:t>Channel bandwidths</w:t>
      </w:r>
    </w:p>
    <w:p w14:paraId="3652EB23" w14:textId="0372CA0B" w:rsidR="000F7DCE" w:rsidRDefault="00430297" w:rsidP="000F7DCE">
      <w:pPr>
        <w:rPr>
          <w:lang w:val="en-US"/>
        </w:rPr>
      </w:pPr>
      <w:r>
        <w:rPr>
          <w:lang w:val="en-US"/>
        </w:rPr>
        <w:t>According to [2], the requested channel bandwidths are 5, 10, 15, 20, 25, 30</w:t>
      </w:r>
      <w:r w:rsidR="002C4BCC">
        <w:rPr>
          <w:lang w:val="en-US"/>
        </w:rPr>
        <w:t>, and 35</w:t>
      </w:r>
      <w:r>
        <w:rPr>
          <w:lang w:val="en-US"/>
        </w:rPr>
        <w:t xml:space="preserve"> MHz</w:t>
      </w:r>
      <w:r w:rsidR="002C4BCC">
        <w:rPr>
          <w:lang w:val="en-US"/>
        </w:rPr>
        <w:t xml:space="preserve">.  Thus, although the band is wide enough to support 40 MHz channels, </w:t>
      </w:r>
      <w:r w:rsidR="00B1781B">
        <w:rPr>
          <w:lang w:val="en-US"/>
        </w:rPr>
        <w:t>these</w:t>
      </w:r>
      <w:r w:rsidR="002C4BCC">
        <w:rPr>
          <w:lang w:val="en-US"/>
        </w:rPr>
        <w:t xml:space="preserve"> ha</w:t>
      </w:r>
      <w:r w:rsidR="00B1781B">
        <w:rPr>
          <w:lang w:val="en-US"/>
        </w:rPr>
        <w:t>ve</w:t>
      </w:r>
      <w:r w:rsidR="002C4BCC">
        <w:rPr>
          <w:lang w:val="en-US"/>
        </w:rPr>
        <w:t xml:space="preserve"> not been requested</w:t>
      </w:r>
      <w:r w:rsidR="007F605B">
        <w:rPr>
          <w:lang w:val="en-US"/>
        </w:rPr>
        <w:t xml:space="preserve"> at this time.  </w:t>
      </w:r>
      <w:r w:rsidR="00B1781B">
        <w:rPr>
          <w:lang w:val="en-US"/>
        </w:rPr>
        <w:t xml:space="preserve">Furthermore, it </w:t>
      </w:r>
      <w:r w:rsidR="004C6934">
        <w:rPr>
          <w:lang w:val="en-US"/>
        </w:rPr>
        <w:t>is</w:t>
      </w:r>
      <w:r w:rsidR="00B1781B">
        <w:rPr>
          <w:lang w:val="en-US"/>
        </w:rPr>
        <w:t xml:space="preserve"> indicated that the uplink channel bandwidth should be limited to 20 MHz to limit the MSD similar to the case with Band n71.</w:t>
      </w:r>
      <w:r w:rsidR="00DA23F0">
        <w:rPr>
          <w:lang w:val="en-US"/>
        </w:rPr>
        <w:t xml:space="preserve">  Thus, the channel bandwidths can be specified as follows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803A48" w:rsidRPr="00A1115A" w14:paraId="2E6F1AA4" w14:textId="77777777" w:rsidTr="00677A19">
        <w:trPr>
          <w:jc w:val="center"/>
        </w:trPr>
        <w:tc>
          <w:tcPr>
            <w:tcW w:w="707" w:type="dxa"/>
            <w:vMerge w:val="restart"/>
            <w:tcBorders>
              <w:top w:val="single" w:sz="4" w:space="0" w:color="auto"/>
            </w:tcBorders>
            <w:shd w:val="clear" w:color="auto" w:fill="auto"/>
            <w:tcMar>
              <w:left w:w="28" w:type="dxa"/>
              <w:right w:w="28" w:type="dxa"/>
            </w:tcMar>
          </w:tcPr>
          <w:p w14:paraId="0BD07311" w14:textId="77777777" w:rsidR="00803A48" w:rsidRPr="00A1115A" w:rsidRDefault="00803A48" w:rsidP="00B27F03">
            <w:pPr>
              <w:keepLines/>
              <w:spacing w:after="0"/>
              <w:jc w:val="center"/>
              <w:rPr>
                <w:rFonts w:ascii="Arial" w:eastAsia="Yu Mincho" w:hAnsi="Arial"/>
                <w:sz w:val="18"/>
              </w:rPr>
            </w:pPr>
            <w:r>
              <w:rPr>
                <w:rFonts w:ascii="Arial" w:eastAsia="Yu Mincho" w:hAnsi="Arial"/>
                <w:sz w:val="18"/>
              </w:rPr>
              <w:t>nXYZ</w:t>
            </w:r>
          </w:p>
        </w:tc>
        <w:tc>
          <w:tcPr>
            <w:tcW w:w="709" w:type="dxa"/>
            <w:tcBorders>
              <w:top w:val="single" w:sz="4" w:space="0" w:color="auto"/>
            </w:tcBorders>
            <w:tcMar>
              <w:left w:w="28" w:type="dxa"/>
              <w:right w:w="28" w:type="dxa"/>
            </w:tcMar>
          </w:tcPr>
          <w:p w14:paraId="56DB04DA" w14:textId="77777777" w:rsidR="00803A48" w:rsidRDefault="00803A48" w:rsidP="00B27F03">
            <w:pPr>
              <w:pStyle w:val="TAC"/>
            </w:pPr>
            <w:r>
              <w:t>15</w:t>
            </w:r>
          </w:p>
        </w:tc>
        <w:tc>
          <w:tcPr>
            <w:tcW w:w="566" w:type="dxa"/>
            <w:tcBorders>
              <w:top w:val="single" w:sz="4" w:space="0" w:color="auto"/>
            </w:tcBorders>
            <w:tcMar>
              <w:left w:w="28" w:type="dxa"/>
              <w:right w:w="28" w:type="dxa"/>
            </w:tcMar>
          </w:tcPr>
          <w:p w14:paraId="2B560972" w14:textId="77777777" w:rsidR="00803A48" w:rsidRPr="00A1115A" w:rsidRDefault="00803A48" w:rsidP="00B27F03">
            <w:pPr>
              <w:pStyle w:val="TAC"/>
              <w:rPr>
                <w:rFonts w:eastAsia="Yu Mincho"/>
              </w:rPr>
            </w:pPr>
            <w:r w:rsidRPr="000248C6">
              <w:t>5</w:t>
            </w:r>
          </w:p>
        </w:tc>
        <w:tc>
          <w:tcPr>
            <w:tcW w:w="637" w:type="dxa"/>
            <w:tcBorders>
              <w:top w:val="single" w:sz="4" w:space="0" w:color="auto"/>
            </w:tcBorders>
            <w:tcMar>
              <w:left w:w="28" w:type="dxa"/>
              <w:right w:w="28" w:type="dxa"/>
            </w:tcMar>
            <w:vAlign w:val="center"/>
          </w:tcPr>
          <w:p w14:paraId="1EB5239F" w14:textId="77777777" w:rsidR="00803A48" w:rsidRDefault="00803A48" w:rsidP="00B27F03">
            <w:pPr>
              <w:pStyle w:val="TAC"/>
            </w:pPr>
            <w:r w:rsidRPr="000248C6">
              <w:t>10</w:t>
            </w:r>
          </w:p>
        </w:tc>
        <w:tc>
          <w:tcPr>
            <w:tcW w:w="638" w:type="dxa"/>
            <w:tcBorders>
              <w:top w:val="single" w:sz="4" w:space="0" w:color="auto"/>
            </w:tcBorders>
            <w:tcMar>
              <w:left w:w="28" w:type="dxa"/>
              <w:right w:w="28" w:type="dxa"/>
            </w:tcMar>
            <w:vAlign w:val="center"/>
          </w:tcPr>
          <w:p w14:paraId="26244FFF" w14:textId="77777777" w:rsidR="00803A48" w:rsidRPr="00A1115A" w:rsidRDefault="00803A48" w:rsidP="00B27F03">
            <w:pPr>
              <w:pStyle w:val="TAC"/>
              <w:rPr>
                <w:rFonts w:eastAsia="Yu Mincho" w:cs="Arial"/>
                <w:szCs w:val="18"/>
              </w:rPr>
            </w:pPr>
            <w:r w:rsidRPr="000248C6">
              <w:t>15</w:t>
            </w:r>
          </w:p>
        </w:tc>
        <w:tc>
          <w:tcPr>
            <w:tcW w:w="708" w:type="dxa"/>
            <w:tcBorders>
              <w:top w:val="single" w:sz="4" w:space="0" w:color="auto"/>
            </w:tcBorders>
            <w:tcMar>
              <w:left w:w="28" w:type="dxa"/>
              <w:right w:w="28" w:type="dxa"/>
            </w:tcMar>
            <w:vAlign w:val="center"/>
          </w:tcPr>
          <w:p w14:paraId="5A1DBD2E" w14:textId="77777777" w:rsidR="00803A48" w:rsidRDefault="00803A48" w:rsidP="00B27F03">
            <w:pPr>
              <w:pStyle w:val="TAC"/>
              <w:rPr>
                <w:rFonts w:eastAsia="Yu Mincho" w:cs="Arial"/>
                <w:szCs w:val="18"/>
              </w:rPr>
            </w:pPr>
            <w:r w:rsidRPr="000248C6">
              <w:t>20</w:t>
            </w:r>
          </w:p>
        </w:tc>
        <w:tc>
          <w:tcPr>
            <w:tcW w:w="567" w:type="dxa"/>
            <w:tcBorders>
              <w:top w:val="single" w:sz="4" w:space="0" w:color="auto"/>
            </w:tcBorders>
            <w:tcMar>
              <w:left w:w="28" w:type="dxa"/>
              <w:right w:w="28" w:type="dxa"/>
            </w:tcMar>
          </w:tcPr>
          <w:p w14:paraId="41EF7BDB" w14:textId="77777777" w:rsidR="00803A48" w:rsidRPr="00A1115A" w:rsidRDefault="00803A48" w:rsidP="00B27F03">
            <w:pPr>
              <w:pStyle w:val="TAC"/>
              <w:rPr>
                <w:rFonts w:eastAsia="Yu Mincho" w:cs="Arial"/>
                <w:szCs w:val="18"/>
              </w:rPr>
            </w:pPr>
            <w:r w:rsidRPr="000248C6">
              <w:t>25</w:t>
            </w:r>
            <w:r w:rsidRPr="00143740">
              <w:rPr>
                <w:vertAlign w:val="superscript"/>
              </w:rPr>
              <w:t>3</w:t>
            </w:r>
          </w:p>
        </w:tc>
        <w:tc>
          <w:tcPr>
            <w:tcW w:w="567" w:type="dxa"/>
            <w:tcBorders>
              <w:top w:val="single" w:sz="4" w:space="0" w:color="auto"/>
            </w:tcBorders>
            <w:tcMar>
              <w:left w:w="28" w:type="dxa"/>
              <w:right w:w="28" w:type="dxa"/>
            </w:tcMar>
          </w:tcPr>
          <w:p w14:paraId="1B6F5ADA" w14:textId="77777777" w:rsidR="00803A48" w:rsidRDefault="00803A48" w:rsidP="00B27F03">
            <w:pPr>
              <w:pStyle w:val="TAC"/>
              <w:rPr>
                <w:rFonts w:eastAsia="Yu Mincho" w:cs="Arial"/>
                <w:szCs w:val="18"/>
              </w:rPr>
            </w:pPr>
            <w:r w:rsidRPr="000248C6">
              <w:t>30</w:t>
            </w:r>
            <w:r w:rsidRPr="00143740">
              <w:rPr>
                <w:vertAlign w:val="superscript"/>
              </w:rPr>
              <w:t>3</w:t>
            </w:r>
          </w:p>
        </w:tc>
        <w:tc>
          <w:tcPr>
            <w:tcW w:w="709" w:type="dxa"/>
            <w:tcBorders>
              <w:top w:val="single" w:sz="4" w:space="0" w:color="auto"/>
            </w:tcBorders>
          </w:tcPr>
          <w:p w14:paraId="19FD0BF4" w14:textId="77777777" w:rsidR="00803A48" w:rsidRPr="00A1115A" w:rsidRDefault="00803A48" w:rsidP="00B27F03">
            <w:pPr>
              <w:pStyle w:val="TAC"/>
              <w:rPr>
                <w:rFonts w:eastAsia="Yu Mincho" w:cs="Arial"/>
                <w:szCs w:val="18"/>
              </w:rPr>
            </w:pPr>
            <w:r w:rsidRPr="000248C6">
              <w:t>35</w:t>
            </w:r>
            <w:r w:rsidRPr="00143740">
              <w:rPr>
                <w:vertAlign w:val="superscript"/>
              </w:rPr>
              <w:t>3</w:t>
            </w:r>
          </w:p>
        </w:tc>
        <w:tc>
          <w:tcPr>
            <w:tcW w:w="709" w:type="dxa"/>
            <w:tcBorders>
              <w:top w:val="single" w:sz="4" w:space="0" w:color="auto"/>
            </w:tcBorders>
            <w:tcMar>
              <w:left w:w="28" w:type="dxa"/>
              <w:right w:w="28" w:type="dxa"/>
            </w:tcMar>
          </w:tcPr>
          <w:p w14:paraId="1BC0504E" w14:textId="77777777" w:rsidR="00803A48" w:rsidRDefault="00803A48" w:rsidP="00B27F03">
            <w:pPr>
              <w:pStyle w:val="TAC"/>
              <w:rPr>
                <w:rFonts w:eastAsia="Yu Mincho" w:cs="Arial"/>
                <w:szCs w:val="18"/>
              </w:rPr>
            </w:pPr>
          </w:p>
        </w:tc>
        <w:tc>
          <w:tcPr>
            <w:tcW w:w="709" w:type="dxa"/>
            <w:tcBorders>
              <w:top w:val="single" w:sz="4" w:space="0" w:color="auto"/>
            </w:tcBorders>
            <w:vAlign w:val="center"/>
          </w:tcPr>
          <w:p w14:paraId="3BD590CF" w14:textId="77777777" w:rsidR="00803A48" w:rsidRPr="00A1115A" w:rsidRDefault="00803A48" w:rsidP="00B27F03">
            <w:pPr>
              <w:pStyle w:val="TAC"/>
              <w:rPr>
                <w:rFonts w:eastAsia="Yu Mincho"/>
              </w:rPr>
            </w:pPr>
          </w:p>
        </w:tc>
        <w:tc>
          <w:tcPr>
            <w:tcW w:w="709" w:type="dxa"/>
            <w:tcBorders>
              <w:top w:val="single" w:sz="4" w:space="0" w:color="auto"/>
            </w:tcBorders>
            <w:tcMar>
              <w:left w:w="28" w:type="dxa"/>
              <w:right w:w="28" w:type="dxa"/>
            </w:tcMar>
            <w:vAlign w:val="center"/>
          </w:tcPr>
          <w:p w14:paraId="0B213230" w14:textId="77777777" w:rsidR="00803A48" w:rsidRDefault="00803A48" w:rsidP="00B27F03">
            <w:pPr>
              <w:pStyle w:val="TAC"/>
              <w:rPr>
                <w:rFonts w:eastAsia="Yu Mincho"/>
              </w:rPr>
            </w:pPr>
          </w:p>
        </w:tc>
        <w:tc>
          <w:tcPr>
            <w:tcW w:w="567" w:type="dxa"/>
            <w:tcBorders>
              <w:top w:val="single" w:sz="4" w:space="0" w:color="auto"/>
            </w:tcBorders>
            <w:tcMar>
              <w:left w:w="28" w:type="dxa"/>
              <w:right w:w="28" w:type="dxa"/>
            </w:tcMar>
            <w:vAlign w:val="center"/>
          </w:tcPr>
          <w:p w14:paraId="138F1EE0" w14:textId="77777777" w:rsidR="00803A48" w:rsidRDefault="00803A48" w:rsidP="00B27F03">
            <w:pPr>
              <w:pStyle w:val="TAC"/>
              <w:rPr>
                <w:rFonts w:eastAsia="Yu Mincho" w:cs="Arial"/>
                <w:szCs w:val="18"/>
              </w:rPr>
            </w:pPr>
          </w:p>
        </w:tc>
        <w:tc>
          <w:tcPr>
            <w:tcW w:w="709" w:type="dxa"/>
            <w:tcBorders>
              <w:top w:val="single" w:sz="4" w:space="0" w:color="auto"/>
            </w:tcBorders>
            <w:tcMar>
              <w:left w:w="28" w:type="dxa"/>
              <w:right w:w="28" w:type="dxa"/>
            </w:tcMar>
            <w:vAlign w:val="center"/>
          </w:tcPr>
          <w:p w14:paraId="74A03D21" w14:textId="77777777" w:rsidR="00803A48" w:rsidRDefault="00803A48" w:rsidP="00B27F03">
            <w:pPr>
              <w:pStyle w:val="TAC"/>
              <w:rPr>
                <w:rFonts w:eastAsia="Yu Mincho"/>
              </w:rPr>
            </w:pPr>
          </w:p>
        </w:tc>
        <w:tc>
          <w:tcPr>
            <w:tcW w:w="567" w:type="dxa"/>
            <w:tcBorders>
              <w:top w:val="single" w:sz="4" w:space="0" w:color="auto"/>
            </w:tcBorders>
            <w:tcMar>
              <w:left w:w="28" w:type="dxa"/>
              <w:right w:w="28" w:type="dxa"/>
            </w:tcMar>
          </w:tcPr>
          <w:p w14:paraId="42561F50" w14:textId="77777777" w:rsidR="00803A48" w:rsidRDefault="00803A48" w:rsidP="00B27F03">
            <w:pPr>
              <w:pStyle w:val="TAC"/>
              <w:rPr>
                <w:rFonts w:eastAsia="Yu Mincho" w:cs="Arial"/>
                <w:szCs w:val="18"/>
              </w:rPr>
            </w:pPr>
          </w:p>
        </w:tc>
        <w:tc>
          <w:tcPr>
            <w:tcW w:w="628" w:type="dxa"/>
            <w:tcBorders>
              <w:top w:val="single" w:sz="4" w:space="0" w:color="auto"/>
            </w:tcBorders>
            <w:tcMar>
              <w:left w:w="28" w:type="dxa"/>
              <w:right w:w="28" w:type="dxa"/>
            </w:tcMar>
          </w:tcPr>
          <w:p w14:paraId="7CFC1182" w14:textId="77777777" w:rsidR="00803A48" w:rsidRDefault="00803A48" w:rsidP="00B27F03">
            <w:pPr>
              <w:pStyle w:val="TAC"/>
              <w:rPr>
                <w:rFonts w:eastAsia="Yu Mincho"/>
              </w:rPr>
            </w:pPr>
          </w:p>
        </w:tc>
        <w:tc>
          <w:tcPr>
            <w:tcW w:w="643" w:type="dxa"/>
            <w:tcBorders>
              <w:top w:val="single" w:sz="4" w:space="0" w:color="auto"/>
            </w:tcBorders>
            <w:tcMar>
              <w:left w:w="28" w:type="dxa"/>
              <w:right w:w="28" w:type="dxa"/>
            </w:tcMar>
            <w:vAlign w:val="center"/>
          </w:tcPr>
          <w:p w14:paraId="6D389312" w14:textId="77777777" w:rsidR="00803A48" w:rsidRDefault="00803A48" w:rsidP="00B27F03">
            <w:pPr>
              <w:pStyle w:val="TAC"/>
              <w:rPr>
                <w:rFonts w:eastAsia="Yu Mincho"/>
              </w:rPr>
            </w:pPr>
          </w:p>
        </w:tc>
      </w:tr>
      <w:tr w:rsidR="00803A48" w:rsidRPr="00A1115A" w14:paraId="2BA95D33" w14:textId="77777777" w:rsidTr="00B27F03">
        <w:trPr>
          <w:jc w:val="center"/>
        </w:trPr>
        <w:tc>
          <w:tcPr>
            <w:tcW w:w="707" w:type="dxa"/>
            <w:vMerge/>
            <w:shd w:val="clear" w:color="auto" w:fill="auto"/>
            <w:tcMar>
              <w:left w:w="28" w:type="dxa"/>
              <w:right w:w="28" w:type="dxa"/>
            </w:tcMar>
            <w:vAlign w:val="center"/>
          </w:tcPr>
          <w:p w14:paraId="775DDE37" w14:textId="77777777" w:rsidR="00803A48" w:rsidRPr="00A1115A" w:rsidRDefault="00803A48" w:rsidP="00B27F03">
            <w:pPr>
              <w:keepLines/>
              <w:spacing w:after="0"/>
              <w:jc w:val="center"/>
              <w:rPr>
                <w:rFonts w:ascii="Arial" w:eastAsia="Yu Mincho" w:hAnsi="Arial"/>
                <w:sz w:val="18"/>
              </w:rPr>
            </w:pPr>
          </w:p>
        </w:tc>
        <w:tc>
          <w:tcPr>
            <w:tcW w:w="709" w:type="dxa"/>
            <w:tcMar>
              <w:left w:w="28" w:type="dxa"/>
              <w:right w:w="28" w:type="dxa"/>
            </w:tcMar>
          </w:tcPr>
          <w:p w14:paraId="6722DF9C" w14:textId="77777777" w:rsidR="00803A48" w:rsidRDefault="00803A48" w:rsidP="00B27F03">
            <w:pPr>
              <w:pStyle w:val="TAC"/>
            </w:pPr>
            <w:r>
              <w:t>30</w:t>
            </w:r>
          </w:p>
        </w:tc>
        <w:tc>
          <w:tcPr>
            <w:tcW w:w="566" w:type="dxa"/>
            <w:tcMar>
              <w:left w:w="28" w:type="dxa"/>
              <w:right w:w="28" w:type="dxa"/>
            </w:tcMar>
          </w:tcPr>
          <w:p w14:paraId="3FE958C9" w14:textId="77777777" w:rsidR="00803A48" w:rsidRPr="00A1115A" w:rsidRDefault="00803A48" w:rsidP="00B27F03">
            <w:pPr>
              <w:pStyle w:val="TAC"/>
              <w:rPr>
                <w:rFonts w:eastAsia="Yu Mincho"/>
              </w:rPr>
            </w:pPr>
          </w:p>
        </w:tc>
        <w:tc>
          <w:tcPr>
            <w:tcW w:w="637" w:type="dxa"/>
            <w:tcMar>
              <w:left w:w="28" w:type="dxa"/>
              <w:right w:w="28" w:type="dxa"/>
            </w:tcMar>
          </w:tcPr>
          <w:p w14:paraId="75FFED2F" w14:textId="77777777" w:rsidR="00803A48" w:rsidRDefault="00803A48" w:rsidP="00B27F03">
            <w:pPr>
              <w:pStyle w:val="TAC"/>
            </w:pPr>
            <w:r>
              <w:t>10</w:t>
            </w:r>
          </w:p>
        </w:tc>
        <w:tc>
          <w:tcPr>
            <w:tcW w:w="638" w:type="dxa"/>
            <w:tcMar>
              <w:left w:w="28" w:type="dxa"/>
              <w:right w:w="28" w:type="dxa"/>
            </w:tcMar>
            <w:vAlign w:val="center"/>
          </w:tcPr>
          <w:p w14:paraId="763B1FED" w14:textId="77777777" w:rsidR="00803A48" w:rsidRPr="00A1115A" w:rsidRDefault="00803A48" w:rsidP="00B27F03">
            <w:pPr>
              <w:pStyle w:val="TAC"/>
              <w:rPr>
                <w:rFonts w:eastAsia="Yu Mincho" w:cs="Arial"/>
                <w:szCs w:val="18"/>
              </w:rPr>
            </w:pPr>
            <w:r>
              <w:t>15</w:t>
            </w:r>
          </w:p>
        </w:tc>
        <w:tc>
          <w:tcPr>
            <w:tcW w:w="708" w:type="dxa"/>
            <w:tcMar>
              <w:left w:w="28" w:type="dxa"/>
              <w:right w:w="28" w:type="dxa"/>
            </w:tcMar>
            <w:vAlign w:val="center"/>
          </w:tcPr>
          <w:p w14:paraId="5544D10A" w14:textId="77777777" w:rsidR="00803A48" w:rsidRDefault="00803A48" w:rsidP="00B27F03">
            <w:pPr>
              <w:pStyle w:val="TAC"/>
              <w:rPr>
                <w:rFonts w:eastAsia="Yu Mincho" w:cs="Arial"/>
                <w:szCs w:val="18"/>
              </w:rPr>
            </w:pPr>
            <w:r>
              <w:t>20</w:t>
            </w:r>
          </w:p>
        </w:tc>
        <w:tc>
          <w:tcPr>
            <w:tcW w:w="567" w:type="dxa"/>
            <w:tcMar>
              <w:left w:w="28" w:type="dxa"/>
              <w:right w:w="28" w:type="dxa"/>
            </w:tcMar>
          </w:tcPr>
          <w:p w14:paraId="4C1455E8" w14:textId="77777777" w:rsidR="00803A48" w:rsidRPr="00A1115A" w:rsidRDefault="00803A48" w:rsidP="00B27F03">
            <w:pPr>
              <w:pStyle w:val="TAC"/>
              <w:rPr>
                <w:rFonts w:eastAsia="Yu Mincho" w:cs="Arial"/>
                <w:szCs w:val="18"/>
              </w:rPr>
            </w:pPr>
            <w:r>
              <w:t>25</w:t>
            </w:r>
            <w:r w:rsidRPr="00143740">
              <w:rPr>
                <w:vertAlign w:val="superscript"/>
              </w:rPr>
              <w:t>3</w:t>
            </w:r>
          </w:p>
        </w:tc>
        <w:tc>
          <w:tcPr>
            <w:tcW w:w="567" w:type="dxa"/>
            <w:tcMar>
              <w:left w:w="28" w:type="dxa"/>
              <w:right w:w="28" w:type="dxa"/>
            </w:tcMar>
          </w:tcPr>
          <w:p w14:paraId="433086FD" w14:textId="77777777" w:rsidR="00803A48" w:rsidRDefault="00803A48" w:rsidP="00B27F03">
            <w:pPr>
              <w:pStyle w:val="TAC"/>
              <w:rPr>
                <w:rFonts w:eastAsia="Yu Mincho" w:cs="Arial"/>
                <w:szCs w:val="18"/>
              </w:rPr>
            </w:pPr>
            <w:r>
              <w:t>30</w:t>
            </w:r>
            <w:r w:rsidRPr="00143740">
              <w:rPr>
                <w:vertAlign w:val="superscript"/>
              </w:rPr>
              <w:t>3</w:t>
            </w:r>
          </w:p>
        </w:tc>
        <w:tc>
          <w:tcPr>
            <w:tcW w:w="709" w:type="dxa"/>
          </w:tcPr>
          <w:p w14:paraId="37B76C5B" w14:textId="77777777" w:rsidR="00803A48" w:rsidRPr="00A1115A" w:rsidRDefault="00803A48" w:rsidP="00B27F03">
            <w:pPr>
              <w:pStyle w:val="TAC"/>
              <w:rPr>
                <w:rFonts w:eastAsia="Yu Mincho" w:cs="Arial"/>
                <w:szCs w:val="18"/>
              </w:rPr>
            </w:pPr>
            <w:r>
              <w:t>35</w:t>
            </w:r>
            <w:r w:rsidRPr="00143740">
              <w:rPr>
                <w:vertAlign w:val="superscript"/>
              </w:rPr>
              <w:t>3</w:t>
            </w:r>
          </w:p>
        </w:tc>
        <w:tc>
          <w:tcPr>
            <w:tcW w:w="709" w:type="dxa"/>
            <w:tcMar>
              <w:left w:w="28" w:type="dxa"/>
              <w:right w:w="28" w:type="dxa"/>
            </w:tcMar>
          </w:tcPr>
          <w:p w14:paraId="12C4ADBD" w14:textId="77777777" w:rsidR="00803A48" w:rsidRDefault="00803A48" w:rsidP="00B27F03">
            <w:pPr>
              <w:pStyle w:val="TAC"/>
              <w:rPr>
                <w:rFonts w:eastAsia="Yu Mincho" w:cs="Arial"/>
                <w:szCs w:val="18"/>
              </w:rPr>
            </w:pPr>
          </w:p>
        </w:tc>
        <w:tc>
          <w:tcPr>
            <w:tcW w:w="709" w:type="dxa"/>
            <w:vAlign w:val="center"/>
          </w:tcPr>
          <w:p w14:paraId="1E49D480" w14:textId="77777777" w:rsidR="00803A48" w:rsidRPr="00A1115A" w:rsidRDefault="00803A48" w:rsidP="00B27F03">
            <w:pPr>
              <w:pStyle w:val="TAC"/>
              <w:rPr>
                <w:rFonts w:eastAsia="Yu Mincho"/>
              </w:rPr>
            </w:pPr>
          </w:p>
        </w:tc>
        <w:tc>
          <w:tcPr>
            <w:tcW w:w="709" w:type="dxa"/>
            <w:tcMar>
              <w:left w:w="28" w:type="dxa"/>
              <w:right w:w="28" w:type="dxa"/>
            </w:tcMar>
            <w:vAlign w:val="center"/>
          </w:tcPr>
          <w:p w14:paraId="1169E5C1" w14:textId="77777777" w:rsidR="00803A48" w:rsidRDefault="00803A48" w:rsidP="00B27F03">
            <w:pPr>
              <w:pStyle w:val="TAC"/>
              <w:rPr>
                <w:rFonts w:eastAsia="Yu Mincho"/>
              </w:rPr>
            </w:pPr>
          </w:p>
        </w:tc>
        <w:tc>
          <w:tcPr>
            <w:tcW w:w="567" w:type="dxa"/>
            <w:tcMar>
              <w:left w:w="28" w:type="dxa"/>
              <w:right w:w="28" w:type="dxa"/>
            </w:tcMar>
            <w:vAlign w:val="center"/>
          </w:tcPr>
          <w:p w14:paraId="269FD9E2" w14:textId="77777777" w:rsidR="00803A48" w:rsidRDefault="00803A48" w:rsidP="00B27F03">
            <w:pPr>
              <w:pStyle w:val="TAC"/>
              <w:rPr>
                <w:rFonts w:eastAsia="Yu Mincho" w:cs="Arial"/>
                <w:szCs w:val="18"/>
              </w:rPr>
            </w:pPr>
          </w:p>
        </w:tc>
        <w:tc>
          <w:tcPr>
            <w:tcW w:w="709" w:type="dxa"/>
            <w:tcMar>
              <w:left w:w="28" w:type="dxa"/>
              <w:right w:w="28" w:type="dxa"/>
            </w:tcMar>
            <w:vAlign w:val="center"/>
          </w:tcPr>
          <w:p w14:paraId="5D76727D" w14:textId="77777777" w:rsidR="00803A48" w:rsidRDefault="00803A48" w:rsidP="00B27F03">
            <w:pPr>
              <w:pStyle w:val="TAC"/>
              <w:rPr>
                <w:rFonts w:eastAsia="Yu Mincho"/>
              </w:rPr>
            </w:pPr>
          </w:p>
        </w:tc>
        <w:tc>
          <w:tcPr>
            <w:tcW w:w="567" w:type="dxa"/>
            <w:tcMar>
              <w:left w:w="28" w:type="dxa"/>
              <w:right w:w="28" w:type="dxa"/>
            </w:tcMar>
          </w:tcPr>
          <w:p w14:paraId="241318E0" w14:textId="77777777" w:rsidR="00803A48" w:rsidRDefault="00803A48" w:rsidP="00B27F03">
            <w:pPr>
              <w:pStyle w:val="TAC"/>
              <w:rPr>
                <w:rFonts w:eastAsia="Yu Mincho" w:cs="Arial"/>
                <w:szCs w:val="18"/>
              </w:rPr>
            </w:pPr>
          </w:p>
        </w:tc>
        <w:tc>
          <w:tcPr>
            <w:tcW w:w="628" w:type="dxa"/>
            <w:tcMar>
              <w:left w:w="28" w:type="dxa"/>
              <w:right w:w="28" w:type="dxa"/>
            </w:tcMar>
          </w:tcPr>
          <w:p w14:paraId="0BAE1FB2" w14:textId="77777777" w:rsidR="00803A48" w:rsidRDefault="00803A48" w:rsidP="00B27F03">
            <w:pPr>
              <w:pStyle w:val="TAC"/>
              <w:rPr>
                <w:rFonts w:eastAsia="Yu Mincho"/>
              </w:rPr>
            </w:pPr>
          </w:p>
        </w:tc>
        <w:tc>
          <w:tcPr>
            <w:tcW w:w="643" w:type="dxa"/>
            <w:tcMar>
              <w:left w:w="28" w:type="dxa"/>
              <w:right w:w="28" w:type="dxa"/>
            </w:tcMar>
            <w:vAlign w:val="center"/>
          </w:tcPr>
          <w:p w14:paraId="3202ACBB" w14:textId="77777777" w:rsidR="00803A48" w:rsidRDefault="00803A48" w:rsidP="00B27F03">
            <w:pPr>
              <w:pStyle w:val="TAC"/>
              <w:rPr>
                <w:rFonts w:eastAsia="Yu Mincho"/>
              </w:rPr>
            </w:pPr>
          </w:p>
        </w:tc>
      </w:tr>
      <w:tr w:rsidR="00803A48" w:rsidRPr="00A1115A" w14:paraId="6FD1EC54" w14:textId="77777777" w:rsidTr="00B27F03">
        <w:trPr>
          <w:jc w:val="center"/>
        </w:trPr>
        <w:tc>
          <w:tcPr>
            <w:tcW w:w="707" w:type="dxa"/>
            <w:vMerge/>
            <w:shd w:val="clear" w:color="auto" w:fill="auto"/>
            <w:tcMar>
              <w:left w:w="28" w:type="dxa"/>
              <w:right w:w="28" w:type="dxa"/>
            </w:tcMar>
            <w:vAlign w:val="center"/>
          </w:tcPr>
          <w:p w14:paraId="1B692A26" w14:textId="77777777" w:rsidR="00803A48" w:rsidRPr="00A1115A" w:rsidRDefault="00803A48" w:rsidP="00B27F03">
            <w:pPr>
              <w:keepLines/>
              <w:spacing w:after="0"/>
              <w:jc w:val="center"/>
              <w:rPr>
                <w:rFonts w:ascii="Arial" w:eastAsia="Yu Mincho" w:hAnsi="Arial"/>
                <w:sz w:val="18"/>
              </w:rPr>
            </w:pPr>
          </w:p>
        </w:tc>
        <w:tc>
          <w:tcPr>
            <w:tcW w:w="709" w:type="dxa"/>
            <w:tcMar>
              <w:left w:w="28" w:type="dxa"/>
              <w:right w:w="28" w:type="dxa"/>
            </w:tcMar>
          </w:tcPr>
          <w:p w14:paraId="2C82A542" w14:textId="77777777" w:rsidR="00803A48" w:rsidRDefault="00803A48" w:rsidP="00B27F03">
            <w:pPr>
              <w:pStyle w:val="TAC"/>
            </w:pPr>
            <w:r>
              <w:t>60</w:t>
            </w:r>
          </w:p>
        </w:tc>
        <w:tc>
          <w:tcPr>
            <w:tcW w:w="566" w:type="dxa"/>
            <w:tcMar>
              <w:left w:w="28" w:type="dxa"/>
              <w:right w:w="28" w:type="dxa"/>
            </w:tcMar>
          </w:tcPr>
          <w:p w14:paraId="2B0AAA52" w14:textId="77777777" w:rsidR="00803A48" w:rsidRPr="00A1115A" w:rsidRDefault="00803A48" w:rsidP="00B27F03">
            <w:pPr>
              <w:pStyle w:val="TAC"/>
              <w:rPr>
                <w:rFonts w:eastAsia="Yu Mincho"/>
              </w:rPr>
            </w:pPr>
          </w:p>
        </w:tc>
        <w:tc>
          <w:tcPr>
            <w:tcW w:w="637" w:type="dxa"/>
            <w:tcMar>
              <w:left w:w="28" w:type="dxa"/>
              <w:right w:w="28" w:type="dxa"/>
            </w:tcMar>
          </w:tcPr>
          <w:p w14:paraId="5334E15B" w14:textId="77777777" w:rsidR="00803A48" w:rsidRDefault="00803A48" w:rsidP="00B27F03">
            <w:pPr>
              <w:pStyle w:val="TAC"/>
            </w:pPr>
          </w:p>
        </w:tc>
        <w:tc>
          <w:tcPr>
            <w:tcW w:w="638" w:type="dxa"/>
            <w:tcMar>
              <w:left w:w="28" w:type="dxa"/>
              <w:right w:w="28" w:type="dxa"/>
            </w:tcMar>
          </w:tcPr>
          <w:p w14:paraId="2EB64A88" w14:textId="77777777" w:rsidR="00803A48" w:rsidRPr="00A1115A" w:rsidRDefault="00803A48" w:rsidP="00B27F03">
            <w:pPr>
              <w:pStyle w:val="TAC"/>
              <w:rPr>
                <w:rFonts w:eastAsia="Yu Mincho" w:cs="Arial"/>
                <w:szCs w:val="18"/>
              </w:rPr>
            </w:pPr>
          </w:p>
        </w:tc>
        <w:tc>
          <w:tcPr>
            <w:tcW w:w="708" w:type="dxa"/>
            <w:tcMar>
              <w:left w:w="28" w:type="dxa"/>
              <w:right w:w="28" w:type="dxa"/>
            </w:tcMar>
          </w:tcPr>
          <w:p w14:paraId="22562185" w14:textId="77777777" w:rsidR="00803A48" w:rsidRDefault="00803A48" w:rsidP="00B27F03">
            <w:pPr>
              <w:pStyle w:val="TAC"/>
              <w:rPr>
                <w:rFonts w:eastAsia="Yu Mincho" w:cs="Arial"/>
                <w:szCs w:val="18"/>
              </w:rPr>
            </w:pPr>
          </w:p>
        </w:tc>
        <w:tc>
          <w:tcPr>
            <w:tcW w:w="567" w:type="dxa"/>
            <w:tcMar>
              <w:left w:w="28" w:type="dxa"/>
              <w:right w:w="28" w:type="dxa"/>
            </w:tcMar>
          </w:tcPr>
          <w:p w14:paraId="5D50A42F" w14:textId="77777777" w:rsidR="00803A48" w:rsidRPr="00A1115A" w:rsidRDefault="00803A48" w:rsidP="00B27F03">
            <w:pPr>
              <w:pStyle w:val="TAC"/>
              <w:rPr>
                <w:rFonts w:eastAsia="Yu Mincho" w:cs="Arial"/>
                <w:szCs w:val="18"/>
              </w:rPr>
            </w:pPr>
          </w:p>
        </w:tc>
        <w:tc>
          <w:tcPr>
            <w:tcW w:w="567" w:type="dxa"/>
            <w:tcMar>
              <w:left w:w="28" w:type="dxa"/>
              <w:right w:w="28" w:type="dxa"/>
            </w:tcMar>
          </w:tcPr>
          <w:p w14:paraId="79B79A1A" w14:textId="77777777" w:rsidR="00803A48" w:rsidRDefault="00803A48" w:rsidP="00B27F03">
            <w:pPr>
              <w:pStyle w:val="TAC"/>
              <w:rPr>
                <w:rFonts w:eastAsia="Yu Mincho" w:cs="Arial"/>
                <w:szCs w:val="18"/>
              </w:rPr>
            </w:pPr>
          </w:p>
        </w:tc>
        <w:tc>
          <w:tcPr>
            <w:tcW w:w="709" w:type="dxa"/>
          </w:tcPr>
          <w:p w14:paraId="139FE164" w14:textId="77777777" w:rsidR="00803A48" w:rsidRPr="00A1115A" w:rsidRDefault="00803A48" w:rsidP="00B27F03">
            <w:pPr>
              <w:pStyle w:val="TAC"/>
              <w:rPr>
                <w:rFonts w:eastAsia="Yu Mincho" w:cs="Arial"/>
                <w:szCs w:val="18"/>
              </w:rPr>
            </w:pPr>
          </w:p>
        </w:tc>
        <w:tc>
          <w:tcPr>
            <w:tcW w:w="709" w:type="dxa"/>
            <w:tcMar>
              <w:left w:w="28" w:type="dxa"/>
              <w:right w:w="28" w:type="dxa"/>
            </w:tcMar>
          </w:tcPr>
          <w:p w14:paraId="77967C3C" w14:textId="77777777" w:rsidR="00803A48" w:rsidRDefault="00803A48" w:rsidP="00B27F03">
            <w:pPr>
              <w:pStyle w:val="TAC"/>
              <w:rPr>
                <w:rFonts w:eastAsia="Yu Mincho" w:cs="Arial"/>
                <w:szCs w:val="18"/>
              </w:rPr>
            </w:pPr>
          </w:p>
        </w:tc>
        <w:tc>
          <w:tcPr>
            <w:tcW w:w="709" w:type="dxa"/>
            <w:vAlign w:val="center"/>
          </w:tcPr>
          <w:p w14:paraId="632911DD" w14:textId="77777777" w:rsidR="00803A48" w:rsidRPr="00A1115A" w:rsidRDefault="00803A48" w:rsidP="00B27F03">
            <w:pPr>
              <w:pStyle w:val="TAC"/>
              <w:rPr>
                <w:rFonts w:eastAsia="Yu Mincho"/>
              </w:rPr>
            </w:pPr>
          </w:p>
        </w:tc>
        <w:tc>
          <w:tcPr>
            <w:tcW w:w="709" w:type="dxa"/>
            <w:tcMar>
              <w:left w:w="28" w:type="dxa"/>
              <w:right w:w="28" w:type="dxa"/>
            </w:tcMar>
            <w:vAlign w:val="center"/>
          </w:tcPr>
          <w:p w14:paraId="399F4618" w14:textId="77777777" w:rsidR="00803A48" w:rsidRDefault="00803A48" w:rsidP="00B27F03">
            <w:pPr>
              <w:pStyle w:val="TAC"/>
              <w:rPr>
                <w:rFonts w:eastAsia="Yu Mincho"/>
              </w:rPr>
            </w:pPr>
          </w:p>
        </w:tc>
        <w:tc>
          <w:tcPr>
            <w:tcW w:w="567" w:type="dxa"/>
            <w:tcMar>
              <w:left w:w="28" w:type="dxa"/>
              <w:right w:w="28" w:type="dxa"/>
            </w:tcMar>
            <w:vAlign w:val="center"/>
          </w:tcPr>
          <w:p w14:paraId="2E50D565" w14:textId="77777777" w:rsidR="00803A48" w:rsidRDefault="00803A48" w:rsidP="00B27F03">
            <w:pPr>
              <w:pStyle w:val="TAC"/>
              <w:rPr>
                <w:rFonts w:eastAsia="Yu Mincho" w:cs="Arial"/>
                <w:szCs w:val="18"/>
              </w:rPr>
            </w:pPr>
          </w:p>
        </w:tc>
        <w:tc>
          <w:tcPr>
            <w:tcW w:w="709" w:type="dxa"/>
            <w:tcMar>
              <w:left w:w="28" w:type="dxa"/>
              <w:right w:w="28" w:type="dxa"/>
            </w:tcMar>
            <w:vAlign w:val="center"/>
          </w:tcPr>
          <w:p w14:paraId="6E1752E3" w14:textId="77777777" w:rsidR="00803A48" w:rsidRDefault="00803A48" w:rsidP="00B27F03">
            <w:pPr>
              <w:pStyle w:val="TAC"/>
              <w:rPr>
                <w:rFonts w:eastAsia="Yu Mincho"/>
              </w:rPr>
            </w:pPr>
          </w:p>
        </w:tc>
        <w:tc>
          <w:tcPr>
            <w:tcW w:w="567" w:type="dxa"/>
            <w:tcMar>
              <w:left w:w="28" w:type="dxa"/>
              <w:right w:w="28" w:type="dxa"/>
            </w:tcMar>
          </w:tcPr>
          <w:p w14:paraId="0FD3CE72" w14:textId="77777777" w:rsidR="00803A48" w:rsidRDefault="00803A48" w:rsidP="00B27F03">
            <w:pPr>
              <w:pStyle w:val="TAC"/>
              <w:rPr>
                <w:rFonts w:eastAsia="Yu Mincho" w:cs="Arial"/>
                <w:szCs w:val="18"/>
              </w:rPr>
            </w:pPr>
          </w:p>
        </w:tc>
        <w:tc>
          <w:tcPr>
            <w:tcW w:w="628" w:type="dxa"/>
            <w:tcMar>
              <w:left w:w="28" w:type="dxa"/>
              <w:right w:w="28" w:type="dxa"/>
            </w:tcMar>
          </w:tcPr>
          <w:p w14:paraId="4BA3A82E" w14:textId="77777777" w:rsidR="00803A48" w:rsidRDefault="00803A48" w:rsidP="00B27F03">
            <w:pPr>
              <w:pStyle w:val="TAC"/>
              <w:rPr>
                <w:rFonts w:eastAsia="Yu Mincho"/>
              </w:rPr>
            </w:pPr>
          </w:p>
        </w:tc>
        <w:tc>
          <w:tcPr>
            <w:tcW w:w="643" w:type="dxa"/>
            <w:tcMar>
              <w:left w:w="28" w:type="dxa"/>
              <w:right w:w="28" w:type="dxa"/>
            </w:tcMar>
            <w:vAlign w:val="center"/>
          </w:tcPr>
          <w:p w14:paraId="6077D276" w14:textId="77777777" w:rsidR="00803A48" w:rsidRDefault="00803A48" w:rsidP="00B27F03">
            <w:pPr>
              <w:pStyle w:val="TAC"/>
              <w:rPr>
                <w:rFonts w:eastAsia="Yu Mincho"/>
              </w:rPr>
            </w:pPr>
          </w:p>
        </w:tc>
      </w:tr>
      <w:tr w:rsidR="00803A48" w:rsidRPr="00A1115A" w14:paraId="13416593" w14:textId="77777777" w:rsidTr="00B27F03">
        <w:trPr>
          <w:jc w:val="center"/>
        </w:trPr>
        <w:tc>
          <w:tcPr>
            <w:tcW w:w="11049" w:type="dxa"/>
            <w:gridSpan w:val="17"/>
          </w:tcPr>
          <w:p w14:paraId="37E625B5" w14:textId="74F9CE50" w:rsidR="00803A48" w:rsidRPr="00A1115A" w:rsidRDefault="00803A48" w:rsidP="00677A19">
            <w:pPr>
              <w:pStyle w:val="TAN"/>
              <w:rPr>
                <w:rFonts w:eastAsia="Yu Mincho"/>
              </w:rPr>
            </w:pPr>
            <w:r w:rsidRPr="00A1115A">
              <w:rPr>
                <w:rFonts w:eastAsia="Yu Mincho"/>
              </w:rPr>
              <w:t>NOTE 3:</w:t>
            </w:r>
            <w:r w:rsidRPr="00A1115A">
              <w:rPr>
                <w:rFonts w:eastAsia="Yu Mincho"/>
              </w:rPr>
              <w:tab/>
              <w:t>This UE channel bandwidth is applicable only to downlink.</w:t>
            </w:r>
          </w:p>
        </w:tc>
      </w:tr>
    </w:tbl>
    <w:p w14:paraId="4EE2838E" w14:textId="46E65370" w:rsidR="00803A48" w:rsidRDefault="00803A48" w:rsidP="00803A48"/>
    <w:p w14:paraId="2CE9E6AF" w14:textId="792AE145" w:rsidR="00BF7883" w:rsidRDefault="00BF7883" w:rsidP="00BF7883">
      <w:pPr>
        <w:pStyle w:val="Heading2"/>
        <w:rPr>
          <w:lang w:val="en-US"/>
        </w:rPr>
      </w:pPr>
      <w:r>
        <w:rPr>
          <w:lang w:val="en-US"/>
        </w:rPr>
        <w:t xml:space="preserve">Channel </w:t>
      </w:r>
      <w:r w:rsidR="00F84A25">
        <w:rPr>
          <w:lang w:val="en-US"/>
        </w:rPr>
        <w:t xml:space="preserve">and sync </w:t>
      </w:r>
      <w:r>
        <w:rPr>
          <w:lang w:val="en-US"/>
        </w:rPr>
        <w:t>raster</w:t>
      </w:r>
    </w:p>
    <w:p w14:paraId="65BDB999" w14:textId="74AFAE69" w:rsidR="00DA23F0" w:rsidRDefault="00BF7883" w:rsidP="000F7DCE">
      <w:pPr>
        <w:rPr>
          <w:lang w:val="en-US"/>
        </w:rPr>
      </w:pPr>
      <w:r>
        <w:rPr>
          <w:lang w:val="en-US"/>
        </w:rPr>
        <w:t>Due to the assumption of single duplexer, all channel raster points within the band are available for all channel bandwidths</w:t>
      </w:r>
      <w:r w:rsidR="00D709FB">
        <w:rPr>
          <w:lang w:val="en-US"/>
        </w:rPr>
        <w:t xml:space="preserve"> except for those where the channel would extend beyond the edges of the band.  </w:t>
      </w:r>
      <w:r w:rsidR="00D0004D">
        <w:rPr>
          <w:lang w:val="en-US"/>
        </w:rPr>
        <w:t xml:space="preserve">The 100 kHz </w:t>
      </w:r>
      <w:r w:rsidR="00F84A25">
        <w:rPr>
          <w:lang w:val="en-US"/>
        </w:rPr>
        <w:t>channel raster resolution is maintained at this frequency range to maximize compatibility with Band n71.</w:t>
      </w:r>
    </w:p>
    <w:p w14:paraId="12C2E443" w14:textId="77777777" w:rsidR="00AC7E99" w:rsidRDefault="00AC7E99" w:rsidP="000F7DCE">
      <w:pPr>
        <w:rPr>
          <w:lang w:val="en-US"/>
        </w:rPr>
      </w:pPr>
    </w:p>
    <w:p w14:paraId="712227EB" w14:textId="74BE3501" w:rsidR="00F93D7E" w:rsidRDefault="00F93D7E" w:rsidP="000F7DCE">
      <w:pPr>
        <w:rPr>
          <w:lang w:val="en-US"/>
        </w:rPr>
      </w:pPr>
      <w:r>
        <w:rPr>
          <w:lang w:val="en-US"/>
        </w:rPr>
        <w:lastRenderedPageBreak/>
        <w:t xml:space="preserve">Sync raster compatibility should also be maintained between </w:t>
      </w:r>
      <w:r w:rsidR="004A6BB2">
        <w:rPr>
          <w:lang w:val="en-US"/>
        </w:rPr>
        <w:t xml:space="preserve">the APT 600 MHz band and Band n71 to </w:t>
      </w:r>
      <w:r w:rsidR="00E73EC8">
        <w:rPr>
          <w:lang w:val="en-US"/>
        </w:rPr>
        <w:t xml:space="preserve">lessen the disruption in case </w:t>
      </w:r>
      <w:r w:rsidR="004A6BB2">
        <w:rPr>
          <w:lang w:val="en-US"/>
        </w:rPr>
        <w:t>deployments are first enabled with Band n71 and later migrated to APT 600</w:t>
      </w:r>
      <w:r w:rsidR="00EE4259">
        <w:rPr>
          <w:lang w:val="en-US"/>
        </w:rPr>
        <w:t xml:space="preserve">.  </w:t>
      </w:r>
    </w:p>
    <w:p w14:paraId="00F81A9A" w14:textId="7EB21D6A" w:rsidR="00742BB0" w:rsidRPr="00A1115A" w:rsidRDefault="00742BB0" w:rsidP="00742BB0">
      <w:pPr>
        <w:pStyle w:val="TH"/>
      </w:pPr>
      <w:r w:rsidRPr="00A1115A">
        <w:t xml:space="preserve">Table </w:t>
      </w:r>
      <w:r>
        <w:t>2</w:t>
      </w:r>
      <w:r w:rsidRPr="00A1115A">
        <w:t>.3-1: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742BB0" w:rsidRPr="00A1115A" w14:paraId="6E4DCA40" w14:textId="77777777" w:rsidTr="007C5F0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214855" w14:textId="77777777" w:rsidR="00742BB0" w:rsidRPr="00A1115A" w:rsidRDefault="00742BB0" w:rsidP="007C5F05">
            <w:pPr>
              <w:pStyle w:val="TAH"/>
              <w:rPr>
                <w:rFonts w:eastAsia="Yu Mincho"/>
              </w:rPr>
            </w:pPr>
            <w:r w:rsidRPr="00A1115A">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1CE0BC2D" w14:textId="77777777" w:rsidR="00742BB0" w:rsidRPr="00A1115A" w:rsidRDefault="00742BB0" w:rsidP="007C5F05">
            <w:pPr>
              <w:pStyle w:val="TAH"/>
            </w:pPr>
            <w:r w:rsidRPr="00A1115A">
              <w:t>ΔF</w:t>
            </w:r>
            <w:r w:rsidRPr="00A1115A">
              <w:rPr>
                <w:vertAlign w:val="subscript"/>
              </w:rPr>
              <w:t>Raster</w:t>
            </w:r>
          </w:p>
          <w:p w14:paraId="749FBA60" w14:textId="77777777" w:rsidR="00742BB0" w:rsidRPr="00A1115A" w:rsidRDefault="00742BB0" w:rsidP="007C5F05">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EBDDF46" w14:textId="77777777" w:rsidR="00742BB0" w:rsidRPr="00A1115A" w:rsidRDefault="00742BB0" w:rsidP="007C5F05">
            <w:pPr>
              <w:pStyle w:val="TAH"/>
              <w:rPr>
                <w:rFonts w:eastAsia="Yu Mincho"/>
              </w:rPr>
            </w:pPr>
            <w:r w:rsidRPr="00A1115A">
              <w:rPr>
                <w:rFonts w:eastAsia="Yu Mincho"/>
              </w:rPr>
              <w:t>Uplink</w:t>
            </w:r>
          </w:p>
          <w:p w14:paraId="452B5792" w14:textId="77777777" w:rsidR="00742BB0" w:rsidRPr="00A1115A" w:rsidRDefault="00742BB0" w:rsidP="007C5F05">
            <w:pPr>
              <w:pStyle w:val="TAH"/>
              <w:rPr>
                <w:rFonts w:eastAsia="Yu Mincho"/>
                <w:vertAlign w:val="subscript"/>
              </w:rPr>
            </w:pPr>
            <w:r w:rsidRPr="00A1115A">
              <w:rPr>
                <w:rFonts w:eastAsia="Yu Mincho"/>
              </w:rPr>
              <w:t>Range of N</w:t>
            </w:r>
            <w:r w:rsidRPr="00A1115A">
              <w:rPr>
                <w:rFonts w:eastAsia="Yu Mincho"/>
                <w:vertAlign w:val="subscript"/>
              </w:rPr>
              <w:t>REF</w:t>
            </w:r>
          </w:p>
          <w:p w14:paraId="2ACB5F65" w14:textId="77777777" w:rsidR="00742BB0" w:rsidRPr="00A1115A" w:rsidRDefault="00742BB0" w:rsidP="007C5F05">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71779FC" w14:textId="77777777" w:rsidR="00742BB0" w:rsidRPr="00A1115A" w:rsidRDefault="00742BB0" w:rsidP="007C5F05">
            <w:pPr>
              <w:pStyle w:val="TAH"/>
              <w:rPr>
                <w:rFonts w:eastAsia="Yu Mincho"/>
              </w:rPr>
            </w:pPr>
            <w:r w:rsidRPr="00A1115A">
              <w:rPr>
                <w:rFonts w:eastAsia="Yu Mincho"/>
              </w:rPr>
              <w:t>Downlink</w:t>
            </w:r>
          </w:p>
          <w:p w14:paraId="3AAF9FA6" w14:textId="77777777" w:rsidR="00742BB0" w:rsidRPr="00A1115A" w:rsidRDefault="00742BB0" w:rsidP="007C5F05">
            <w:pPr>
              <w:pStyle w:val="TAH"/>
              <w:rPr>
                <w:rFonts w:eastAsia="Yu Mincho"/>
                <w:vertAlign w:val="subscript"/>
              </w:rPr>
            </w:pPr>
            <w:r w:rsidRPr="00A1115A">
              <w:rPr>
                <w:rFonts w:eastAsia="Yu Mincho"/>
              </w:rPr>
              <w:t>Range of N</w:t>
            </w:r>
            <w:r w:rsidRPr="00A1115A">
              <w:rPr>
                <w:rFonts w:eastAsia="Yu Mincho"/>
                <w:vertAlign w:val="subscript"/>
              </w:rPr>
              <w:t>REF</w:t>
            </w:r>
          </w:p>
          <w:p w14:paraId="7E8C7ABE" w14:textId="77777777" w:rsidR="00742BB0" w:rsidRPr="00A1115A" w:rsidRDefault="00742BB0" w:rsidP="007C5F05">
            <w:pPr>
              <w:pStyle w:val="TAH"/>
              <w:rPr>
                <w:rFonts w:eastAsia="Yu Mincho"/>
              </w:rPr>
            </w:pPr>
            <w:r w:rsidRPr="00A1115A">
              <w:rPr>
                <w:rFonts w:eastAsia="Yu Mincho"/>
              </w:rPr>
              <w:t>(First – &lt;Step size&gt; – Last)</w:t>
            </w:r>
          </w:p>
        </w:tc>
      </w:tr>
      <w:tr w:rsidR="00742BB0" w:rsidRPr="00A1115A" w14:paraId="603CE8F1" w14:textId="77777777" w:rsidTr="007C5F05">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E2CD1F1" w14:textId="77777777" w:rsidR="00742BB0" w:rsidRPr="00A1115A" w:rsidRDefault="00742BB0" w:rsidP="007C5F05">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87EC3A6" w14:textId="77777777" w:rsidR="00742BB0" w:rsidRPr="00A1115A" w:rsidRDefault="00742BB0" w:rsidP="007C5F0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2247A83" w14:textId="77777777" w:rsidR="00742BB0" w:rsidRPr="00A1115A" w:rsidRDefault="00742BB0" w:rsidP="007C5F05">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C7CF12B" w14:textId="77777777" w:rsidR="00742BB0" w:rsidRPr="00A1115A" w:rsidRDefault="00742BB0" w:rsidP="007C5F05">
            <w:pPr>
              <w:pStyle w:val="TAC"/>
            </w:pPr>
            <w:r w:rsidRPr="00A1115A">
              <w:t>123400</w:t>
            </w:r>
            <w:r w:rsidRPr="00A1115A">
              <w:rPr>
                <w:rFonts w:eastAsia="Yu Mincho"/>
              </w:rPr>
              <w:t xml:space="preserve"> – &lt;20&gt; – 130400</w:t>
            </w:r>
          </w:p>
        </w:tc>
      </w:tr>
      <w:tr w:rsidR="00742BB0" w:rsidRPr="00A1115A" w14:paraId="4DA9557C" w14:textId="77777777" w:rsidTr="007C5F05">
        <w:trPr>
          <w:trHeight w:val="187"/>
          <w:jc w:val="center"/>
        </w:trPr>
        <w:tc>
          <w:tcPr>
            <w:tcW w:w="1242" w:type="dxa"/>
            <w:tcBorders>
              <w:top w:val="nil"/>
              <w:left w:val="single" w:sz="4" w:space="0" w:color="auto"/>
              <w:right w:val="single" w:sz="4" w:space="0" w:color="auto"/>
            </w:tcBorders>
          </w:tcPr>
          <w:p w14:paraId="244A94B4" w14:textId="77777777" w:rsidR="00742BB0" w:rsidRDefault="00742BB0" w:rsidP="007C5F05">
            <w:pPr>
              <w:pStyle w:val="TAC"/>
            </w:pPr>
            <w:r>
              <w:t>nXYZ</w:t>
            </w:r>
          </w:p>
        </w:tc>
        <w:tc>
          <w:tcPr>
            <w:tcW w:w="1146" w:type="dxa"/>
            <w:tcBorders>
              <w:top w:val="single" w:sz="4" w:space="0" w:color="auto"/>
              <w:left w:val="single" w:sz="4" w:space="0" w:color="auto"/>
              <w:bottom w:val="single" w:sz="4" w:space="0" w:color="auto"/>
              <w:right w:val="single" w:sz="4" w:space="0" w:color="auto"/>
            </w:tcBorders>
          </w:tcPr>
          <w:p w14:paraId="5C378A91" w14:textId="77777777" w:rsidR="00742BB0" w:rsidRDefault="00742BB0" w:rsidP="007C5F05">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9CBB9F6" w14:textId="77777777" w:rsidR="00742BB0" w:rsidRPr="00320CDA" w:rsidRDefault="00742BB0" w:rsidP="007C5F05">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77A9F1AC" w14:textId="77777777" w:rsidR="00742BB0" w:rsidRPr="00320CDA" w:rsidRDefault="00742BB0" w:rsidP="007C5F05">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742BB0" w:rsidRPr="00A1115A" w14:paraId="5AF79FD9" w14:textId="77777777" w:rsidTr="007C5F05">
        <w:trPr>
          <w:jc w:val="center"/>
        </w:trPr>
        <w:tc>
          <w:tcPr>
            <w:tcW w:w="8141" w:type="dxa"/>
            <w:gridSpan w:val="4"/>
            <w:tcBorders>
              <w:left w:val="single" w:sz="4" w:space="0" w:color="auto"/>
              <w:right w:val="single" w:sz="4" w:space="0" w:color="auto"/>
            </w:tcBorders>
            <w:vAlign w:val="center"/>
          </w:tcPr>
          <w:p w14:paraId="74415594" w14:textId="77777777" w:rsidR="00742BB0" w:rsidRPr="00A1115A" w:rsidRDefault="00742BB0" w:rsidP="007C5F05">
            <w:pPr>
              <w:pStyle w:val="TAN"/>
            </w:pPr>
            <w:r w:rsidRPr="00A1115A">
              <w:t>NOTE 1:</w:t>
            </w:r>
            <w:r w:rsidRPr="00A1115A">
              <w:tab/>
              <w:t>The channel numbers that designate carrier frequencies so close to the operating band edges that the carrier extends beyond the operating band edge shall not be used.</w:t>
            </w:r>
          </w:p>
          <w:p w14:paraId="097CFF50" w14:textId="77777777" w:rsidR="00742BB0" w:rsidRPr="00A1115A" w:rsidRDefault="00742BB0" w:rsidP="007C5F05">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1B5B4CF2" w14:textId="77777777" w:rsidR="00742BB0" w:rsidRDefault="00742BB0" w:rsidP="007C5F05">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18A3B230" w14:textId="77777777" w:rsidR="00742BB0" w:rsidRPr="00A1115A" w:rsidRDefault="00742BB0" w:rsidP="007C5F05">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4004532F" w14:textId="77777777" w:rsidR="00742BB0" w:rsidRPr="000F7DCE" w:rsidRDefault="00742BB0" w:rsidP="000F7DCE">
      <w:pPr>
        <w:rPr>
          <w:lang w:val="en-US"/>
        </w:rPr>
      </w:pPr>
    </w:p>
    <w:p w14:paraId="01422273" w14:textId="7D528E4B" w:rsidR="00110D8F" w:rsidRPr="00A1115A" w:rsidRDefault="00110D8F" w:rsidP="00110D8F">
      <w:pPr>
        <w:pStyle w:val="TH"/>
      </w:pPr>
      <w:r w:rsidRPr="00A1115A">
        <w:t>Table</w:t>
      </w:r>
      <w:r>
        <w:t xml:space="preserve"> 2.3-2</w:t>
      </w:r>
      <w:r w:rsidRPr="00A1115A">
        <w:t>: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5"/>
        <w:gridCol w:w="2405"/>
        <w:gridCol w:w="2405"/>
      </w:tblGrid>
      <w:tr w:rsidR="00FC7B5D" w:rsidRPr="00A1115A" w14:paraId="3495FE60" w14:textId="77777777" w:rsidTr="00FC7B5D">
        <w:trPr>
          <w:jc w:val="center"/>
        </w:trPr>
        <w:tc>
          <w:tcPr>
            <w:tcW w:w="2406" w:type="dxa"/>
            <w:tcBorders>
              <w:top w:val="single" w:sz="4" w:space="0" w:color="auto"/>
              <w:left w:val="single" w:sz="4" w:space="0" w:color="auto"/>
              <w:bottom w:val="single" w:sz="4" w:space="0" w:color="auto"/>
              <w:right w:val="single" w:sz="4" w:space="0" w:color="auto"/>
            </w:tcBorders>
            <w:hideMark/>
          </w:tcPr>
          <w:p w14:paraId="7576641A" w14:textId="77777777" w:rsidR="00FC7B5D" w:rsidRPr="00A1115A" w:rsidRDefault="00FC7B5D" w:rsidP="007C5F05">
            <w:pPr>
              <w:pStyle w:val="TAH"/>
              <w:rPr>
                <w:rFonts w:eastAsia="Yu Mincho"/>
              </w:rPr>
            </w:pPr>
            <w:r w:rsidRPr="00A1115A">
              <w:rPr>
                <w:rFonts w:eastAsia="Yu Mincho"/>
              </w:rPr>
              <w:t>NR operating band</w:t>
            </w:r>
          </w:p>
        </w:tc>
        <w:tc>
          <w:tcPr>
            <w:tcW w:w="2405" w:type="dxa"/>
            <w:tcBorders>
              <w:top w:val="single" w:sz="4" w:space="0" w:color="auto"/>
              <w:left w:val="single" w:sz="4" w:space="0" w:color="auto"/>
              <w:bottom w:val="single" w:sz="4" w:space="0" w:color="auto"/>
              <w:right w:val="single" w:sz="4" w:space="0" w:color="auto"/>
            </w:tcBorders>
            <w:hideMark/>
          </w:tcPr>
          <w:p w14:paraId="59EB2245" w14:textId="77777777" w:rsidR="00FC7B5D" w:rsidRPr="00A1115A" w:rsidRDefault="00FC7B5D" w:rsidP="007C5F05">
            <w:pPr>
              <w:pStyle w:val="TAH"/>
              <w:rPr>
                <w:rFonts w:eastAsia="Yu Mincho"/>
              </w:rPr>
            </w:pPr>
            <w:r w:rsidRPr="00A1115A">
              <w:rPr>
                <w:rFonts w:eastAsia="Yu Mincho"/>
              </w:rPr>
              <w:t>SS Block SCS</w:t>
            </w:r>
          </w:p>
        </w:tc>
        <w:tc>
          <w:tcPr>
            <w:tcW w:w="2405" w:type="dxa"/>
            <w:tcBorders>
              <w:top w:val="single" w:sz="4" w:space="0" w:color="auto"/>
              <w:left w:val="single" w:sz="4" w:space="0" w:color="auto"/>
              <w:bottom w:val="single" w:sz="4" w:space="0" w:color="auto"/>
              <w:right w:val="single" w:sz="4" w:space="0" w:color="auto"/>
            </w:tcBorders>
          </w:tcPr>
          <w:p w14:paraId="2C8E8F67" w14:textId="77777777" w:rsidR="00FC7B5D" w:rsidRPr="00A1115A" w:rsidRDefault="00FC7B5D" w:rsidP="007C5F05">
            <w:pPr>
              <w:pStyle w:val="TAH"/>
              <w:rPr>
                <w:rFonts w:eastAsia="Yu Mincho"/>
              </w:rPr>
            </w:pPr>
            <w:r w:rsidRPr="00A1115A">
              <w:rPr>
                <w:rFonts w:eastAsia="Yu Mincho"/>
              </w:rPr>
              <w:t>SS Block pattern</w:t>
            </w:r>
            <w:r w:rsidRPr="00A1115A">
              <w:rPr>
                <w:rFonts w:eastAsia="Yu Mincho"/>
                <w:vertAlign w:val="superscript"/>
              </w:rPr>
              <w:t>1</w:t>
            </w:r>
          </w:p>
        </w:tc>
        <w:tc>
          <w:tcPr>
            <w:tcW w:w="2405" w:type="dxa"/>
            <w:tcBorders>
              <w:top w:val="single" w:sz="4" w:space="0" w:color="auto"/>
              <w:left w:val="single" w:sz="4" w:space="0" w:color="auto"/>
              <w:bottom w:val="single" w:sz="4" w:space="0" w:color="auto"/>
              <w:right w:val="single" w:sz="4" w:space="0" w:color="auto"/>
            </w:tcBorders>
            <w:hideMark/>
          </w:tcPr>
          <w:p w14:paraId="74203031" w14:textId="77777777" w:rsidR="00FC7B5D" w:rsidRPr="00A1115A" w:rsidRDefault="00FC7B5D" w:rsidP="007C5F05">
            <w:pPr>
              <w:pStyle w:val="TAH"/>
              <w:rPr>
                <w:rFonts w:eastAsia="Yu Mincho"/>
              </w:rPr>
            </w:pPr>
            <w:r w:rsidRPr="00A1115A">
              <w:rPr>
                <w:rFonts w:eastAsia="Yu Mincho"/>
              </w:rPr>
              <w:t>Range of GSCN</w:t>
            </w:r>
          </w:p>
          <w:p w14:paraId="11E5B679" w14:textId="77777777" w:rsidR="00FC7B5D" w:rsidRPr="00A1115A" w:rsidRDefault="00FC7B5D" w:rsidP="007C5F05">
            <w:pPr>
              <w:pStyle w:val="TAH"/>
              <w:rPr>
                <w:rFonts w:eastAsia="Yu Mincho"/>
              </w:rPr>
            </w:pPr>
            <w:r w:rsidRPr="00A1115A">
              <w:rPr>
                <w:rFonts w:eastAsia="Yu Mincho"/>
              </w:rPr>
              <w:t>(First – &lt;Step size&gt; – Last)</w:t>
            </w:r>
          </w:p>
        </w:tc>
      </w:tr>
      <w:tr w:rsidR="00FC7B5D" w:rsidRPr="00A1115A" w14:paraId="6A96340D" w14:textId="77777777" w:rsidTr="00FC7B5D">
        <w:trPr>
          <w:jc w:val="center"/>
        </w:trPr>
        <w:tc>
          <w:tcPr>
            <w:tcW w:w="2406" w:type="dxa"/>
            <w:tcBorders>
              <w:top w:val="single" w:sz="4" w:space="0" w:color="auto"/>
              <w:left w:val="single" w:sz="4" w:space="0" w:color="auto"/>
              <w:bottom w:val="single" w:sz="4" w:space="0" w:color="auto"/>
              <w:right w:val="single" w:sz="4" w:space="0" w:color="auto"/>
            </w:tcBorders>
            <w:hideMark/>
          </w:tcPr>
          <w:p w14:paraId="38CBDAAB" w14:textId="77777777" w:rsidR="00FC7B5D" w:rsidRPr="00A1115A" w:rsidRDefault="00FC7B5D" w:rsidP="007C5F05">
            <w:pPr>
              <w:pStyle w:val="TAC"/>
              <w:rPr>
                <w:rFonts w:eastAsia="Yu Mincho"/>
              </w:rPr>
            </w:pPr>
            <w:r w:rsidRPr="00A1115A">
              <w:t>n71</w:t>
            </w:r>
          </w:p>
        </w:tc>
        <w:tc>
          <w:tcPr>
            <w:tcW w:w="2405" w:type="dxa"/>
            <w:tcBorders>
              <w:top w:val="single" w:sz="4" w:space="0" w:color="auto"/>
              <w:left w:val="single" w:sz="4" w:space="0" w:color="auto"/>
              <w:bottom w:val="single" w:sz="4" w:space="0" w:color="auto"/>
              <w:right w:val="single" w:sz="4" w:space="0" w:color="auto"/>
            </w:tcBorders>
            <w:hideMark/>
          </w:tcPr>
          <w:p w14:paraId="7F90B09A" w14:textId="77777777" w:rsidR="00FC7B5D" w:rsidRPr="00A1115A" w:rsidRDefault="00FC7B5D" w:rsidP="007C5F05">
            <w:pPr>
              <w:pStyle w:val="TAC"/>
            </w:pPr>
            <w:r w:rsidRPr="00A1115A">
              <w:t>15 kHz</w:t>
            </w:r>
          </w:p>
        </w:tc>
        <w:tc>
          <w:tcPr>
            <w:tcW w:w="2405" w:type="dxa"/>
            <w:tcBorders>
              <w:top w:val="single" w:sz="4" w:space="0" w:color="auto"/>
              <w:left w:val="single" w:sz="4" w:space="0" w:color="auto"/>
              <w:bottom w:val="single" w:sz="4" w:space="0" w:color="auto"/>
              <w:right w:val="single" w:sz="4" w:space="0" w:color="auto"/>
            </w:tcBorders>
          </w:tcPr>
          <w:p w14:paraId="6CD40605" w14:textId="77777777" w:rsidR="00FC7B5D" w:rsidRPr="00A1115A" w:rsidRDefault="00FC7B5D" w:rsidP="007C5F05">
            <w:pPr>
              <w:pStyle w:val="TAC"/>
            </w:pPr>
            <w:r w:rsidRPr="00A1115A">
              <w:rPr>
                <w:lang w:val="en-US" w:eastAsia="zh-CN"/>
              </w:rPr>
              <w:t xml:space="preserve">Case </w:t>
            </w:r>
            <w:r w:rsidRPr="00A1115A">
              <w:rPr>
                <w:rFonts w:hint="eastAsia"/>
                <w:lang w:val="en-US" w:eastAsia="zh-CN"/>
              </w:rPr>
              <w:t>A</w:t>
            </w:r>
          </w:p>
        </w:tc>
        <w:tc>
          <w:tcPr>
            <w:tcW w:w="2405" w:type="dxa"/>
            <w:tcBorders>
              <w:top w:val="single" w:sz="4" w:space="0" w:color="auto"/>
              <w:left w:val="single" w:sz="4" w:space="0" w:color="auto"/>
              <w:bottom w:val="single" w:sz="4" w:space="0" w:color="auto"/>
              <w:right w:val="single" w:sz="4" w:space="0" w:color="auto"/>
            </w:tcBorders>
            <w:hideMark/>
          </w:tcPr>
          <w:p w14:paraId="1CF7D43F" w14:textId="77777777" w:rsidR="00FC7B5D" w:rsidRPr="00A1115A" w:rsidRDefault="00FC7B5D" w:rsidP="007C5F05">
            <w:pPr>
              <w:pStyle w:val="TAC"/>
              <w:rPr>
                <w:rFonts w:eastAsia="Yu Mincho"/>
              </w:rPr>
            </w:pPr>
            <w:r w:rsidRPr="00A1115A">
              <w:t>1547 – &lt;1&gt; – 1624</w:t>
            </w:r>
          </w:p>
        </w:tc>
      </w:tr>
      <w:tr w:rsidR="00FC7B5D" w14:paraId="2AFF5D8C" w14:textId="77777777" w:rsidTr="00FC7B5D">
        <w:trPr>
          <w:jc w:val="center"/>
        </w:trPr>
        <w:tc>
          <w:tcPr>
            <w:tcW w:w="2406" w:type="dxa"/>
            <w:tcBorders>
              <w:left w:val="single" w:sz="4" w:space="0" w:color="auto"/>
              <w:bottom w:val="single" w:sz="4" w:space="0" w:color="auto"/>
              <w:right w:val="single" w:sz="4" w:space="0" w:color="auto"/>
            </w:tcBorders>
          </w:tcPr>
          <w:p w14:paraId="1FAA1A92" w14:textId="77777777" w:rsidR="00FC7B5D" w:rsidRDefault="00FC7B5D" w:rsidP="007C5F05">
            <w:pPr>
              <w:pStyle w:val="TAC"/>
            </w:pPr>
            <w:r>
              <w:t>nXYZ</w:t>
            </w:r>
          </w:p>
        </w:tc>
        <w:tc>
          <w:tcPr>
            <w:tcW w:w="2405" w:type="dxa"/>
            <w:tcBorders>
              <w:top w:val="single" w:sz="4" w:space="0" w:color="auto"/>
              <w:left w:val="single" w:sz="4" w:space="0" w:color="auto"/>
              <w:bottom w:val="single" w:sz="4" w:space="0" w:color="auto"/>
              <w:right w:val="single" w:sz="4" w:space="0" w:color="auto"/>
            </w:tcBorders>
          </w:tcPr>
          <w:p w14:paraId="5BCA1EA4" w14:textId="77777777" w:rsidR="00FC7B5D" w:rsidRDefault="00FC7B5D" w:rsidP="007C5F05">
            <w:pPr>
              <w:pStyle w:val="TAC"/>
            </w:pPr>
            <w:r>
              <w:t>15 kHz</w:t>
            </w:r>
          </w:p>
        </w:tc>
        <w:tc>
          <w:tcPr>
            <w:tcW w:w="2405" w:type="dxa"/>
            <w:tcBorders>
              <w:top w:val="single" w:sz="4" w:space="0" w:color="auto"/>
              <w:left w:val="single" w:sz="4" w:space="0" w:color="auto"/>
              <w:bottom w:val="single" w:sz="4" w:space="0" w:color="auto"/>
              <w:right w:val="single" w:sz="4" w:space="0" w:color="auto"/>
            </w:tcBorders>
          </w:tcPr>
          <w:p w14:paraId="74065DFB" w14:textId="77777777" w:rsidR="00FC7B5D" w:rsidRDefault="00FC7B5D" w:rsidP="007C5F05">
            <w:pPr>
              <w:pStyle w:val="TAC"/>
            </w:pPr>
            <w:r>
              <w:t>Case A</w:t>
            </w:r>
          </w:p>
        </w:tc>
        <w:tc>
          <w:tcPr>
            <w:tcW w:w="2405" w:type="dxa"/>
            <w:tcBorders>
              <w:top w:val="single" w:sz="4" w:space="0" w:color="auto"/>
              <w:left w:val="single" w:sz="4" w:space="0" w:color="auto"/>
              <w:bottom w:val="single" w:sz="4" w:space="0" w:color="auto"/>
              <w:right w:val="single" w:sz="4" w:space="0" w:color="auto"/>
            </w:tcBorders>
          </w:tcPr>
          <w:p w14:paraId="33504F4F" w14:textId="77777777" w:rsidR="00FC7B5D" w:rsidRPr="00A1115A" w:rsidRDefault="00FC7B5D" w:rsidP="007C5F05">
            <w:pPr>
              <w:pStyle w:val="TAC"/>
            </w:pPr>
            <w:r w:rsidRPr="00A1115A">
              <w:t>15</w:t>
            </w:r>
            <w:r>
              <w:t>35</w:t>
            </w:r>
            <w:r w:rsidRPr="00A1115A">
              <w:t xml:space="preserve"> – &lt;1&gt; – 1624</w:t>
            </w:r>
          </w:p>
        </w:tc>
      </w:tr>
    </w:tbl>
    <w:p w14:paraId="5A8D5A87" w14:textId="7BD6E2AD" w:rsidR="00CC6970" w:rsidRDefault="00CC6970" w:rsidP="00AC403D">
      <w:pPr>
        <w:rPr>
          <w:lang w:val="en-US"/>
        </w:rPr>
      </w:pPr>
    </w:p>
    <w:p w14:paraId="1697EDE7" w14:textId="396D64BC" w:rsidR="00A75321" w:rsidRDefault="00A75321" w:rsidP="00452193">
      <w:pPr>
        <w:pStyle w:val="Heading2"/>
        <w:rPr>
          <w:lang w:val="en-US"/>
        </w:rPr>
      </w:pPr>
      <w:r>
        <w:rPr>
          <w:lang w:val="en-US"/>
        </w:rPr>
        <w:t>Maximum output power</w:t>
      </w:r>
    </w:p>
    <w:p w14:paraId="34BE520B" w14:textId="53F76767" w:rsidR="00A75321" w:rsidRDefault="00A75321" w:rsidP="00A75321">
      <w:pPr>
        <w:rPr>
          <w:lang w:val="en-US"/>
        </w:rPr>
      </w:pPr>
      <w:r>
        <w:rPr>
          <w:lang w:val="en-US"/>
        </w:rPr>
        <w:t>The work item</w:t>
      </w:r>
      <w:r w:rsidR="000A3420">
        <w:rPr>
          <w:lang w:val="en-US"/>
        </w:rPr>
        <w:t xml:space="preserve"> [2] objective states the use of UE power class 3 for this band</w:t>
      </w:r>
      <w:r w:rsidR="00F75D78">
        <w:rPr>
          <w:lang w:val="en-US"/>
        </w:rPr>
        <w:t xml:space="preserve">, therefore, the maximum output power shall be 23 dBm.  The </w:t>
      </w:r>
      <w:r w:rsidR="00BA6933">
        <w:rPr>
          <w:lang w:val="en-US"/>
        </w:rPr>
        <w:t>maximum output power tolerance for Band n71 is +2/-2.5 dB and is proposed to be adopted for this band as well.  It had been indicated during the study item</w:t>
      </w:r>
      <w:r w:rsidR="00CB4E13">
        <w:rPr>
          <w:lang w:val="en-US"/>
        </w:rPr>
        <w:t xml:space="preserve"> and documented in the TR 38.860 [1]</w:t>
      </w:r>
      <w:r w:rsidR="00BF5383">
        <w:rPr>
          <w:lang w:val="en-US"/>
        </w:rPr>
        <w:t xml:space="preserve"> that the lower tolerance of 2.5 dB</w:t>
      </w:r>
      <w:r w:rsidR="008815A2">
        <w:rPr>
          <w:lang w:val="en-US"/>
        </w:rPr>
        <w:t xml:space="preserve"> would be needed to accommodate Tx filter insertion</w:t>
      </w:r>
      <w:r w:rsidR="0004463E">
        <w:rPr>
          <w:lang w:val="en-US"/>
        </w:rPr>
        <w:t xml:space="preserve"> towards the band edge.</w:t>
      </w:r>
    </w:p>
    <w:p w14:paraId="13EE601E" w14:textId="77777777" w:rsidR="003445DB" w:rsidRPr="00A1115A" w:rsidRDefault="003445DB" w:rsidP="003445DB">
      <w:pPr>
        <w:pStyle w:val="TH"/>
      </w:pPr>
      <w:r w:rsidRPr="00A1115A">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445DB" w:rsidRPr="00A1115A" w14:paraId="6C00CD36" w14:textId="77777777" w:rsidTr="007C5F05">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EA2029" w14:textId="77777777" w:rsidR="003445DB" w:rsidRPr="00A1115A" w:rsidRDefault="003445DB" w:rsidP="007C5F05">
            <w:pPr>
              <w:pStyle w:val="TAH"/>
            </w:pPr>
            <w:r w:rsidRPr="00A1115A">
              <w:t>NR</w:t>
            </w:r>
          </w:p>
          <w:p w14:paraId="42E0A6C0" w14:textId="77777777" w:rsidR="003445DB" w:rsidRPr="00A1115A" w:rsidRDefault="003445DB" w:rsidP="007C5F05">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69F622" w14:textId="77777777" w:rsidR="003445DB" w:rsidRPr="00A1115A" w:rsidRDefault="003445DB" w:rsidP="007C5F05">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F143CC8" w14:textId="77777777" w:rsidR="003445DB" w:rsidRPr="00A1115A" w:rsidRDefault="003445DB" w:rsidP="007C5F05">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6CBAF8" w14:textId="77777777" w:rsidR="003445DB" w:rsidRPr="00A1115A" w:rsidRDefault="003445DB" w:rsidP="007C5F05">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D8EAA" w14:textId="77777777" w:rsidR="003445DB" w:rsidRPr="00A1115A" w:rsidRDefault="003445DB" w:rsidP="007C5F0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66F00B" w14:textId="77777777" w:rsidR="003445DB" w:rsidRPr="00A1115A" w:rsidRDefault="003445DB" w:rsidP="007C5F05">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E139921" w14:textId="77777777" w:rsidR="003445DB" w:rsidRPr="00A1115A" w:rsidRDefault="003445DB" w:rsidP="007C5F05">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0E67D9B" w14:textId="77777777" w:rsidR="003445DB" w:rsidRPr="00A1115A" w:rsidRDefault="003445DB" w:rsidP="007C5F05">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6D451A" w14:textId="77777777" w:rsidR="003445DB" w:rsidRPr="00A1115A" w:rsidRDefault="003445DB" w:rsidP="007C5F05">
            <w:pPr>
              <w:pStyle w:val="TAH"/>
            </w:pPr>
            <w:r w:rsidRPr="00A1115A">
              <w:t>Tolerance (dB)</w:t>
            </w:r>
          </w:p>
        </w:tc>
      </w:tr>
      <w:tr w:rsidR="003445DB" w:rsidRPr="00A1115A" w14:paraId="336C89AB" w14:textId="77777777" w:rsidTr="007C5F05">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DF5119" w14:textId="77777777" w:rsidR="003445DB" w:rsidRDefault="003445DB" w:rsidP="007C5F05">
            <w:pPr>
              <w:pStyle w:val="TAC"/>
            </w:pPr>
            <w:r>
              <w:t>nXYZ</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70540" w14:textId="77777777" w:rsidR="003445DB" w:rsidRPr="00A1115A" w:rsidRDefault="003445DB" w:rsidP="007C5F0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12193" w14:textId="77777777" w:rsidR="003445DB" w:rsidRPr="00A1115A" w:rsidRDefault="003445DB" w:rsidP="007C5F0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01B627" w14:textId="77777777" w:rsidR="003445DB" w:rsidRPr="00A1115A" w:rsidRDefault="003445DB" w:rsidP="007C5F0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B5E763" w14:textId="77777777" w:rsidR="003445DB" w:rsidRPr="00A1115A" w:rsidRDefault="003445DB" w:rsidP="007C5F0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7A860D" w14:textId="77777777" w:rsidR="003445DB" w:rsidRPr="00A1115A" w:rsidRDefault="003445DB" w:rsidP="007C5F05">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56654" w14:textId="77777777" w:rsidR="003445DB" w:rsidRPr="00A1115A" w:rsidRDefault="003445DB" w:rsidP="007C5F05">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39AE7" w14:textId="77777777" w:rsidR="003445DB" w:rsidRPr="00A1115A" w:rsidRDefault="003445DB" w:rsidP="007C5F05">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A6975" w14:textId="77777777" w:rsidR="003445DB" w:rsidRPr="00A1115A" w:rsidRDefault="003445DB" w:rsidP="007C5F05">
            <w:pPr>
              <w:pStyle w:val="TAC"/>
            </w:pPr>
            <w:r>
              <w:t>+2/-2.5</w:t>
            </w:r>
          </w:p>
        </w:tc>
      </w:tr>
    </w:tbl>
    <w:p w14:paraId="6E9C6064" w14:textId="77777777" w:rsidR="003445DB" w:rsidRPr="00A1115A" w:rsidRDefault="003445DB" w:rsidP="003445DB"/>
    <w:p w14:paraId="684D04D4" w14:textId="4D38C986" w:rsidR="00452193" w:rsidRDefault="00452193" w:rsidP="00452193">
      <w:pPr>
        <w:pStyle w:val="Heading2"/>
        <w:rPr>
          <w:lang w:val="en-US"/>
        </w:rPr>
      </w:pPr>
      <w:r>
        <w:rPr>
          <w:lang w:val="en-US"/>
        </w:rPr>
        <w:t>Spurious emissions</w:t>
      </w:r>
    </w:p>
    <w:p w14:paraId="33F76776" w14:textId="23ECF627" w:rsidR="00452193" w:rsidRDefault="00452193" w:rsidP="00452193">
      <w:pPr>
        <w:rPr>
          <w:lang w:val="en-US"/>
        </w:rPr>
      </w:pPr>
      <w:r>
        <w:rPr>
          <w:lang w:val="en-US"/>
        </w:rPr>
        <w:t xml:space="preserve">Additional spurious emissions are specified for Band n71 using NS_35.  According to </w:t>
      </w:r>
      <w:r w:rsidR="00A64860">
        <w:rPr>
          <w:lang w:val="en-US"/>
        </w:rPr>
        <w:t>[3]</w:t>
      </w:r>
      <w:r w:rsidR="00BD69EA">
        <w:rPr>
          <w:lang w:val="en-US"/>
        </w:rPr>
        <w:t xml:space="preserve">, NS_35 is not expected to be signaled by cell operating in Band nXYZ.  </w:t>
      </w:r>
      <w:r w:rsidR="0035475D">
        <w:rPr>
          <w:lang w:val="en-US"/>
        </w:rPr>
        <w:t>It would be desirable from a</w:t>
      </w:r>
      <w:r w:rsidR="004E5D65">
        <w:rPr>
          <w:lang w:val="en-US"/>
        </w:rPr>
        <w:t>n</w:t>
      </w:r>
      <w:r w:rsidR="0035475D">
        <w:rPr>
          <w:lang w:val="en-US"/>
        </w:rPr>
        <w:t xml:space="preserve"> ecosystem perspective for a UE to support both bands n71 and nXYZ since they are so similar in frequency range and requirements.  In that case, the UE would be required to support NS_35 but only </w:t>
      </w:r>
      <w:r w:rsidR="00BE6F8D">
        <w:rPr>
          <w:lang w:val="en-US"/>
        </w:rPr>
        <w:t xml:space="preserve">for Band n71.  </w:t>
      </w:r>
      <w:r w:rsidR="00A95D1E">
        <w:rPr>
          <w:lang w:val="en-US"/>
        </w:rPr>
        <w:t>However, text in [3] hints</w:t>
      </w:r>
      <w:r w:rsidR="00B65A51">
        <w:rPr>
          <w:lang w:val="en-US"/>
        </w:rPr>
        <w:t xml:space="preserve"> that </w:t>
      </w:r>
      <w:r w:rsidR="00863746">
        <w:rPr>
          <w:lang w:val="en-US"/>
        </w:rPr>
        <w:t xml:space="preserve">there may also be the possibility that NS_35 requirements also apply in APT countries.  </w:t>
      </w:r>
      <w:r w:rsidR="00D505C2">
        <w:rPr>
          <w:lang w:val="en-US"/>
        </w:rPr>
        <w:t xml:space="preserve">While this possibility cannot be ruled out, it is also indicated in [3] that at the present time no additional requirements beyond the general spurious emissions have been identified.  Thus, it is recommended that </w:t>
      </w:r>
      <w:r w:rsidR="0073035F">
        <w:rPr>
          <w:lang w:val="en-US"/>
        </w:rPr>
        <w:t>only the general</w:t>
      </w:r>
      <w:r w:rsidR="00D505C2">
        <w:rPr>
          <w:lang w:val="en-US"/>
        </w:rPr>
        <w:t xml:space="preserve"> NS</w:t>
      </w:r>
      <w:r w:rsidR="0073035F">
        <w:rPr>
          <w:lang w:val="en-US"/>
        </w:rPr>
        <w:t>_01</w:t>
      </w:r>
      <w:r w:rsidR="00D505C2">
        <w:rPr>
          <w:lang w:val="en-US"/>
        </w:rPr>
        <w:t xml:space="preserve"> is </w:t>
      </w:r>
      <w:r w:rsidR="00493DC9">
        <w:rPr>
          <w:lang w:val="en-US"/>
        </w:rPr>
        <w:t xml:space="preserve">specified for Band nXYZ at this time.  </w:t>
      </w:r>
    </w:p>
    <w:p w14:paraId="66B80FA6" w14:textId="2DA122C5" w:rsidR="000811DC" w:rsidRDefault="00E13EDC" w:rsidP="00452193">
      <w:pPr>
        <w:rPr>
          <w:lang w:val="en-US"/>
        </w:rPr>
      </w:pPr>
      <w:r>
        <w:rPr>
          <w:lang w:val="en-US"/>
        </w:rPr>
        <w:t>UE coexistence requirements should also be specified for Band nXYZ</w:t>
      </w:r>
      <w:r w:rsidR="00DA3CDB">
        <w:rPr>
          <w:lang w:val="en-US"/>
        </w:rPr>
        <w:t xml:space="preserve">.  </w:t>
      </w:r>
      <w:r w:rsidR="000811DC">
        <w:rPr>
          <w:lang w:val="en-US"/>
        </w:rPr>
        <w:t xml:space="preserve">Since the motivation as explained in </w:t>
      </w:r>
      <w:r w:rsidR="00D15014">
        <w:rPr>
          <w:lang w:val="en-US"/>
        </w:rPr>
        <w:t xml:space="preserve">[2] is to enable companion </w:t>
      </w:r>
      <w:r w:rsidR="009C4FCB">
        <w:rPr>
          <w:lang w:val="en-US"/>
        </w:rPr>
        <w:t xml:space="preserve">spectrum </w:t>
      </w:r>
      <w:r w:rsidR="00D15014">
        <w:rPr>
          <w:lang w:val="en-US"/>
        </w:rPr>
        <w:t>to Band 28</w:t>
      </w:r>
      <w:r w:rsidR="008A4B36">
        <w:rPr>
          <w:lang w:val="en-US"/>
        </w:rPr>
        <w:t xml:space="preserve"> in the 700 MHz frequency range</w:t>
      </w:r>
      <w:r w:rsidR="002F35D1">
        <w:rPr>
          <w:lang w:val="en-US"/>
        </w:rPr>
        <w:t xml:space="preserve">, it is proposed to list the same </w:t>
      </w:r>
      <w:r w:rsidR="008A4B36">
        <w:rPr>
          <w:lang w:val="en-US"/>
        </w:rPr>
        <w:t>UE coexistence bands for Band nXYZ as have been specified for Band n28.</w:t>
      </w:r>
    </w:p>
    <w:p w14:paraId="0415E90F" w14:textId="7DB62D55" w:rsidR="00BE287F" w:rsidRDefault="00BE287F" w:rsidP="00BE287F">
      <w:pPr>
        <w:pStyle w:val="Heading2"/>
        <w:rPr>
          <w:lang w:val="en-US"/>
        </w:rPr>
      </w:pPr>
      <w:r>
        <w:rPr>
          <w:lang w:val="en-US"/>
        </w:rPr>
        <w:t>Reference sensitivity</w:t>
      </w:r>
    </w:p>
    <w:p w14:paraId="0F8E02D2" w14:textId="40C1F611" w:rsidR="00BE287F" w:rsidRDefault="00BE287F" w:rsidP="00BE287F">
      <w:pPr>
        <w:rPr>
          <w:lang w:val="en-US"/>
        </w:rPr>
      </w:pPr>
      <w:r w:rsidRPr="00BE287F">
        <w:rPr>
          <w:lang w:val="en-US"/>
        </w:rPr>
        <w:t xml:space="preserve">Due to the small Tx-Rx separation, reference sensitivity is impacted for this band particularly for wider bandwidths.  In fact, the same phenomenon has already been studied for Band n71.  Therefore, it is expected that Band n71 reference sensitivity </w:t>
      </w:r>
      <w:r w:rsidR="0056583B">
        <w:rPr>
          <w:lang w:val="en-US"/>
        </w:rPr>
        <w:t xml:space="preserve">studies and </w:t>
      </w:r>
      <w:r w:rsidRPr="00BE287F">
        <w:rPr>
          <w:lang w:val="en-US"/>
        </w:rPr>
        <w:t xml:space="preserve">specifications can be leveraged for Band nXYZ.  The uplink and downlink bandwidths for both bands are the same.  However, due to the wider passband for Band nXYZ (40 MHz vs. 35 MHz), the duplexer insertion loss and isolation may be slightly worse.  On the other hand, the Tx-Rx separation is slightly larger (51 MHz vs. 46 MHz) which </w:t>
      </w:r>
      <w:r w:rsidR="00754CFC">
        <w:rPr>
          <w:lang w:val="en-US"/>
        </w:rPr>
        <w:t>will reduce the Tx interference</w:t>
      </w:r>
      <w:r w:rsidR="00CE7F1C">
        <w:rPr>
          <w:lang w:val="en-US"/>
        </w:rPr>
        <w:t xml:space="preserve"> providing for better</w:t>
      </w:r>
      <w:r w:rsidR="002D05C8">
        <w:rPr>
          <w:lang w:val="en-US"/>
        </w:rPr>
        <w:t xml:space="preserve"> (lower)</w:t>
      </w:r>
      <w:r w:rsidR="00CE7F1C">
        <w:rPr>
          <w:lang w:val="en-US"/>
        </w:rPr>
        <w:t xml:space="preserve"> reference sensitivity</w:t>
      </w:r>
      <w:r w:rsidR="002D05C8">
        <w:rPr>
          <w:lang w:val="en-US"/>
        </w:rPr>
        <w:t>.</w:t>
      </w:r>
    </w:p>
    <w:p w14:paraId="2621282B" w14:textId="63C4FBD3" w:rsidR="0068370A" w:rsidRDefault="0068370A" w:rsidP="0068370A">
      <w:pPr>
        <w:pStyle w:val="Heading3"/>
        <w:rPr>
          <w:lang w:val="en-US"/>
        </w:rPr>
      </w:pPr>
      <w:r>
        <w:rPr>
          <w:lang w:val="en-US"/>
        </w:rPr>
        <w:lastRenderedPageBreak/>
        <w:t>Duplexer performance</w:t>
      </w:r>
    </w:p>
    <w:p w14:paraId="16FDACD0" w14:textId="4A65C90E" w:rsidR="0068370A" w:rsidRPr="0068370A" w:rsidRDefault="0068370A" w:rsidP="0068370A">
      <w:pPr>
        <w:rPr>
          <w:lang w:val="en-US"/>
        </w:rPr>
      </w:pPr>
      <w:r>
        <w:rPr>
          <w:lang w:val="en-US"/>
        </w:rPr>
        <w:t xml:space="preserve">The duplexer performance was studied and reported in [1].  </w:t>
      </w:r>
      <w:r w:rsidR="00926A82">
        <w:rPr>
          <w:lang w:val="en-US"/>
        </w:rPr>
        <w:t>It was found that the Rx insertion loss may increase</w:t>
      </w:r>
      <w:r w:rsidR="009F69AF">
        <w:rPr>
          <w:lang w:val="en-US"/>
        </w:rPr>
        <w:t xml:space="preserve"> relative to Band n71 by approximately 0.5 dB</w:t>
      </w:r>
      <w:r w:rsidR="008D1F48">
        <w:rPr>
          <w:lang w:val="en-US"/>
        </w:rPr>
        <w:t xml:space="preserve"> currently.  However, it was also reported that with design optimization and employing more advanced filter technologies, performance is expected to improve in the future.  Nonetheless, we assume a 0.5 dB higher front-end loss in the analysis compared to Band n71.  Thus, while the assumed FE loss for Band n71 was 4 dB (see [5] and [6] for examples), we assume 4.5 dB for this analysis.  </w:t>
      </w:r>
      <w:r w:rsidR="00925707">
        <w:rPr>
          <w:lang w:val="en-US"/>
        </w:rPr>
        <w:t>The Rx isolation of 50 dB and Tx isolation of 55 dB</w:t>
      </w:r>
      <w:r w:rsidR="00B8338E">
        <w:rPr>
          <w:lang w:val="en-US"/>
        </w:rPr>
        <w:t xml:space="preserve"> is retained in the analysis</w:t>
      </w:r>
      <w:r w:rsidR="00005856">
        <w:rPr>
          <w:lang w:val="en-US"/>
        </w:rPr>
        <w:t xml:space="preserve"> </w:t>
      </w:r>
      <w:r w:rsidR="004A5B46">
        <w:rPr>
          <w:lang w:val="en-US"/>
        </w:rPr>
        <w:t>(TBD to be confirmed by filter simulation).</w:t>
      </w:r>
    </w:p>
    <w:p w14:paraId="699A5255" w14:textId="72A09007" w:rsidR="0068370A" w:rsidRDefault="0068370A" w:rsidP="0068370A">
      <w:pPr>
        <w:pStyle w:val="Heading3"/>
        <w:rPr>
          <w:lang w:val="en-US"/>
        </w:rPr>
      </w:pPr>
      <w:r>
        <w:rPr>
          <w:lang w:val="en-US"/>
        </w:rPr>
        <w:t>Uplink channel placement and RB restriction</w:t>
      </w:r>
    </w:p>
    <w:p w14:paraId="4E1F8673" w14:textId="1F247A63" w:rsidR="002D05C8" w:rsidRDefault="00D205B8" w:rsidP="00BE287F">
      <w:pPr>
        <w:rPr>
          <w:lang w:val="en-US"/>
        </w:rPr>
      </w:pPr>
      <w:r>
        <w:rPr>
          <w:lang w:val="en-US"/>
        </w:rPr>
        <w:t xml:space="preserve">For bands with asymmetric uplink and downlink bandwidths, i.e., 35 MHz downlink and 20 MHz uplink, such as Band n71 and Band nXYZ, there was previous discussion on where the uplink channel should be located.  </w:t>
      </w:r>
      <w:r w:rsidR="0097559A">
        <w:rPr>
          <w:lang w:val="en-US"/>
        </w:rPr>
        <w:t xml:space="preserve">Three options were consider:  best, middle, and worst placement corresponding to the largest Tx-Rx separation, Tx-Rx separation according to band’s default, and smallest Tx-Rx separation.  It was agreed to define the specification for reference sensitivity </w:t>
      </w:r>
      <w:r w:rsidR="00510138">
        <w:rPr>
          <w:lang w:val="en-US"/>
        </w:rPr>
        <w:t>with middle uplink channel placement</w:t>
      </w:r>
      <w:r w:rsidR="00543DEB">
        <w:rPr>
          <w:lang w:val="en-US"/>
        </w:rPr>
        <w:t xml:space="preserve">.  This is reflected in Note 5 of Table </w:t>
      </w:r>
      <w:r w:rsidR="000C7973">
        <w:rPr>
          <w:lang w:val="en-US"/>
        </w:rPr>
        <w:t>7.3.2-3 of TS 38.101-1 which reads</w:t>
      </w:r>
    </w:p>
    <w:p w14:paraId="76F5B87F" w14:textId="77777777" w:rsidR="00E77541" w:rsidRDefault="00E77541" w:rsidP="00E77541">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19E80A56" w14:textId="77777777" w:rsidR="00127832" w:rsidRDefault="00127832" w:rsidP="00BE287F">
      <w:pPr>
        <w:rPr>
          <w:lang w:val="en-US"/>
        </w:rPr>
      </w:pPr>
    </w:p>
    <w:p w14:paraId="5577FB6F" w14:textId="55C24BF0" w:rsidR="00E77541" w:rsidRDefault="00E77541" w:rsidP="00BE287F">
      <w:pPr>
        <w:rPr>
          <w:lang w:val="en-US"/>
        </w:rPr>
      </w:pPr>
      <w:r>
        <w:rPr>
          <w:lang w:val="en-US"/>
        </w:rPr>
        <w:t>indicating the default Tx-Rx separation applies.</w:t>
      </w:r>
      <w:r w:rsidR="00B13478">
        <w:rPr>
          <w:lang w:val="en-US"/>
        </w:rPr>
        <w:t xml:space="preserve">  It is expected that Band nXYZ will use this same convention.</w:t>
      </w:r>
      <w:r w:rsidR="000B01E4">
        <w:rPr>
          <w:lang w:val="en-US"/>
        </w:rPr>
        <w:t xml:space="preserve">  The uplink RB’s within the channel will be </w:t>
      </w:r>
      <w:r w:rsidR="008B12D6">
        <w:rPr>
          <w:lang w:val="en-US"/>
        </w:rPr>
        <w:t>placed closest to the downlink band</w:t>
      </w:r>
      <w:r w:rsidR="005874F8">
        <w:rPr>
          <w:lang w:val="en-US"/>
        </w:rPr>
        <w:t xml:space="preserve"> – left justified in the case of Band nXYZ.</w:t>
      </w:r>
      <w:r w:rsidR="00874300">
        <w:rPr>
          <w:lang w:val="en-US"/>
        </w:rPr>
        <w:t xml:space="preserve">  An example is illustrated below</w:t>
      </w:r>
    </w:p>
    <w:p w14:paraId="3A8A9DF8" w14:textId="4040F94D" w:rsidR="00874300" w:rsidRDefault="00874300" w:rsidP="00BE287F">
      <w:pPr>
        <w:rPr>
          <w:lang w:val="en-US"/>
        </w:rPr>
      </w:pPr>
      <w:r w:rsidRPr="00874300">
        <w:rPr>
          <w:noProof/>
        </w:rPr>
        <w:drawing>
          <wp:inline distT="0" distB="0" distL="0" distR="0" wp14:anchorId="06320FB9" wp14:editId="7ACB47F4">
            <wp:extent cx="6115685" cy="212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5685" cy="212725"/>
                    </a:xfrm>
                    <a:prstGeom prst="rect">
                      <a:avLst/>
                    </a:prstGeom>
                    <a:noFill/>
                    <a:ln>
                      <a:noFill/>
                    </a:ln>
                  </pic:spPr>
                </pic:pic>
              </a:graphicData>
            </a:graphic>
          </wp:inline>
        </w:drawing>
      </w:r>
    </w:p>
    <w:p w14:paraId="44B80964" w14:textId="0B584E12" w:rsidR="007B5A9E" w:rsidRDefault="00821A9E" w:rsidP="00BE287F">
      <w:pPr>
        <w:rPr>
          <w:lang w:val="en-US"/>
        </w:rPr>
      </w:pPr>
      <w:r>
        <w:rPr>
          <w:lang w:val="en-US"/>
        </w:rPr>
        <w:t xml:space="preserve">where the downlink channel bandwidth is 35 MHz </w:t>
      </w:r>
      <w:r w:rsidR="00326509">
        <w:rPr>
          <w:lang w:val="en-US"/>
        </w:rPr>
        <w:t xml:space="preserve">centered at 634.5 MHz </w:t>
      </w:r>
      <w:r>
        <w:rPr>
          <w:lang w:val="en-US"/>
        </w:rPr>
        <w:t>and the uplink channel bandwidth is 20 MHz</w:t>
      </w:r>
      <w:r w:rsidR="00326509">
        <w:rPr>
          <w:lang w:val="en-US"/>
        </w:rPr>
        <w:t xml:space="preserve"> centered at 6</w:t>
      </w:r>
      <w:r w:rsidR="00127832">
        <w:rPr>
          <w:lang w:val="en-US"/>
        </w:rPr>
        <w:t>85.5 MHz</w:t>
      </w:r>
      <w:r w:rsidR="0093058A">
        <w:rPr>
          <w:lang w:val="en-US"/>
        </w:rPr>
        <w:t xml:space="preserve"> – the Tx-Rx separation is 51 MHz </w:t>
      </w:r>
      <w:r w:rsidR="00FB7EBB">
        <w:rPr>
          <w:lang w:val="en-US"/>
        </w:rPr>
        <w:t>using the default for the band</w:t>
      </w:r>
      <w:r>
        <w:rPr>
          <w:lang w:val="en-US"/>
        </w:rPr>
        <w:t xml:space="preserve">.  </w:t>
      </w:r>
      <w:r w:rsidR="0093058A">
        <w:rPr>
          <w:lang w:val="en-US"/>
        </w:rPr>
        <w:t xml:space="preserve">The downlink is fully allocated while the </w:t>
      </w:r>
      <w:r w:rsidR="00FB7EBB">
        <w:rPr>
          <w:lang w:val="en-US"/>
        </w:rPr>
        <w:t>uplink is limited to 20 RB’s</w:t>
      </w:r>
      <w:r w:rsidR="007B5A9E">
        <w:rPr>
          <w:lang w:val="en-US"/>
        </w:rPr>
        <w:t xml:space="preserve"> starting at RB0.  </w:t>
      </w:r>
    </w:p>
    <w:p w14:paraId="2EC40993" w14:textId="4CE84F7C" w:rsidR="0068370A" w:rsidRDefault="00B8338E" w:rsidP="0068370A">
      <w:pPr>
        <w:pStyle w:val="Heading3"/>
        <w:rPr>
          <w:lang w:val="en-US"/>
        </w:rPr>
      </w:pPr>
      <w:r>
        <w:rPr>
          <w:lang w:val="en-US"/>
        </w:rPr>
        <w:t>Transmitter noise</w:t>
      </w:r>
    </w:p>
    <w:p w14:paraId="4C7768C5" w14:textId="0AD194E1" w:rsidR="00692CDE" w:rsidRDefault="007B5A9E" w:rsidP="00BE287F">
      <w:pPr>
        <w:rPr>
          <w:lang w:val="en-US"/>
        </w:rPr>
      </w:pPr>
      <w:r>
        <w:rPr>
          <w:lang w:val="en-US"/>
        </w:rPr>
        <w:t>This configuration is similar to the one studied for Band n71</w:t>
      </w:r>
      <w:r w:rsidR="00FE67DD">
        <w:rPr>
          <w:lang w:val="en-US"/>
        </w:rPr>
        <w:t xml:space="preserve"> with the key difference being the </w:t>
      </w:r>
      <w:r w:rsidR="004F00F6">
        <w:rPr>
          <w:lang w:val="en-US"/>
        </w:rPr>
        <w:t xml:space="preserve">potential difference in </w:t>
      </w:r>
      <w:r w:rsidR="00FE67DD">
        <w:rPr>
          <w:lang w:val="en-US"/>
        </w:rPr>
        <w:t xml:space="preserve">duplexer performance and the larger separation between Tx and Rx.  </w:t>
      </w:r>
      <w:r w:rsidR="00233F56">
        <w:rPr>
          <w:lang w:val="en-US"/>
        </w:rPr>
        <w:t xml:space="preserve">As discovered during the Band n71 study, the Tx interference into Rx is composed of PA regrowth as well as </w:t>
      </w:r>
      <w:r w:rsidR="007626A9">
        <w:rPr>
          <w:lang w:val="en-US"/>
        </w:rPr>
        <w:t xml:space="preserve">Tx and image IM3.  For Band n71, there was </w:t>
      </w:r>
      <w:r w:rsidR="00191198">
        <w:rPr>
          <w:lang w:val="en-US"/>
        </w:rPr>
        <w:t>small overlap of IM3 due to Tx image and Tx CIM5 emission [</w:t>
      </w:r>
      <w:r w:rsidR="00E16E19">
        <w:rPr>
          <w:lang w:val="en-US"/>
        </w:rPr>
        <w:t>5]</w:t>
      </w:r>
      <w:r w:rsidR="008D3461">
        <w:rPr>
          <w:lang w:val="en-US"/>
        </w:rPr>
        <w:t xml:space="preserve"> for the 35 MHz DL / 20 MHz UL</w:t>
      </w:r>
      <w:r w:rsidR="00F87AFE">
        <w:rPr>
          <w:lang w:val="en-US"/>
        </w:rPr>
        <w:t xml:space="preserve"> pairing.  </w:t>
      </w:r>
      <w:r w:rsidR="00B53781">
        <w:rPr>
          <w:lang w:val="en-US"/>
        </w:rPr>
        <w:t>For Band nXYZ, with a</w:t>
      </w:r>
      <w:r w:rsidR="00B3444F">
        <w:rPr>
          <w:lang w:val="en-US"/>
        </w:rPr>
        <w:t xml:space="preserve"> larger default Tx-Rx spacing of 51 MHz, </w:t>
      </w:r>
      <w:r w:rsidR="006D6735">
        <w:rPr>
          <w:lang w:val="en-US"/>
        </w:rPr>
        <w:t>the impact is less severe</w:t>
      </w:r>
      <w:r w:rsidR="00F50F4B">
        <w:rPr>
          <w:lang w:val="en-US"/>
        </w:rPr>
        <w:t xml:space="preserve"> but is still present</w:t>
      </w:r>
      <w:r w:rsidR="00F97279">
        <w:rPr>
          <w:lang w:val="en-US"/>
        </w:rPr>
        <w:t xml:space="preserve">.  </w:t>
      </w:r>
      <w:r w:rsidR="00F200CD">
        <w:rPr>
          <w:lang w:val="en-US"/>
        </w:rPr>
        <w:t xml:space="preserve">Moreover, the </w:t>
      </w:r>
      <w:r w:rsidR="006C05E1">
        <w:rPr>
          <w:lang w:val="en-US"/>
        </w:rPr>
        <w:t xml:space="preserve">PA spectral regrowth noise will also be smaller </w:t>
      </w:r>
      <w:r w:rsidR="000748F8">
        <w:rPr>
          <w:lang w:val="en-US"/>
        </w:rPr>
        <w:t xml:space="preserve">due to the larger separation.  We note that the Tx-Rx separation is increased by 5 MHz while the Tx </w:t>
      </w:r>
      <w:r w:rsidR="00CA08AF">
        <w:rPr>
          <w:lang w:val="en-US"/>
        </w:rPr>
        <w:t xml:space="preserve">UL configuration is 3.6 MHz (20 RBs for 15 kHz SCS) so </w:t>
      </w:r>
      <w:r w:rsidR="009D5B20">
        <w:rPr>
          <w:lang w:val="en-US"/>
        </w:rPr>
        <w:t>the IM</w:t>
      </w:r>
      <w:r w:rsidR="005A4FF3">
        <w:rPr>
          <w:lang w:val="en-US"/>
        </w:rPr>
        <w:t xml:space="preserve"> order needed to reach</w:t>
      </w:r>
      <w:r w:rsidR="009D5B20">
        <w:rPr>
          <w:lang w:val="en-US"/>
        </w:rPr>
        <w:t xml:space="preserve"> the receiver are 1 or 2 </w:t>
      </w:r>
      <w:r w:rsidR="005A4FF3">
        <w:rPr>
          <w:lang w:val="en-US"/>
        </w:rPr>
        <w:t xml:space="preserve">higher with the corresponding drop in </w:t>
      </w:r>
      <w:r w:rsidR="002D1492">
        <w:rPr>
          <w:lang w:val="en-US"/>
        </w:rPr>
        <w:t>magnitude.</w:t>
      </w:r>
      <w:r w:rsidR="00E37BE0">
        <w:rPr>
          <w:lang w:val="en-US"/>
        </w:rPr>
        <w:t xml:space="preserve">  </w:t>
      </w:r>
    </w:p>
    <w:p w14:paraId="2741A487" w14:textId="0FD2389C" w:rsidR="00F164B7" w:rsidRDefault="00F164B7" w:rsidP="00F164B7">
      <w:pPr>
        <w:pStyle w:val="Heading3"/>
        <w:rPr>
          <w:lang w:val="en-US"/>
        </w:rPr>
      </w:pPr>
      <w:r>
        <w:rPr>
          <w:lang w:val="en-US"/>
        </w:rPr>
        <w:t>Reference sensitivity analysis</w:t>
      </w:r>
    </w:p>
    <w:p w14:paraId="1295F480" w14:textId="28F2B5A1" w:rsidR="00344D9A" w:rsidRDefault="00F164B7" w:rsidP="00344D9A">
      <w:pPr>
        <w:rPr>
          <w:lang w:val="en-US"/>
        </w:rPr>
      </w:pPr>
      <w:r>
        <w:rPr>
          <w:lang w:val="en-US"/>
        </w:rPr>
        <w:t>Following the analysis presented for Band n71 in [5] and [6], reference sensitivity is calculated for Band nXYZ.  As described above, the front-end loss is increased by 0.5 dB to account for the increase in filter insertion loss, the noise terms and overlap correction factors</w:t>
      </w:r>
      <w:r w:rsidR="00AB59A2">
        <w:rPr>
          <w:lang w:val="en-US"/>
        </w:rPr>
        <w:t xml:space="preserve"> for IM products have been recomputed for the larger Tx-Rx separation.  The same assumption of middle uplink channel placement was used for the cases of asymmetric uplink/downlink channel bandwidths with 20 RB uplink restriction placed at the closest channel edge.  The results are summarized below</w:t>
      </w:r>
    </w:p>
    <w:p w14:paraId="022EB09E" w14:textId="25F61ACC" w:rsidR="00344D9A" w:rsidRDefault="00E14FB6" w:rsidP="006F0329">
      <w:pPr>
        <w:jc w:val="center"/>
        <w:rPr>
          <w:lang w:val="en-US"/>
        </w:rPr>
      </w:pPr>
      <w:r w:rsidRPr="00E14FB6">
        <w:rPr>
          <w:noProof/>
        </w:rPr>
        <w:lastRenderedPageBreak/>
        <w:drawing>
          <wp:inline distT="0" distB="0" distL="0" distR="0" wp14:anchorId="49FFF58F" wp14:editId="76839C4B">
            <wp:extent cx="4406043" cy="26504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2987" cy="2654672"/>
                    </a:xfrm>
                    <a:prstGeom prst="rect">
                      <a:avLst/>
                    </a:prstGeom>
                    <a:noFill/>
                    <a:ln>
                      <a:noFill/>
                    </a:ln>
                  </pic:spPr>
                </pic:pic>
              </a:graphicData>
            </a:graphic>
          </wp:inline>
        </w:drawing>
      </w:r>
    </w:p>
    <w:p w14:paraId="6D6ED3FB" w14:textId="0D0BE428" w:rsidR="00E208B5" w:rsidRDefault="00B570AE" w:rsidP="00E208B5">
      <w:pPr>
        <w:rPr>
          <w:lang w:val="en-US"/>
        </w:rPr>
      </w:pPr>
      <w:r>
        <w:rPr>
          <w:lang w:val="en-US"/>
        </w:rPr>
        <w:t>For 30 kHz SCS, the reference sensitivity values are</w:t>
      </w:r>
      <w:r w:rsidR="00B17238">
        <w:rPr>
          <w:lang w:val="en-US"/>
        </w:rPr>
        <w:t xml:space="preserve"> derived by bandwidth scaling rather than by direct computation.</w:t>
      </w:r>
    </w:p>
    <w:p w14:paraId="2865B6C1" w14:textId="57848959" w:rsidR="00992083" w:rsidRDefault="00992083" w:rsidP="00344D9A">
      <w:pPr>
        <w:pStyle w:val="Heading2"/>
        <w:rPr>
          <w:lang w:val="en-US"/>
        </w:rPr>
      </w:pPr>
      <w:r>
        <w:rPr>
          <w:lang w:val="en-US"/>
        </w:rPr>
        <w:t>In-band blocking</w:t>
      </w:r>
    </w:p>
    <w:p w14:paraId="012D0FD0" w14:textId="28D9AE17" w:rsidR="00B278CF" w:rsidRDefault="00B066D4" w:rsidP="00992083">
      <w:pPr>
        <w:rPr>
          <w:lang w:val="en-US"/>
        </w:rPr>
      </w:pPr>
      <w:r>
        <w:rPr>
          <w:lang w:val="en-US"/>
        </w:rPr>
        <w:t xml:space="preserve">One of the critical </w:t>
      </w:r>
      <w:r w:rsidR="00B278CF">
        <w:rPr>
          <w:lang w:val="en-US"/>
        </w:rPr>
        <w:t xml:space="preserve">specifications for Band nXYZ is the in-band blocking.  Because the frequency range of the band is adjacent to </w:t>
      </w:r>
      <w:r w:rsidR="006065C9">
        <w:rPr>
          <w:lang w:val="en-US"/>
        </w:rPr>
        <w:t xml:space="preserve">digital terrestrial television (DTT), it is important to capture an in-band blocking requirement for the UE to ensure satisfactory performance when in the vicinity of a television </w:t>
      </w:r>
      <w:r w:rsidR="00F7284D">
        <w:rPr>
          <w:lang w:val="en-US"/>
        </w:rPr>
        <w:t xml:space="preserve">broadcast.  The spectrum landscape is </w:t>
      </w:r>
      <w:r w:rsidR="00427391">
        <w:rPr>
          <w:lang w:val="en-US"/>
        </w:rPr>
        <w:t>illustrated in [3] and copied below</w:t>
      </w:r>
      <w:r w:rsidR="0039426F">
        <w:rPr>
          <w:lang w:val="en-US"/>
        </w:rPr>
        <w:t xml:space="preserve"> in Figure 1.</w:t>
      </w:r>
    </w:p>
    <w:p w14:paraId="05633401" w14:textId="77777777" w:rsidR="00662CEB" w:rsidRDefault="00427391" w:rsidP="00662CEB">
      <w:pPr>
        <w:keepNext/>
      </w:pPr>
      <w:r w:rsidRPr="008A36BA">
        <w:rPr>
          <w:noProof/>
        </w:rPr>
        <w:drawing>
          <wp:inline distT="0" distB="0" distL="0" distR="0" wp14:anchorId="5CDBADCD" wp14:editId="72A785AF">
            <wp:extent cx="5974715" cy="1664335"/>
            <wp:effectExtent l="0" t="0" r="0" b="0"/>
            <wp:docPr id="54" name="Picture 54"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A screenshot of a computer&#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74715" cy="1664335"/>
                    </a:xfrm>
                    <a:prstGeom prst="rect">
                      <a:avLst/>
                    </a:prstGeom>
                    <a:noFill/>
                  </pic:spPr>
                </pic:pic>
              </a:graphicData>
            </a:graphic>
          </wp:inline>
        </w:drawing>
      </w:r>
    </w:p>
    <w:p w14:paraId="44F4352F" w14:textId="41F85DDB" w:rsidR="00427391" w:rsidRDefault="00662CEB" w:rsidP="0039426F">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Spectrum landscape copied from Figure A1 of [3].</w:t>
      </w:r>
    </w:p>
    <w:p w14:paraId="44BC938E" w14:textId="33331D9A" w:rsidR="003254B9" w:rsidRDefault="0039426F" w:rsidP="0039426F">
      <w:r>
        <w:t xml:space="preserve">Of interest is the Option B1 with </w:t>
      </w:r>
      <w:r w:rsidR="000C7349">
        <w:t xml:space="preserve">its downlink as low as 612 MHz.  </w:t>
      </w:r>
      <w:r w:rsidR="00272A65">
        <w:t xml:space="preserve">The DTT frequency channelization is shown for </w:t>
      </w:r>
      <w:r w:rsidR="008E7187">
        <w:t xml:space="preserve">6, 7, and 8 MHz rasters where it has been suggested in [3] that the smallest feasible guard band between the DTT channel and the Band nXYZ downlink is 4 MHz.  Therefore, </w:t>
      </w:r>
      <w:r w:rsidR="004172A3">
        <w:t xml:space="preserve">the highest DTT channel practically available is CH37, CH38, and CH36 for countries with 8, 7, and 6 MHz </w:t>
      </w:r>
      <w:r w:rsidR="003F1B43">
        <w:t xml:space="preserve">rasterization.  Of these, the CH36 with 6 MHz raster </w:t>
      </w:r>
      <w:r w:rsidR="003F6457">
        <w:t xml:space="preserve">is only provided a 4 MHz guard band while the other rasters enjoy a larger guard band.  Therefore, we focus on specifying an in-band blocking requirement to </w:t>
      </w:r>
      <w:r w:rsidR="00EE124E">
        <w:t xml:space="preserve">model the CH36 broadcast signal.  If the CH36 broadcast blocker can be </w:t>
      </w:r>
      <w:r w:rsidR="00AB6814">
        <w:t>met, then the blockers for 7 and 8 MHz channelization can also be met since they are separated with larger guard bands from Band nXYZ</w:t>
      </w:r>
      <w:r w:rsidR="003D474F">
        <w:t xml:space="preserve"> and blocking performance is expected to be monotonic</w:t>
      </w:r>
      <w:r w:rsidR="00B74D9B">
        <w:t xml:space="preserve"> in this frequency range</w:t>
      </w:r>
      <w:r w:rsidR="003254B9">
        <w:t>.</w:t>
      </w:r>
    </w:p>
    <w:p w14:paraId="3968BE4B" w14:textId="5433F917" w:rsidR="003254B9" w:rsidRDefault="00BE2EC0" w:rsidP="0039426F">
      <w:r>
        <w:t>A similar situation exists for Band n71 where CH36</w:t>
      </w:r>
      <w:r w:rsidR="00833637">
        <w:t xml:space="preserve"> blocker is separated by 9 MHz guard band</w:t>
      </w:r>
      <w:r w:rsidR="006B67E8">
        <w:t>.  For this, a Case 3 in-band blocker was specified for Band n71 as follows</w:t>
      </w:r>
    </w:p>
    <w:p w14:paraId="7D19E421" w14:textId="77777777" w:rsidR="005A16FC" w:rsidRPr="00A1115A" w:rsidRDefault="005A16FC" w:rsidP="005A16FC">
      <w:pPr>
        <w:pStyle w:val="TH"/>
      </w:pPr>
      <w:bookmarkStart w:id="1" w:name="OLE_LINK3"/>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5A16FC" w:rsidRPr="00A1115A" w14:paraId="3C43F4BC" w14:textId="77777777" w:rsidTr="007C5F05">
        <w:trPr>
          <w:jc w:val="center"/>
        </w:trPr>
        <w:tc>
          <w:tcPr>
            <w:tcW w:w="1106" w:type="dxa"/>
            <w:tcBorders>
              <w:bottom w:val="nil"/>
            </w:tcBorders>
            <w:shd w:val="clear" w:color="auto" w:fill="auto"/>
          </w:tcPr>
          <w:p w14:paraId="6551C60A" w14:textId="77777777" w:rsidR="005A16FC" w:rsidRPr="00A1115A" w:rsidRDefault="005A16FC" w:rsidP="007C5F05">
            <w:pPr>
              <w:pStyle w:val="TAH"/>
            </w:pPr>
            <w:r w:rsidRPr="00A1115A">
              <w:t>NR band</w:t>
            </w:r>
          </w:p>
        </w:tc>
        <w:tc>
          <w:tcPr>
            <w:tcW w:w="1487" w:type="dxa"/>
            <w:shd w:val="clear" w:color="auto" w:fill="auto"/>
          </w:tcPr>
          <w:p w14:paraId="0D2757CF" w14:textId="77777777" w:rsidR="005A16FC" w:rsidRPr="00A1115A" w:rsidRDefault="005A16FC" w:rsidP="007C5F05">
            <w:pPr>
              <w:pStyle w:val="TAH"/>
            </w:pPr>
            <w:r w:rsidRPr="00A1115A">
              <w:t>Parameter</w:t>
            </w:r>
          </w:p>
        </w:tc>
        <w:tc>
          <w:tcPr>
            <w:tcW w:w="799" w:type="dxa"/>
          </w:tcPr>
          <w:p w14:paraId="39606270" w14:textId="77777777" w:rsidR="005A16FC" w:rsidRPr="00A1115A" w:rsidRDefault="005A16FC" w:rsidP="007C5F05">
            <w:pPr>
              <w:pStyle w:val="TAH"/>
            </w:pPr>
            <w:r w:rsidRPr="00A1115A">
              <w:t>Unit</w:t>
            </w:r>
          </w:p>
        </w:tc>
        <w:tc>
          <w:tcPr>
            <w:tcW w:w="1625" w:type="dxa"/>
          </w:tcPr>
          <w:p w14:paraId="41AD2C0B" w14:textId="77777777" w:rsidR="005A16FC" w:rsidRPr="00A1115A" w:rsidRDefault="005A16FC" w:rsidP="007C5F05">
            <w:pPr>
              <w:pStyle w:val="TAH"/>
            </w:pPr>
            <w:r w:rsidRPr="00A1115A">
              <w:t>Case 1</w:t>
            </w:r>
          </w:p>
        </w:tc>
        <w:tc>
          <w:tcPr>
            <w:tcW w:w="1625" w:type="dxa"/>
          </w:tcPr>
          <w:p w14:paraId="2B7F752B" w14:textId="77777777" w:rsidR="005A16FC" w:rsidRPr="00A1115A" w:rsidRDefault="005A16FC" w:rsidP="007C5F05">
            <w:pPr>
              <w:pStyle w:val="TAH"/>
            </w:pPr>
            <w:r w:rsidRPr="00A1115A">
              <w:t>Case 2</w:t>
            </w:r>
          </w:p>
        </w:tc>
        <w:tc>
          <w:tcPr>
            <w:tcW w:w="1625" w:type="dxa"/>
          </w:tcPr>
          <w:p w14:paraId="53BEBDEC" w14:textId="77777777" w:rsidR="005A16FC" w:rsidRPr="00A1115A" w:rsidRDefault="005A16FC" w:rsidP="007C5F05">
            <w:pPr>
              <w:pStyle w:val="TAH"/>
            </w:pPr>
            <w:r w:rsidRPr="00A1115A">
              <w:t>Case 3</w:t>
            </w:r>
          </w:p>
        </w:tc>
        <w:tc>
          <w:tcPr>
            <w:tcW w:w="1625" w:type="dxa"/>
          </w:tcPr>
          <w:p w14:paraId="5788F5A1" w14:textId="77777777" w:rsidR="005A16FC" w:rsidRPr="00A1115A" w:rsidRDefault="005A16FC" w:rsidP="007C5F05">
            <w:pPr>
              <w:pStyle w:val="TAH"/>
            </w:pPr>
            <w:r w:rsidRPr="00A1115A">
              <w:t>Case 4</w:t>
            </w:r>
          </w:p>
        </w:tc>
      </w:tr>
      <w:tr w:rsidR="005A16FC" w:rsidRPr="00A1115A" w14:paraId="5D1FB60B" w14:textId="77777777" w:rsidTr="007C5F05">
        <w:trPr>
          <w:jc w:val="center"/>
        </w:trPr>
        <w:tc>
          <w:tcPr>
            <w:tcW w:w="1106" w:type="dxa"/>
            <w:tcBorders>
              <w:top w:val="nil"/>
              <w:bottom w:val="nil"/>
            </w:tcBorders>
            <w:shd w:val="clear" w:color="auto" w:fill="auto"/>
          </w:tcPr>
          <w:p w14:paraId="1610A292" w14:textId="77777777" w:rsidR="005A16FC" w:rsidRPr="00A1115A" w:rsidRDefault="005A16FC" w:rsidP="007C5F05">
            <w:pPr>
              <w:pStyle w:val="TAC"/>
              <w:jc w:val="left"/>
              <w:rPr>
                <w:lang w:val="sv-SE"/>
              </w:rPr>
            </w:pPr>
          </w:p>
        </w:tc>
        <w:tc>
          <w:tcPr>
            <w:tcW w:w="1487" w:type="dxa"/>
            <w:shd w:val="clear" w:color="auto" w:fill="auto"/>
          </w:tcPr>
          <w:p w14:paraId="17397F74" w14:textId="77777777" w:rsidR="005A16FC" w:rsidRPr="00A1115A" w:rsidRDefault="005A16FC" w:rsidP="007C5F05">
            <w:pPr>
              <w:pStyle w:val="TAL"/>
              <w:rPr>
                <w:lang w:val="sv-SE"/>
              </w:rPr>
            </w:pPr>
            <w:r w:rsidRPr="00A1115A">
              <w:rPr>
                <w:lang w:val="sv-SE"/>
              </w:rPr>
              <w:t>P</w:t>
            </w:r>
            <w:r w:rsidRPr="00A1115A">
              <w:rPr>
                <w:vertAlign w:val="subscript"/>
                <w:lang w:val="sv-SE"/>
              </w:rPr>
              <w:t>interferer</w:t>
            </w:r>
          </w:p>
        </w:tc>
        <w:tc>
          <w:tcPr>
            <w:tcW w:w="799" w:type="dxa"/>
          </w:tcPr>
          <w:p w14:paraId="13DB3266" w14:textId="77777777" w:rsidR="005A16FC" w:rsidRPr="00A1115A" w:rsidRDefault="005A16FC" w:rsidP="007C5F05">
            <w:pPr>
              <w:pStyle w:val="TAC"/>
              <w:rPr>
                <w:lang w:val="sv-SE"/>
              </w:rPr>
            </w:pPr>
            <w:r w:rsidRPr="00A1115A">
              <w:rPr>
                <w:lang w:val="sv-SE"/>
              </w:rPr>
              <w:t>dBm</w:t>
            </w:r>
          </w:p>
        </w:tc>
        <w:tc>
          <w:tcPr>
            <w:tcW w:w="1625" w:type="dxa"/>
            <w:vAlign w:val="center"/>
          </w:tcPr>
          <w:p w14:paraId="5B2941CE" w14:textId="77777777" w:rsidR="005A16FC" w:rsidRPr="00A1115A" w:rsidRDefault="005A16FC" w:rsidP="007C5F05">
            <w:pPr>
              <w:pStyle w:val="TAC"/>
            </w:pPr>
            <w:r w:rsidRPr="00A1115A">
              <w:t>-56</w:t>
            </w:r>
          </w:p>
        </w:tc>
        <w:tc>
          <w:tcPr>
            <w:tcW w:w="1625" w:type="dxa"/>
          </w:tcPr>
          <w:p w14:paraId="58CE5201" w14:textId="77777777" w:rsidR="005A16FC" w:rsidRPr="00A1115A" w:rsidRDefault="005A16FC" w:rsidP="007C5F05">
            <w:pPr>
              <w:pStyle w:val="TAC"/>
            </w:pPr>
            <w:r w:rsidRPr="00A1115A">
              <w:t>-44</w:t>
            </w:r>
          </w:p>
        </w:tc>
        <w:tc>
          <w:tcPr>
            <w:tcW w:w="1625" w:type="dxa"/>
          </w:tcPr>
          <w:p w14:paraId="7E2CC5DA" w14:textId="77777777" w:rsidR="005A16FC" w:rsidRPr="00A1115A" w:rsidRDefault="005A16FC" w:rsidP="007C5F05">
            <w:pPr>
              <w:pStyle w:val="TAC"/>
            </w:pPr>
            <w:r w:rsidRPr="00A1115A">
              <w:t>-15</w:t>
            </w:r>
          </w:p>
        </w:tc>
        <w:tc>
          <w:tcPr>
            <w:tcW w:w="1625" w:type="dxa"/>
          </w:tcPr>
          <w:p w14:paraId="16AF4611" w14:textId="77777777" w:rsidR="005A16FC" w:rsidRPr="00A1115A" w:rsidRDefault="005A16FC" w:rsidP="007C5F05">
            <w:pPr>
              <w:pStyle w:val="TAC"/>
            </w:pPr>
            <w:r w:rsidRPr="00A1115A">
              <w:t>-38</w:t>
            </w:r>
          </w:p>
        </w:tc>
      </w:tr>
      <w:tr w:rsidR="005A16FC" w:rsidRPr="00A1115A" w14:paraId="14712968" w14:textId="77777777" w:rsidTr="007C5F05">
        <w:trPr>
          <w:jc w:val="center"/>
        </w:trPr>
        <w:tc>
          <w:tcPr>
            <w:tcW w:w="1106" w:type="dxa"/>
            <w:tcBorders>
              <w:top w:val="nil"/>
            </w:tcBorders>
            <w:shd w:val="clear" w:color="auto" w:fill="auto"/>
          </w:tcPr>
          <w:p w14:paraId="2497A2DB" w14:textId="77777777" w:rsidR="005A16FC" w:rsidRPr="00A1115A" w:rsidRDefault="005A16FC" w:rsidP="007C5F05">
            <w:pPr>
              <w:pStyle w:val="TAC"/>
              <w:jc w:val="left"/>
              <w:rPr>
                <w:lang w:val="sv-SE"/>
              </w:rPr>
            </w:pPr>
          </w:p>
        </w:tc>
        <w:tc>
          <w:tcPr>
            <w:tcW w:w="1487" w:type="dxa"/>
            <w:shd w:val="clear" w:color="auto" w:fill="auto"/>
          </w:tcPr>
          <w:p w14:paraId="684F83BF" w14:textId="77777777" w:rsidR="005A16FC" w:rsidRPr="00A1115A" w:rsidRDefault="005A16FC"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4D7E2E92" w14:textId="77777777" w:rsidR="005A16FC" w:rsidRPr="00A1115A" w:rsidRDefault="005A16FC" w:rsidP="007C5F05">
            <w:pPr>
              <w:pStyle w:val="TAC"/>
              <w:rPr>
                <w:lang w:val="sv-SE"/>
              </w:rPr>
            </w:pPr>
            <w:r w:rsidRPr="00A1115A">
              <w:rPr>
                <w:lang w:val="sv-SE"/>
              </w:rPr>
              <w:t>MHz</w:t>
            </w:r>
          </w:p>
        </w:tc>
        <w:tc>
          <w:tcPr>
            <w:tcW w:w="1625" w:type="dxa"/>
            <w:vAlign w:val="center"/>
          </w:tcPr>
          <w:p w14:paraId="7CCD7E5D" w14:textId="77777777" w:rsidR="005A16FC" w:rsidRPr="00A1115A" w:rsidRDefault="005A16FC" w:rsidP="007C5F05">
            <w:pPr>
              <w:pStyle w:val="TAC"/>
            </w:pPr>
            <w:r w:rsidRPr="00A1115A">
              <w:t>-BW</w:t>
            </w:r>
            <w:r w:rsidRPr="00A1115A">
              <w:rPr>
                <w:vertAlign w:val="subscript"/>
              </w:rPr>
              <w:t>Channel</w:t>
            </w:r>
            <w:r w:rsidRPr="00A1115A">
              <w:t xml:space="preserve">/2 – </w:t>
            </w:r>
          </w:p>
          <w:p w14:paraId="7275A221" w14:textId="77777777" w:rsidR="005A16FC" w:rsidRPr="00A1115A" w:rsidRDefault="005A16FC" w:rsidP="007C5F05">
            <w:pPr>
              <w:pStyle w:val="TAC"/>
            </w:pPr>
            <w:r w:rsidRPr="00A1115A">
              <w:t>F</w:t>
            </w:r>
            <w:r w:rsidRPr="00A1115A">
              <w:rPr>
                <w:vertAlign w:val="subscript"/>
              </w:rPr>
              <w:t>Ioffset, case 1</w:t>
            </w:r>
          </w:p>
          <w:p w14:paraId="25D9BF01" w14:textId="77777777" w:rsidR="005A16FC" w:rsidRPr="00A1115A" w:rsidRDefault="005A16FC" w:rsidP="007C5F05">
            <w:pPr>
              <w:pStyle w:val="TAC"/>
            </w:pPr>
            <w:r w:rsidRPr="00A1115A">
              <w:t>and</w:t>
            </w:r>
          </w:p>
          <w:p w14:paraId="2D815C4F" w14:textId="77777777" w:rsidR="005A16FC" w:rsidRPr="00A1115A" w:rsidRDefault="005A16FC" w:rsidP="007C5F05">
            <w:pPr>
              <w:pStyle w:val="TAC"/>
            </w:pPr>
            <w:r w:rsidRPr="00A1115A">
              <w:t>BW</w:t>
            </w:r>
            <w:r w:rsidRPr="00A1115A">
              <w:rPr>
                <w:vertAlign w:val="subscript"/>
              </w:rPr>
              <w:t>Channel</w:t>
            </w:r>
            <w:r w:rsidRPr="00A1115A">
              <w:t xml:space="preserve">/2 + </w:t>
            </w:r>
          </w:p>
          <w:p w14:paraId="56BF1F76" w14:textId="77777777" w:rsidR="005A16FC" w:rsidRPr="00A1115A" w:rsidRDefault="005A16FC" w:rsidP="007C5F05">
            <w:pPr>
              <w:pStyle w:val="TAC"/>
            </w:pPr>
            <w:r w:rsidRPr="00A1115A">
              <w:t>F</w:t>
            </w:r>
            <w:r w:rsidRPr="00A1115A">
              <w:rPr>
                <w:vertAlign w:val="subscript"/>
              </w:rPr>
              <w:t>Ioffset, case 1</w:t>
            </w:r>
          </w:p>
        </w:tc>
        <w:tc>
          <w:tcPr>
            <w:tcW w:w="1625" w:type="dxa"/>
          </w:tcPr>
          <w:p w14:paraId="7D26C6C2" w14:textId="77777777" w:rsidR="005A16FC" w:rsidRPr="00A1115A" w:rsidRDefault="005A16FC" w:rsidP="007C5F05">
            <w:pPr>
              <w:pStyle w:val="TAC"/>
            </w:pPr>
            <w:r w:rsidRPr="00A1115A">
              <w:t>≤ -BW</w:t>
            </w:r>
            <w:r w:rsidRPr="00A1115A">
              <w:rPr>
                <w:vertAlign w:val="subscript"/>
              </w:rPr>
              <w:t>Channel</w:t>
            </w:r>
            <w:r w:rsidRPr="00A1115A">
              <w:t xml:space="preserve">/2 – </w:t>
            </w:r>
          </w:p>
          <w:p w14:paraId="53A3F8F6" w14:textId="77777777" w:rsidR="005A16FC" w:rsidRPr="00A1115A" w:rsidRDefault="005A16FC" w:rsidP="007C5F05">
            <w:pPr>
              <w:pStyle w:val="TAC"/>
            </w:pPr>
            <w:r w:rsidRPr="00A1115A">
              <w:t>F</w:t>
            </w:r>
            <w:r w:rsidRPr="00A1115A">
              <w:rPr>
                <w:vertAlign w:val="subscript"/>
              </w:rPr>
              <w:t>Ioffset, case 2</w:t>
            </w:r>
          </w:p>
          <w:p w14:paraId="5492D234" w14:textId="77777777" w:rsidR="005A16FC" w:rsidRPr="00A1115A" w:rsidRDefault="005A16FC" w:rsidP="007C5F05">
            <w:pPr>
              <w:pStyle w:val="TAC"/>
            </w:pPr>
            <w:r w:rsidRPr="00A1115A">
              <w:t>and</w:t>
            </w:r>
          </w:p>
          <w:p w14:paraId="1F96F0C1" w14:textId="77777777" w:rsidR="005A16FC" w:rsidRPr="00A1115A" w:rsidRDefault="005A16FC" w:rsidP="007C5F05">
            <w:pPr>
              <w:pStyle w:val="TAC"/>
            </w:pPr>
            <w:r w:rsidRPr="00A1115A">
              <w:t>≥ BW</w:t>
            </w:r>
            <w:r w:rsidRPr="00A1115A">
              <w:rPr>
                <w:vertAlign w:val="subscript"/>
              </w:rPr>
              <w:t>Channel</w:t>
            </w:r>
            <w:r w:rsidRPr="00A1115A">
              <w:t xml:space="preserve">/2 + </w:t>
            </w:r>
          </w:p>
          <w:p w14:paraId="7C9EEA1C" w14:textId="77777777" w:rsidR="005A16FC" w:rsidRPr="00A1115A" w:rsidRDefault="005A16FC" w:rsidP="007C5F05">
            <w:pPr>
              <w:pStyle w:val="TAC"/>
            </w:pPr>
            <w:r w:rsidRPr="00A1115A">
              <w:t>F</w:t>
            </w:r>
            <w:r w:rsidRPr="00A1115A">
              <w:rPr>
                <w:vertAlign w:val="subscript"/>
              </w:rPr>
              <w:t>Ioffset, case 2</w:t>
            </w:r>
          </w:p>
        </w:tc>
        <w:tc>
          <w:tcPr>
            <w:tcW w:w="1625" w:type="dxa"/>
          </w:tcPr>
          <w:p w14:paraId="778837BE" w14:textId="77777777" w:rsidR="005A16FC" w:rsidRPr="00A1115A" w:rsidRDefault="005A16FC" w:rsidP="007C5F05">
            <w:pPr>
              <w:pStyle w:val="TAC"/>
            </w:pPr>
          </w:p>
        </w:tc>
        <w:tc>
          <w:tcPr>
            <w:tcW w:w="1625" w:type="dxa"/>
          </w:tcPr>
          <w:p w14:paraId="3FCF72BA" w14:textId="77777777" w:rsidR="005A16FC" w:rsidRPr="00A1115A" w:rsidRDefault="005A16FC" w:rsidP="007C5F05">
            <w:pPr>
              <w:pStyle w:val="TAC"/>
            </w:pPr>
            <w:r w:rsidRPr="00A1115A">
              <w:t>-BW</w:t>
            </w:r>
            <w:r w:rsidRPr="00A1115A">
              <w:rPr>
                <w:vertAlign w:val="subscript"/>
              </w:rPr>
              <w:t>Channel</w:t>
            </w:r>
            <w:r w:rsidRPr="00A1115A">
              <w:t>/2-11</w:t>
            </w:r>
          </w:p>
        </w:tc>
      </w:tr>
      <w:tr w:rsidR="005A16FC" w:rsidRPr="00A1115A" w14:paraId="070A39E5" w14:textId="77777777" w:rsidTr="007C5F05">
        <w:trPr>
          <w:jc w:val="center"/>
        </w:trPr>
        <w:tc>
          <w:tcPr>
            <w:tcW w:w="1106" w:type="dxa"/>
          </w:tcPr>
          <w:p w14:paraId="79D8DF0D" w14:textId="77777777" w:rsidR="005A16FC" w:rsidRPr="00A1115A" w:rsidRDefault="005A16FC" w:rsidP="007C5F05">
            <w:pPr>
              <w:pStyle w:val="TAL"/>
            </w:pPr>
            <w:r w:rsidRPr="00A1115A">
              <w:t>n71</w:t>
            </w:r>
          </w:p>
        </w:tc>
        <w:tc>
          <w:tcPr>
            <w:tcW w:w="1487" w:type="dxa"/>
            <w:shd w:val="clear" w:color="auto" w:fill="auto"/>
          </w:tcPr>
          <w:p w14:paraId="0FF1E25F" w14:textId="77777777" w:rsidR="005A16FC" w:rsidRPr="00A1115A" w:rsidRDefault="005A16FC" w:rsidP="007C5F05">
            <w:pPr>
              <w:pStyle w:val="TAL"/>
              <w:rPr>
                <w:lang w:val="sv-SE"/>
              </w:rPr>
            </w:pPr>
            <w:r w:rsidRPr="00A1115A">
              <w:rPr>
                <w:lang w:val="sv-SE"/>
              </w:rPr>
              <w:t>F</w:t>
            </w:r>
            <w:r w:rsidRPr="00A1115A">
              <w:rPr>
                <w:vertAlign w:val="subscript"/>
                <w:lang w:val="sv-SE"/>
              </w:rPr>
              <w:t>interferer</w:t>
            </w:r>
          </w:p>
        </w:tc>
        <w:tc>
          <w:tcPr>
            <w:tcW w:w="799" w:type="dxa"/>
          </w:tcPr>
          <w:p w14:paraId="4D8618AC" w14:textId="77777777" w:rsidR="005A16FC" w:rsidRPr="00A1115A" w:rsidRDefault="005A16FC" w:rsidP="007C5F05">
            <w:pPr>
              <w:pStyle w:val="TAC"/>
              <w:rPr>
                <w:lang w:val="sv-SE"/>
              </w:rPr>
            </w:pPr>
            <w:r w:rsidRPr="00A1115A">
              <w:rPr>
                <w:lang w:val="sv-SE"/>
              </w:rPr>
              <w:t>MHz</w:t>
            </w:r>
          </w:p>
        </w:tc>
        <w:tc>
          <w:tcPr>
            <w:tcW w:w="1625" w:type="dxa"/>
          </w:tcPr>
          <w:p w14:paraId="2C6D673C" w14:textId="77777777" w:rsidR="005A16FC" w:rsidRPr="00A1115A" w:rsidRDefault="005A16FC" w:rsidP="007C5F05">
            <w:pPr>
              <w:pStyle w:val="TAC"/>
            </w:pPr>
            <w:r w:rsidRPr="00A1115A">
              <w:t>NOTE 2</w:t>
            </w:r>
          </w:p>
        </w:tc>
        <w:tc>
          <w:tcPr>
            <w:tcW w:w="1625" w:type="dxa"/>
          </w:tcPr>
          <w:p w14:paraId="7C1E4016" w14:textId="77777777" w:rsidR="005A16FC" w:rsidRPr="00A1115A" w:rsidRDefault="005A16FC" w:rsidP="007C5F05">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14:paraId="2F8D7D49" w14:textId="77777777" w:rsidR="005A16FC" w:rsidRPr="00A1115A" w:rsidRDefault="005A16FC" w:rsidP="007C5F05">
            <w:pPr>
              <w:pStyle w:val="TAC"/>
            </w:pPr>
            <w:r w:rsidRPr="00A1115A">
              <w:t>F</w:t>
            </w:r>
            <w:r w:rsidRPr="00A1115A">
              <w:rPr>
                <w:vertAlign w:val="subscript"/>
              </w:rPr>
              <w:t>DL_low</w:t>
            </w:r>
            <w:r w:rsidRPr="00A1115A">
              <w:t xml:space="preserve"> – 12</w:t>
            </w:r>
          </w:p>
        </w:tc>
        <w:tc>
          <w:tcPr>
            <w:tcW w:w="1625" w:type="dxa"/>
          </w:tcPr>
          <w:p w14:paraId="620C2592" w14:textId="77777777" w:rsidR="005A16FC" w:rsidRPr="00A1115A" w:rsidRDefault="005A16FC" w:rsidP="007C5F05">
            <w:pPr>
              <w:pStyle w:val="TAC"/>
            </w:pPr>
          </w:p>
        </w:tc>
      </w:tr>
      <w:tr w:rsidR="005A16FC" w:rsidRPr="00A1115A" w14:paraId="5366FA64" w14:textId="77777777" w:rsidTr="007C5F05">
        <w:trPr>
          <w:jc w:val="center"/>
        </w:trPr>
        <w:tc>
          <w:tcPr>
            <w:tcW w:w="9892" w:type="dxa"/>
            <w:gridSpan w:val="7"/>
          </w:tcPr>
          <w:p w14:paraId="2E5BB03A" w14:textId="77777777" w:rsidR="005A16FC" w:rsidRPr="00A1115A" w:rsidRDefault="005A16FC" w:rsidP="007C5F05">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w14:anchorId="27D04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1.7pt" o:ole="">
                  <v:imagedata r:id="rId11" o:title=""/>
                </v:shape>
                <o:OLEObject Type="Embed" ProgID="Equation.3" ShapeID="_x0000_i1025" DrawAspect="Content" ObjectID="_1721642417" r:id="rId12"/>
              </w:object>
            </w:r>
            <w:r w:rsidRPr="00A1115A">
              <w:t>MHz with SCS the sub-carrier spacing of the wanted signal in MHz. The interferer is an NR signal with 15 kHz SCS.</w:t>
            </w:r>
          </w:p>
          <w:p w14:paraId="0E847717" w14:textId="77777777" w:rsidR="005A16FC" w:rsidRPr="00A1115A" w:rsidRDefault="005A16FC" w:rsidP="007C5F05">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14:paraId="0AD974EA" w14:textId="77777777" w:rsidR="005A16FC" w:rsidRPr="00A1115A" w:rsidRDefault="005A16FC" w:rsidP="007C5F05">
            <w:pPr>
              <w:pStyle w:val="TAN"/>
            </w:pPr>
            <w:r w:rsidRPr="00A1115A">
              <w:t>NOTE 3:</w:t>
            </w:r>
            <w:r w:rsidRPr="00A1115A">
              <w:tab/>
              <w:t>n48 follows the requirement in this frequency range according to the general requirement defined in Clause 7.1.</w:t>
            </w:r>
          </w:p>
        </w:tc>
      </w:tr>
    </w:tbl>
    <w:p w14:paraId="30A0AFD0" w14:textId="77777777" w:rsidR="005A16FC" w:rsidRPr="00A1115A" w:rsidRDefault="005A16FC" w:rsidP="005A16FC"/>
    <w:bookmarkEnd w:id="1"/>
    <w:p w14:paraId="3AB2C267" w14:textId="19E2BC8A" w:rsidR="0032408E" w:rsidRPr="00B74D9B" w:rsidRDefault="00DB062F" w:rsidP="0039426F">
      <w:r>
        <w:t>The blocker is</w:t>
      </w:r>
      <w:r w:rsidR="00674D7F">
        <w:t xml:space="preserve"> a 5 MHz </w:t>
      </w:r>
      <w:r w:rsidR="00B74D9B">
        <w:t xml:space="preserve">modulated </w:t>
      </w:r>
      <w:r w:rsidR="00674D7F">
        <w:t>signal</w:t>
      </w:r>
      <w:r>
        <w:t xml:space="preserve"> </w:t>
      </w:r>
      <w:r w:rsidR="00C57239">
        <w:t>centered at F</w:t>
      </w:r>
      <w:r w:rsidR="00C57239" w:rsidRPr="006C4D72">
        <w:rPr>
          <w:vertAlign w:val="subscript"/>
        </w:rPr>
        <w:t>DL_low</w:t>
      </w:r>
      <w:r w:rsidR="006C4D72">
        <w:rPr>
          <w:vertAlign w:val="subscript"/>
        </w:rPr>
        <w:t xml:space="preserve"> </w:t>
      </w:r>
      <w:r w:rsidR="00C57239" w:rsidRPr="006C4D72">
        <w:rPr>
          <w:vertAlign w:val="subscript"/>
        </w:rPr>
        <w:t xml:space="preserve"> </w:t>
      </w:r>
      <w:r w:rsidR="00C57239">
        <w:t xml:space="preserve">– 12 </w:t>
      </w:r>
      <w:r w:rsidR="006C4D72">
        <w:t xml:space="preserve">MHz </w:t>
      </w:r>
      <w:r w:rsidR="00C57239">
        <w:t xml:space="preserve">which is </w:t>
      </w:r>
      <w:r w:rsidR="006C4D72">
        <w:t xml:space="preserve">605 </w:t>
      </w:r>
      <w:r w:rsidR="00674D7F">
        <w:t>MHz corresponding to CH36</w:t>
      </w:r>
      <w:r w:rsidR="004D4E8A">
        <w:t>.  The power level of the blocker is specified as -15 dBm.</w:t>
      </w:r>
      <w:r w:rsidR="00152947">
        <w:t xml:space="preserve">  It is possible to extend this blocker requirement to Band nXYZ.  The blocker is still centered at 605 MHz</w:t>
      </w:r>
      <w:r w:rsidR="00642800">
        <w:t xml:space="preserve"> but might be more appropriately specified using absolute frequency rather than relative to F</w:t>
      </w:r>
      <w:r w:rsidR="00642800" w:rsidRPr="00015169">
        <w:rPr>
          <w:vertAlign w:val="subscript"/>
        </w:rPr>
        <w:t>DL_low</w:t>
      </w:r>
      <w:r w:rsidR="00642800">
        <w:t xml:space="preserve"> since the </w:t>
      </w:r>
      <w:r w:rsidR="00015169">
        <w:t xml:space="preserve">DTT channel is fixed.  In fact, the frequency of the blocker for Band n71 should probably also be specified in absolute frequency at 605 MHz.  </w:t>
      </w:r>
      <w:r w:rsidR="00E75260">
        <w:t>The power level of blocker for Band n</w:t>
      </w:r>
      <w:r w:rsidR="0047157A">
        <w:t xml:space="preserve">XYZ needs further consideration.  A blocker level of -15 dBm was derived for Band n71 by assuming a </w:t>
      </w:r>
      <w:r w:rsidR="003C6971">
        <w:t>1 mega</w:t>
      </w:r>
      <w:r w:rsidR="00296B17">
        <w:t>-</w:t>
      </w:r>
      <w:r w:rsidR="003C6971">
        <w:t>watt</w:t>
      </w:r>
      <w:r w:rsidR="00F81663">
        <w:t xml:space="preserve"> </w:t>
      </w:r>
      <w:r w:rsidR="0047157A">
        <w:t>DTT transmitter</w:t>
      </w:r>
      <w:r w:rsidR="008C5476">
        <w:t xml:space="preserve"> and a </w:t>
      </w:r>
      <w:r w:rsidR="00475414">
        <w:t xml:space="preserve">deterministic </w:t>
      </w:r>
      <w:r w:rsidR="008C5476">
        <w:t xml:space="preserve">propagation loss profile </w:t>
      </w:r>
      <w:r w:rsidR="00475414">
        <w:t>based on drive test</w:t>
      </w:r>
      <w:r w:rsidR="002475F7">
        <w:t xml:space="preserve"> measurements</w:t>
      </w:r>
      <w:r w:rsidR="005E63E5">
        <w:t xml:space="preserve"> conducted in other frequency bands</w:t>
      </w:r>
      <w:r w:rsidR="00046794">
        <w:t xml:space="preserve"> [</w:t>
      </w:r>
      <w:r w:rsidR="00750244">
        <w:t>4</w:t>
      </w:r>
      <w:r w:rsidR="00046794">
        <w:t>]</w:t>
      </w:r>
      <w:r w:rsidR="008C5476">
        <w:t xml:space="preserve"> from DTT </w:t>
      </w:r>
      <w:r w:rsidR="004F755F">
        <w:t xml:space="preserve">broadcast </w:t>
      </w:r>
      <w:r w:rsidR="008C5476">
        <w:t xml:space="preserve">tower to UE </w:t>
      </w:r>
      <w:r w:rsidR="004F755F">
        <w:t xml:space="preserve">receive </w:t>
      </w:r>
      <w:r w:rsidR="008C5476">
        <w:t>antenna</w:t>
      </w:r>
      <w:r w:rsidR="00AD4DB0">
        <w:t xml:space="preserve"> before applying UE antenna gain</w:t>
      </w:r>
      <w:r w:rsidR="008C5476">
        <w:t>.</w:t>
      </w:r>
      <w:r w:rsidR="001033A3">
        <w:t xml:space="preserve">  On the other hand, a statistical system simulation was conducted and reported in [3]</w:t>
      </w:r>
      <w:r w:rsidR="00FF1263">
        <w:t xml:space="preserve"> for the APT region assuming a 200 kW DTT transmitter</w:t>
      </w:r>
      <w:r w:rsidR="00D32B40">
        <w:t xml:space="preserve"> with 4 MHz guard band and a statistical propagation loss profile.  The conclusion from the AWG study was </w:t>
      </w:r>
      <w:r w:rsidR="00022BE1">
        <w:t xml:space="preserve">a cumulative density of </w:t>
      </w:r>
      <w:r w:rsidR="00C71B22">
        <w:t>97% for interference power level at -44 dBm</w:t>
      </w:r>
      <w:r w:rsidR="00296B17">
        <w:t xml:space="preserve">, where the -44 dBm </w:t>
      </w:r>
      <w:r w:rsidR="00B05817">
        <w:t xml:space="preserve">value </w:t>
      </w:r>
      <w:r w:rsidR="00296B17">
        <w:t xml:space="preserve">was obtained from the general case 2 </w:t>
      </w:r>
      <w:r w:rsidR="00B05817">
        <w:t xml:space="preserve">in-band </w:t>
      </w:r>
      <w:r w:rsidR="00296B17">
        <w:t>blocking requirement for the UE</w:t>
      </w:r>
      <w:r w:rsidR="00C71B22">
        <w:t>.  The study includes an assumed 20 dB UE filter rejection</w:t>
      </w:r>
      <w:r w:rsidR="00D06567">
        <w:t xml:space="preserve"> and a UE antenna gain of -3 dBi</w:t>
      </w:r>
      <w:r w:rsidR="000E2F43">
        <w:t xml:space="preserve"> so it can be concluded that the received power at the UE antenna input could be approximately </w:t>
      </w:r>
      <w:r w:rsidR="004D3EFF">
        <w:t xml:space="preserve">-44 + 20 + 3 = </w:t>
      </w:r>
      <w:r w:rsidR="000E2F43">
        <w:t>-2</w:t>
      </w:r>
      <w:r w:rsidR="00FD274A">
        <w:t>1</w:t>
      </w:r>
      <w:r w:rsidR="000E2F43">
        <w:t xml:space="preserve"> dBm.  </w:t>
      </w:r>
      <w:r w:rsidR="0082667D">
        <w:t xml:space="preserve">This is extremely well aligned with </w:t>
      </w:r>
      <w:r w:rsidR="00C17561">
        <w:t xml:space="preserve">the </w:t>
      </w:r>
      <w:r w:rsidR="00F40EB4">
        <w:t xml:space="preserve">-15 dBm assumption used by the FCC for </w:t>
      </w:r>
      <w:r w:rsidR="00C17561">
        <w:t xml:space="preserve">Band n71 blocking value when scaled by </w:t>
      </w:r>
      <w:r w:rsidR="00C839E1">
        <w:t xml:space="preserve">from 1 MW to 200 kW DTT transmission power leading to a UE interference power of -22 dBm without taking into </w:t>
      </w:r>
      <w:r w:rsidR="006B2E7F">
        <w:t>antenna gain.</w:t>
      </w:r>
      <w:r w:rsidR="00CB19AB">
        <w:t xml:space="preserve">  </w:t>
      </w:r>
      <w:r w:rsidR="0032408E" w:rsidRPr="00B74D9B">
        <w:t>By the above reasoning, a -22 dBm interfering signal power at CH36 is appropriate for Band nXYZ.</w:t>
      </w:r>
    </w:p>
    <w:p w14:paraId="0059603C" w14:textId="0979131C" w:rsidR="002E4682" w:rsidRPr="00B74D9B" w:rsidRDefault="002E4682" w:rsidP="0039426F">
      <w:r>
        <w:t xml:space="preserve">However, </w:t>
      </w:r>
      <w:r w:rsidR="0040149D">
        <w:t xml:space="preserve">one </w:t>
      </w:r>
      <w:r w:rsidR="00B74D9B">
        <w:t>further</w:t>
      </w:r>
      <w:r w:rsidR="0040149D">
        <w:t xml:space="preserve"> aspect must be considered.  The -22 dBm blocker </w:t>
      </w:r>
      <w:r w:rsidR="00732CE8">
        <w:t xml:space="preserve">described above </w:t>
      </w:r>
      <w:r w:rsidR="00FB23AC">
        <w:t>accurately</w:t>
      </w:r>
      <w:r w:rsidR="00732CE8">
        <w:t xml:space="preserve"> reflects the expected received power at the UE’s antenna</w:t>
      </w:r>
      <w:r w:rsidR="001A091D">
        <w:t xml:space="preserve"> due to </w:t>
      </w:r>
      <w:r w:rsidR="00A7464B">
        <w:t xml:space="preserve">200 kW </w:t>
      </w:r>
      <w:r w:rsidR="001A091D">
        <w:t>CH36 broadcast</w:t>
      </w:r>
      <w:r w:rsidR="00FB23AC">
        <w:t xml:space="preserve"> in APT countries</w:t>
      </w:r>
      <w:r w:rsidR="00D43A40">
        <w:t xml:space="preserve">.  Moreover, </w:t>
      </w:r>
      <w:r w:rsidR="00686A2D">
        <w:t>the value is expected to be</w:t>
      </w:r>
      <w:r w:rsidR="00FD40FA">
        <w:t xml:space="preserve"> manageable by the UE when at least 20 dB rejection is available from the </w:t>
      </w:r>
      <w:r w:rsidR="00062456">
        <w:t xml:space="preserve">duplexer as </w:t>
      </w:r>
      <w:r w:rsidR="0013713C">
        <w:t xml:space="preserve">conservatively </w:t>
      </w:r>
      <w:r w:rsidR="00062456">
        <w:t xml:space="preserve">assumed in [3].  In fact, </w:t>
      </w:r>
      <w:r w:rsidR="000C4609">
        <w:t xml:space="preserve">two </w:t>
      </w:r>
      <w:r w:rsidR="00750244">
        <w:t xml:space="preserve">of the </w:t>
      </w:r>
      <w:r w:rsidR="000C4609">
        <w:t xml:space="preserve">Band nXYZ </w:t>
      </w:r>
      <w:r w:rsidR="00922EA0">
        <w:t>filter</w:t>
      </w:r>
      <w:r w:rsidR="000C4609">
        <w:t xml:space="preserve"> designs reported in [</w:t>
      </w:r>
      <w:r w:rsidR="00864808">
        <w:t>1</w:t>
      </w:r>
      <w:r w:rsidR="000C4609">
        <w:t>]</w:t>
      </w:r>
      <w:r w:rsidR="00BA38B6">
        <w:t xml:space="preserve"> indicate </w:t>
      </w:r>
      <w:r w:rsidR="00B74D9B">
        <w:t xml:space="preserve">10 dB higher </w:t>
      </w:r>
      <w:r w:rsidR="00BA38B6">
        <w:t>rejection of approximately 30 dB when integrated over the CH36 frequency range from 602 – 608 MHz.</w:t>
      </w:r>
      <w:r w:rsidR="000F5EE1">
        <w:t xml:space="preserve">  However, this was studied under the context of a case 2 in-band blocker which is nominally specified at -44 dBm.  The case 2 in-band blocker </w:t>
      </w:r>
      <w:r w:rsidR="009A088F">
        <w:t>is specified as a 5 MHz modulated signal located with a</w:t>
      </w:r>
      <w:r w:rsidR="003E2EF9">
        <w:t xml:space="preserve"> center frequency </w:t>
      </w:r>
      <w:r w:rsidR="009A088F">
        <w:t>offset</w:t>
      </w:r>
      <w:r w:rsidR="004340AD">
        <w:t xml:space="preserve"> of 12.5 MHz </w:t>
      </w:r>
      <w:r w:rsidR="007619D0">
        <w:t>(</w:t>
      </w:r>
      <w:r w:rsidR="00423518" w:rsidRPr="00A1115A">
        <w:t>F</w:t>
      </w:r>
      <w:r w:rsidR="00423518" w:rsidRPr="00A1115A">
        <w:rPr>
          <w:vertAlign w:val="subscript"/>
        </w:rPr>
        <w:t>Ioffset, case 2</w:t>
      </w:r>
      <w:r w:rsidR="00C170B9">
        <w:t>) f</w:t>
      </w:r>
      <w:r w:rsidR="004340AD">
        <w:t xml:space="preserve">rom </w:t>
      </w:r>
      <w:r w:rsidR="004340AD" w:rsidRPr="00C170B9">
        <w:t xml:space="preserve">the </w:t>
      </w:r>
      <w:r w:rsidR="00C170B9" w:rsidRPr="00C170B9">
        <w:t xml:space="preserve">channel </w:t>
      </w:r>
      <w:r w:rsidR="004340AD" w:rsidRPr="00C170B9">
        <w:t>edge</w:t>
      </w:r>
      <w:r w:rsidR="00FA2F09">
        <w:t xml:space="preserve">.  </w:t>
      </w:r>
      <w:r w:rsidR="00C170B9">
        <w:t xml:space="preserve">However, </w:t>
      </w:r>
      <w:r w:rsidR="00870EF3">
        <w:t>since the guard band for Band nXYZ has been truncated by 5 MHz, the CH36 interfering signal falls inside of this case 2 frequency offset</w:t>
      </w:r>
      <w:r w:rsidR="00B74D9B">
        <w:t xml:space="preserve"> for the channel located at the edge of the band</w:t>
      </w:r>
      <w:r w:rsidR="00870EF3">
        <w:t xml:space="preserve">.  In fact, it falls </w:t>
      </w:r>
      <w:r w:rsidR="003034CF">
        <w:t xml:space="preserve">approximately into the case 1 frequency offset.  The case 1 in-band blocker is specified at -56 dBm, rather than the -44 dBm for case 2.  The more relaxed value </w:t>
      </w:r>
      <w:r w:rsidR="00B74D9B">
        <w:t xml:space="preserve">of -56 dBm compared to -44 dBm </w:t>
      </w:r>
      <w:r w:rsidR="003034CF">
        <w:t>reflects the baseband filtering in the UE</w:t>
      </w:r>
      <w:r w:rsidR="0000702C">
        <w:t xml:space="preserve"> at small offset.  </w:t>
      </w:r>
      <w:r w:rsidR="00711447" w:rsidRPr="00B74D9B">
        <w:t>When taking this into consideration, the in-band blocker should be relaxed from -22 dBm to -34 dBm</w:t>
      </w:r>
      <w:r w:rsidR="004B2D15" w:rsidRPr="00B74D9B">
        <w:t xml:space="preserve"> (relaxed by the difference between -44 dBm and -56 dBm) for channels at the lower edge of the band</w:t>
      </w:r>
      <w:r w:rsidR="00317F17" w:rsidRPr="00B74D9B">
        <w:t xml:space="preserve"> where CH36 falls inside the case 1 frequency offset range.</w:t>
      </w:r>
      <w:r w:rsidR="00B74D9B" w:rsidRPr="00B74D9B">
        <w:t xml:space="preserve">  For channels further removed from the lower edge of the band within case 2 frequency offsets, the -22 dBm blocking requirement applies.</w:t>
      </w:r>
    </w:p>
    <w:p w14:paraId="5C188E2A" w14:textId="19066BD1" w:rsidR="005648E6" w:rsidRDefault="005648E6" w:rsidP="0039426F">
      <w:r>
        <w:t>The final result for in-band blocking is then as follows</w:t>
      </w:r>
    </w:p>
    <w:p w14:paraId="33C7B09F" w14:textId="77777777" w:rsidR="005648E6" w:rsidRPr="00A1115A" w:rsidRDefault="005648E6" w:rsidP="005648E6">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5648E6" w:rsidRPr="00A1115A" w14:paraId="3D8F47F8" w14:textId="77777777" w:rsidTr="007C5F05">
        <w:trPr>
          <w:jc w:val="center"/>
        </w:trPr>
        <w:tc>
          <w:tcPr>
            <w:tcW w:w="1106" w:type="dxa"/>
            <w:tcBorders>
              <w:bottom w:val="nil"/>
            </w:tcBorders>
            <w:shd w:val="clear" w:color="auto" w:fill="auto"/>
          </w:tcPr>
          <w:p w14:paraId="0ECF9E81" w14:textId="77777777" w:rsidR="005648E6" w:rsidRPr="00A1115A" w:rsidRDefault="005648E6" w:rsidP="007C5F05">
            <w:pPr>
              <w:pStyle w:val="TAH"/>
            </w:pPr>
            <w:r w:rsidRPr="00A1115A">
              <w:t>NR band</w:t>
            </w:r>
          </w:p>
        </w:tc>
        <w:tc>
          <w:tcPr>
            <w:tcW w:w="1487" w:type="dxa"/>
            <w:shd w:val="clear" w:color="auto" w:fill="auto"/>
          </w:tcPr>
          <w:p w14:paraId="4E006D11" w14:textId="77777777" w:rsidR="005648E6" w:rsidRPr="00A1115A" w:rsidRDefault="005648E6" w:rsidP="007C5F05">
            <w:pPr>
              <w:pStyle w:val="TAH"/>
            </w:pPr>
            <w:r w:rsidRPr="00A1115A">
              <w:t>Parameter</w:t>
            </w:r>
          </w:p>
        </w:tc>
        <w:tc>
          <w:tcPr>
            <w:tcW w:w="799" w:type="dxa"/>
          </w:tcPr>
          <w:p w14:paraId="0164F37B" w14:textId="77777777" w:rsidR="005648E6" w:rsidRPr="00A1115A" w:rsidRDefault="005648E6" w:rsidP="007C5F05">
            <w:pPr>
              <w:pStyle w:val="TAH"/>
            </w:pPr>
            <w:r w:rsidRPr="00A1115A">
              <w:t>Unit</w:t>
            </w:r>
          </w:p>
        </w:tc>
        <w:tc>
          <w:tcPr>
            <w:tcW w:w="1625" w:type="dxa"/>
          </w:tcPr>
          <w:p w14:paraId="18DD620B" w14:textId="77777777" w:rsidR="005648E6" w:rsidRPr="00A1115A" w:rsidRDefault="005648E6" w:rsidP="007C5F05">
            <w:pPr>
              <w:pStyle w:val="TAH"/>
            </w:pPr>
            <w:r w:rsidRPr="00A1115A">
              <w:t>Case 1</w:t>
            </w:r>
          </w:p>
        </w:tc>
        <w:tc>
          <w:tcPr>
            <w:tcW w:w="1625" w:type="dxa"/>
          </w:tcPr>
          <w:p w14:paraId="000707DC" w14:textId="77777777" w:rsidR="005648E6" w:rsidRPr="00A1115A" w:rsidRDefault="005648E6" w:rsidP="007C5F05">
            <w:pPr>
              <w:pStyle w:val="TAH"/>
            </w:pPr>
            <w:r w:rsidRPr="00A1115A">
              <w:t>Case 2</w:t>
            </w:r>
          </w:p>
        </w:tc>
        <w:tc>
          <w:tcPr>
            <w:tcW w:w="1625" w:type="dxa"/>
          </w:tcPr>
          <w:p w14:paraId="28C522F5" w14:textId="77777777" w:rsidR="005648E6" w:rsidRPr="00A1115A" w:rsidRDefault="005648E6" w:rsidP="007C5F05">
            <w:pPr>
              <w:pStyle w:val="TAH"/>
            </w:pPr>
            <w:r w:rsidRPr="00A1115A">
              <w:t>Case 3</w:t>
            </w:r>
          </w:p>
        </w:tc>
        <w:tc>
          <w:tcPr>
            <w:tcW w:w="1625" w:type="dxa"/>
          </w:tcPr>
          <w:p w14:paraId="2DDACA4A" w14:textId="77777777" w:rsidR="005648E6" w:rsidRPr="00A1115A" w:rsidRDefault="005648E6" w:rsidP="007C5F05">
            <w:pPr>
              <w:pStyle w:val="TAH"/>
            </w:pPr>
            <w:r w:rsidRPr="00A1115A">
              <w:t>Case 4</w:t>
            </w:r>
          </w:p>
        </w:tc>
      </w:tr>
      <w:tr w:rsidR="005648E6" w:rsidRPr="00A1115A" w14:paraId="58662A2D" w14:textId="77777777" w:rsidTr="007C5F05">
        <w:trPr>
          <w:jc w:val="center"/>
        </w:trPr>
        <w:tc>
          <w:tcPr>
            <w:tcW w:w="1106" w:type="dxa"/>
            <w:tcBorders>
              <w:top w:val="nil"/>
              <w:bottom w:val="nil"/>
            </w:tcBorders>
            <w:shd w:val="clear" w:color="auto" w:fill="auto"/>
          </w:tcPr>
          <w:p w14:paraId="3CC8D770" w14:textId="77777777" w:rsidR="005648E6" w:rsidRPr="00A1115A" w:rsidRDefault="005648E6" w:rsidP="007C5F05">
            <w:pPr>
              <w:pStyle w:val="TAC"/>
              <w:jc w:val="left"/>
              <w:rPr>
                <w:lang w:val="sv-SE"/>
              </w:rPr>
            </w:pPr>
          </w:p>
        </w:tc>
        <w:tc>
          <w:tcPr>
            <w:tcW w:w="1487" w:type="dxa"/>
            <w:shd w:val="clear" w:color="auto" w:fill="auto"/>
          </w:tcPr>
          <w:p w14:paraId="7FFDB9DA" w14:textId="77777777" w:rsidR="005648E6" w:rsidRPr="00A1115A" w:rsidRDefault="005648E6" w:rsidP="007C5F05">
            <w:pPr>
              <w:pStyle w:val="TAL"/>
              <w:rPr>
                <w:lang w:val="sv-SE"/>
              </w:rPr>
            </w:pPr>
            <w:r w:rsidRPr="00A1115A">
              <w:rPr>
                <w:lang w:val="sv-SE"/>
              </w:rPr>
              <w:t>P</w:t>
            </w:r>
            <w:r w:rsidRPr="00A1115A">
              <w:rPr>
                <w:vertAlign w:val="subscript"/>
                <w:lang w:val="sv-SE"/>
              </w:rPr>
              <w:t>interferer</w:t>
            </w:r>
          </w:p>
        </w:tc>
        <w:tc>
          <w:tcPr>
            <w:tcW w:w="799" w:type="dxa"/>
          </w:tcPr>
          <w:p w14:paraId="43CFDC0D" w14:textId="77777777" w:rsidR="005648E6" w:rsidRPr="00A1115A" w:rsidRDefault="005648E6" w:rsidP="007C5F05">
            <w:pPr>
              <w:pStyle w:val="TAC"/>
              <w:rPr>
                <w:lang w:val="sv-SE"/>
              </w:rPr>
            </w:pPr>
            <w:r w:rsidRPr="00A1115A">
              <w:rPr>
                <w:lang w:val="sv-SE"/>
              </w:rPr>
              <w:t>dBm</w:t>
            </w:r>
          </w:p>
        </w:tc>
        <w:tc>
          <w:tcPr>
            <w:tcW w:w="1625" w:type="dxa"/>
            <w:vAlign w:val="center"/>
          </w:tcPr>
          <w:p w14:paraId="1839C24E" w14:textId="77777777" w:rsidR="005648E6" w:rsidRPr="00A1115A" w:rsidRDefault="005648E6" w:rsidP="007C5F05">
            <w:pPr>
              <w:pStyle w:val="TAC"/>
            </w:pPr>
            <w:r w:rsidRPr="00A1115A">
              <w:t>-56</w:t>
            </w:r>
          </w:p>
        </w:tc>
        <w:tc>
          <w:tcPr>
            <w:tcW w:w="1625" w:type="dxa"/>
          </w:tcPr>
          <w:p w14:paraId="7ADFED2B" w14:textId="77777777" w:rsidR="005648E6" w:rsidRPr="00A1115A" w:rsidRDefault="005648E6" w:rsidP="007C5F05">
            <w:pPr>
              <w:pStyle w:val="TAC"/>
            </w:pPr>
            <w:r w:rsidRPr="00A1115A">
              <w:t>-44</w:t>
            </w:r>
          </w:p>
        </w:tc>
        <w:tc>
          <w:tcPr>
            <w:tcW w:w="1625" w:type="dxa"/>
          </w:tcPr>
          <w:p w14:paraId="7B9A8BB8" w14:textId="77777777" w:rsidR="005648E6" w:rsidRPr="00A1115A" w:rsidRDefault="005648E6" w:rsidP="007C5F05">
            <w:pPr>
              <w:pStyle w:val="TAC"/>
            </w:pPr>
            <w:r w:rsidRPr="00A1115A">
              <w:t>-15</w:t>
            </w:r>
          </w:p>
        </w:tc>
        <w:tc>
          <w:tcPr>
            <w:tcW w:w="1625" w:type="dxa"/>
          </w:tcPr>
          <w:p w14:paraId="72EF10D8" w14:textId="77777777" w:rsidR="005648E6" w:rsidRPr="00A1115A" w:rsidRDefault="005648E6" w:rsidP="007C5F05">
            <w:pPr>
              <w:pStyle w:val="TAC"/>
            </w:pPr>
            <w:r w:rsidRPr="00A1115A">
              <w:t>-38</w:t>
            </w:r>
          </w:p>
        </w:tc>
      </w:tr>
      <w:tr w:rsidR="005648E6" w:rsidRPr="00A1115A" w14:paraId="3B43D7A6" w14:textId="77777777" w:rsidTr="007C5F05">
        <w:trPr>
          <w:jc w:val="center"/>
        </w:trPr>
        <w:tc>
          <w:tcPr>
            <w:tcW w:w="1106" w:type="dxa"/>
            <w:tcBorders>
              <w:top w:val="nil"/>
            </w:tcBorders>
            <w:shd w:val="clear" w:color="auto" w:fill="auto"/>
          </w:tcPr>
          <w:p w14:paraId="626CD5FD" w14:textId="77777777" w:rsidR="005648E6" w:rsidRPr="00A1115A" w:rsidRDefault="005648E6" w:rsidP="007C5F05">
            <w:pPr>
              <w:pStyle w:val="TAC"/>
              <w:jc w:val="left"/>
              <w:rPr>
                <w:lang w:val="sv-SE"/>
              </w:rPr>
            </w:pPr>
          </w:p>
        </w:tc>
        <w:tc>
          <w:tcPr>
            <w:tcW w:w="1487" w:type="dxa"/>
            <w:shd w:val="clear" w:color="auto" w:fill="auto"/>
          </w:tcPr>
          <w:p w14:paraId="045A3C5B" w14:textId="77777777" w:rsidR="005648E6" w:rsidRPr="00A1115A" w:rsidRDefault="005648E6"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14CA22B0" w14:textId="77777777" w:rsidR="005648E6" w:rsidRPr="00A1115A" w:rsidRDefault="005648E6" w:rsidP="007C5F05">
            <w:pPr>
              <w:pStyle w:val="TAC"/>
              <w:rPr>
                <w:lang w:val="sv-SE"/>
              </w:rPr>
            </w:pPr>
            <w:r w:rsidRPr="00A1115A">
              <w:rPr>
                <w:lang w:val="sv-SE"/>
              </w:rPr>
              <w:t>MHz</w:t>
            </w:r>
          </w:p>
        </w:tc>
        <w:tc>
          <w:tcPr>
            <w:tcW w:w="1625" w:type="dxa"/>
            <w:vAlign w:val="center"/>
          </w:tcPr>
          <w:p w14:paraId="29A1732F" w14:textId="77777777" w:rsidR="005648E6" w:rsidRPr="00A1115A" w:rsidRDefault="005648E6" w:rsidP="007C5F05">
            <w:pPr>
              <w:pStyle w:val="TAC"/>
            </w:pPr>
            <w:r w:rsidRPr="00A1115A">
              <w:t>-BW</w:t>
            </w:r>
            <w:r w:rsidRPr="00A1115A">
              <w:rPr>
                <w:vertAlign w:val="subscript"/>
              </w:rPr>
              <w:t>Channel</w:t>
            </w:r>
            <w:r w:rsidRPr="00A1115A">
              <w:t xml:space="preserve">/2 – </w:t>
            </w:r>
          </w:p>
          <w:p w14:paraId="31CCA339" w14:textId="77777777" w:rsidR="005648E6" w:rsidRPr="00A1115A" w:rsidRDefault="005648E6" w:rsidP="007C5F05">
            <w:pPr>
              <w:pStyle w:val="TAC"/>
            </w:pPr>
            <w:r w:rsidRPr="00A1115A">
              <w:t>F</w:t>
            </w:r>
            <w:r w:rsidRPr="00A1115A">
              <w:rPr>
                <w:vertAlign w:val="subscript"/>
              </w:rPr>
              <w:t>Ioffset, case 1</w:t>
            </w:r>
          </w:p>
          <w:p w14:paraId="129E90AF" w14:textId="77777777" w:rsidR="005648E6" w:rsidRPr="00A1115A" w:rsidRDefault="005648E6" w:rsidP="007C5F05">
            <w:pPr>
              <w:pStyle w:val="TAC"/>
            </w:pPr>
            <w:r w:rsidRPr="00A1115A">
              <w:t>and</w:t>
            </w:r>
          </w:p>
          <w:p w14:paraId="68214E48" w14:textId="77777777" w:rsidR="005648E6" w:rsidRPr="00A1115A" w:rsidRDefault="005648E6" w:rsidP="007C5F05">
            <w:pPr>
              <w:pStyle w:val="TAC"/>
            </w:pPr>
            <w:r w:rsidRPr="00A1115A">
              <w:t>BW</w:t>
            </w:r>
            <w:r w:rsidRPr="00A1115A">
              <w:rPr>
                <w:vertAlign w:val="subscript"/>
              </w:rPr>
              <w:t>Channel</w:t>
            </w:r>
            <w:r w:rsidRPr="00A1115A">
              <w:t xml:space="preserve">/2 + </w:t>
            </w:r>
          </w:p>
          <w:p w14:paraId="60C50FA6" w14:textId="77777777" w:rsidR="005648E6" w:rsidRPr="00A1115A" w:rsidRDefault="005648E6" w:rsidP="007C5F05">
            <w:pPr>
              <w:pStyle w:val="TAC"/>
            </w:pPr>
            <w:r w:rsidRPr="00A1115A">
              <w:t>F</w:t>
            </w:r>
            <w:r w:rsidRPr="00A1115A">
              <w:rPr>
                <w:vertAlign w:val="subscript"/>
              </w:rPr>
              <w:t>Ioffset, case 1</w:t>
            </w:r>
          </w:p>
        </w:tc>
        <w:tc>
          <w:tcPr>
            <w:tcW w:w="1625" w:type="dxa"/>
          </w:tcPr>
          <w:p w14:paraId="02F637F0" w14:textId="77777777" w:rsidR="005648E6" w:rsidRPr="00A1115A" w:rsidRDefault="005648E6" w:rsidP="007C5F05">
            <w:pPr>
              <w:pStyle w:val="TAC"/>
            </w:pPr>
            <w:r w:rsidRPr="00A1115A">
              <w:t>≤ -BW</w:t>
            </w:r>
            <w:r w:rsidRPr="00A1115A">
              <w:rPr>
                <w:vertAlign w:val="subscript"/>
              </w:rPr>
              <w:t>Channel</w:t>
            </w:r>
            <w:r w:rsidRPr="00A1115A">
              <w:t xml:space="preserve">/2 – </w:t>
            </w:r>
          </w:p>
          <w:p w14:paraId="3ACCA37E" w14:textId="77777777" w:rsidR="005648E6" w:rsidRPr="00A1115A" w:rsidRDefault="005648E6" w:rsidP="007C5F05">
            <w:pPr>
              <w:pStyle w:val="TAC"/>
            </w:pPr>
            <w:r w:rsidRPr="00A1115A">
              <w:t>F</w:t>
            </w:r>
            <w:r w:rsidRPr="00A1115A">
              <w:rPr>
                <w:vertAlign w:val="subscript"/>
              </w:rPr>
              <w:t>Ioffset, case 2</w:t>
            </w:r>
          </w:p>
          <w:p w14:paraId="57A8E02E" w14:textId="77777777" w:rsidR="005648E6" w:rsidRPr="00A1115A" w:rsidRDefault="005648E6" w:rsidP="007C5F05">
            <w:pPr>
              <w:pStyle w:val="TAC"/>
            </w:pPr>
            <w:r w:rsidRPr="00A1115A">
              <w:t>and</w:t>
            </w:r>
          </w:p>
          <w:p w14:paraId="04AD3987" w14:textId="77777777" w:rsidR="005648E6" w:rsidRPr="00A1115A" w:rsidRDefault="005648E6" w:rsidP="007C5F05">
            <w:pPr>
              <w:pStyle w:val="TAC"/>
            </w:pPr>
            <w:r w:rsidRPr="00A1115A">
              <w:t>≥ BW</w:t>
            </w:r>
            <w:r w:rsidRPr="00A1115A">
              <w:rPr>
                <w:vertAlign w:val="subscript"/>
              </w:rPr>
              <w:t>Channel</w:t>
            </w:r>
            <w:r w:rsidRPr="00A1115A">
              <w:t xml:space="preserve">/2 + </w:t>
            </w:r>
          </w:p>
          <w:p w14:paraId="0484AA57" w14:textId="77777777" w:rsidR="005648E6" w:rsidRPr="00A1115A" w:rsidRDefault="005648E6" w:rsidP="007C5F05">
            <w:pPr>
              <w:pStyle w:val="TAC"/>
            </w:pPr>
            <w:r w:rsidRPr="00A1115A">
              <w:t>F</w:t>
            </w:r>
            <w:r w:rsidRPr="00A1115A">
              <w:rPr>
                <w:vertAlign w:val="subscript"/>
              </w:rPr>
              <w:t>Ioffset, case 2</w:t>
            </w:r>
          </w:p>
        </w:tc>
        <w:tc>
          <w:tcPr>
            <w:tcW w:w="1625" w:type="dxa"/>
          </w:tcPr>
          <w:p w14:paraId="70878B38" w14:textId="77777777" w:rsidR="005648E6" w:rsidRPr="00A1115A" w:rsidRDefault="005648E6" w:rsidP="007C5F05">
            <w:pPr>
              <w:pStyle w:val="TAC"/>
            </w:pPr>
          </w:p>
        </w:tc>
        <w:tc>
          <w:tcPr>
            <w:tcW w:w="1625" w:type="dxa"/>
          </w:tcPr>
          <w:p w14:paraId="1AF4C55A" w14:textId="77777777" w:rsidR="005648E6" w:rsidRPr="00A1115A" w:rsidRDefault="005648E6" w:rsidP="007C5F05">
            <w:pPr>
              <w:pStyle w:val="TAC"/>
            </w:pPr>
            <w:r w:rsidRPr="00A1115A">
              <w:t>-BW</w:t>
            </w:r>
            <w:r w:rsidRPr="00A1115A">
              <w:rPr>
                <w:vertAlign w:val="subscript"/>
              </w:rPr>
              <w:t>Channel</w:t>
            </w:r>
            <w:r w:rsidRPr="00A1115A">
              <w:t>/2-11</w:t>
            </w:r>
          </w:p>
        </w:tc>
      </w:tr>
      <w:tr w:rsidR="005648E6" w:rsidRPr="00A1115A" w14:paraId="65485892" w14:textId="77777777" w:rsidTr="007C5F05">
        <w:trPr>
          <w:jc w:val="center"/>
        </w:trPr>
        <w:tc>
          <w:tcPr>
            <w:tcW w:w="1106" w:type="dxa"/>
          </w:tcPr>
          <w:p w14:paraId="7C305326" w14:textId="77777777" w:rsidR="005648E6" w:rsidRPr="00A1115A" w:rsidRDefault="005648E6" w:rsidP="007C5F05">
            <w:pPr>
              <w:pStyle w:val="TAL"/>
            </w:pPr>
            <w:r>
              <w:t>nXYZ</w:t>
            </w:r>
          </w:p>
        </w:tc>
        <w:tc>
          <w:tcPr>
            <w:tcW w:w="1487" w:type="dxa"/>
            <w:shd w:val="clear" w:color="auto" w:fill="auto"/>
          </w:tcPr>
          <w:p w14:paraId="64F2E0DF" w14:textId="77777777" w:rsidR="005648E6" w:rsidRPr="00A1115A" w:rsidRDefault="005648E6" w:rsidP="007C5F05">
            <w:pPr>
              <w:pStyle w:val="TAL"/>
              <w:rPr>
                <w:lang w:val="sv-SE"/>
              </w:rPr>
            </w:pPr>
            <w:r w:rsidRPr="00A1115A">
              <w:rPr>
                <w:lang w:val="sv-SE"/>
              </w:rPr>
              <w:t>F</w:t>
            </w:r>
            <w:r w:rsidRPr="00A1115A">
              <w:rPr>
                <w:vertAlign w:val="subscript"/>
                <w:lang w:val="sv-SE"/>
              </w:rPr>
              <w:t>interferer</w:t>
            </w:r>
          </w:p>
        </w:tc>
        <w:tc>
          <w:tcPr>
            <w:tcW w:w="799" w:type="dxa"/>
          </w:tcPr>
          <w:p w14:paraId="54A9C5D1" w14:textId="77777777" w:rsidR="005648E6" w:rsidRPr="00A1115A" w:rsidRDefault="005648E6" w:rsidP="007C5F05">
            <w:pPr>
              <w:pStyle w:val="TAC"/>
              <w:rPr>
                <w:lang w:val="sv-SE"/>
              </w:rPr>
            </w:pPr>
            <w:r w:rsidRPr="00A1115A">
              <w:rPr>
                <w:lang w:val="sv-SE"/>
              </w:rPr>
              <w:t>MHz</w:t>
            </w:r>
          </w:p>
        </w:tc>
        <w:tc>
          <w:tcPr>
            <w:tcW w:w="1625" w:type="dxa"/>
          </w:tcPr>
          <w:p w14:paraId="1016D7F8" w14:textId="77777777" w:rsidR="005648E6" w:rsidRPr="00A1115A" w:rsidRDefault="005648E6" w:rsidP="007C5F05">
            <w:pPr>
              <w:pStyle w:val="TAC"/>
            </w:pPr>
            <w:r w:rsidRPr="00A1115A">
              <w:t>NOTE 2</w:t>
            </w:r>
          </w:p>
        </w:tc>
        <w:tc>
          <w:tcPr>
            <w:tcW w:w="1625" w:type="dxa"/>
          </w:tcPr>
          <w:p w14:paraId="5767EDEE" w14:textId="77777777" w:rsidR="005648E6" w:rsidRPr="00A1115A" w:rsidRDefault="005648E6" w:rsidP="007C5F05">
            <w:pPr>
              <w:pStyle w:val="TAC"/>
            </w:pPr>
            <w:r w:rsidRPr="00A1115A">
              <w:t>F</w:t>
            </w:r>
            <w:r w:rsidRPr="00A1115A">
              <w:rPr>
                <w:vertAlign w:val="subscript"/>
              </w:rPr>
              <w:t>DL_low</w:t>
            </w:r>
            <w:r w:rsidRPr="00A1115A">
              <w:t xml:space="preserve"> – 15</w:t>
            </w:r>
          </w:p>
          <w:p w14:paraId="491F9D13" w14:textId="77777777" w:rsidR="005648E6" w:rsidRPr="00A1115A" w:rsidRDefault="005648E6" w:rsidP="007C5F05">
            <w:pPr>
              <w:pStyle w:val="TAC"/>
            </w:pPr>
            <w:r w:rsidRPr="00A1115A">
              <w:t>to</w:t>
            </w:r>
          </w:p>
          <w:p w14:paraId="5CD9C508" w14:textId="77777777" w:rsidR="005648E6" w:rsidRPr="00A1115A" w:rsidRDefault="005648E6" w:rsidP="007C5F05">
            <w:pPr>
              <w:pStyle w:val="TAC"/>
            </w:pPr>
            <w:r w:rsidRPr="00A1115A">
              <w:t>F</w:t>
            </w:r>
            <w:r w:rsidRPr="00A1115A">
              <w:rPr>
                <w:vertAlign w:val="subscript"/>
              </w:rPr>
              <w:t>DL_high</w:t>
            </w:r>
            <w:r w:rsidRPr="00A1115A">
              <w:t xml:space="preserve"> + 15</w:t>
            </w:r>
          </w:p>
        </w:tc>
        <w:tc>
          <w:tcPr>
            <w:tcW w:w="1625" w:type="dxa"/>
          </w:tcPr>
          <w:p w14:paraId="2968A9A9" w14:textId="77777777" w:rsidR="005648E6" w:rsidRDefault="005648E6" w:rsidP="007C5F05">
            <w:pPr>
              <w:pStyle w:val="TAC"/>
            </w:pPr>
            <w:r>
              <w:t xml:space="preserve">605 MHz </w:t>
            </w:r>
          </w:p>
          <w:p w14:paraId="2F41857F" w14:textId="77777777" w:rsidR="005648E6" w:rsidRPr="00A1115A" w:rsidRDefault="005648E6" w:rsidP="007C5F05">
            <w:pPr>
              <w:pStyle w:val="TAC"/>
            </w:pPr>
            <w:r>
              <w:t>(NOTE 4)</w:t>
            </w:r>
          </w:p>
        </w:tc>
        <w:tc>
          <w:tcPr>
            <w:tcW w:w="1625" w:type="dxa"/>
          </w:tcPr>
          <w:p w14:paraId="7FAB2F73" w14:textId="77777777" w:rsidR="005648E6" w:rsidRPr="00A1115A" w:rsidRDefault="005648E6" w:rsidP="007C5F05">
            <w:pPr>
              <w:pStyle w:val="TAC"/>
            </w:pPr>
          </w:p>
        </w:tc>
      </w:tr>
      <w:tr w:rsidR="005648E6" w:rsidRPr="00A1115A" w14:paraId="5EA9B2C5" w14:textId="77777777" w:rsidTr="007C5F05">
        <w:trPr>
          <w:jc w:val="center"/>
        </w:trPr>
        <w:tc>
          <w:tcPr>
            <w:tcW w:w="9892" w:type="dxa"/>
            <w:gridSpan w:val="7"/>
          </w:tcPr>
          <w:p w14:paraId="20BBC60D" w14:textId="1F5D6916" w:rsidR="005648E6" w:rsidRPr="00A1115A" w:rsidRDefault="005648E6" w:rsidP="00373822">
            <w:pPr>
              <w:pStyle w:val="TAC"/>
              <w:ind w:left="878" w:hanging="878"/>
              <w:jc w:val="left"/>
            </w:pPr>
            <w:r w:rsidRPr="00A1115A">
              <w:t xml:space="preserve">NOTE </w:t>
            </w:r>
            <w:r>
              <w:t>4</w:t>
            </w:r>
            <w:r w:rsidRPr="00A1115A">
              <w:t>:</w:t>
            </w:r>
            <w:r w:rsidRPr="00A1115A">
              <w:tab/>
            </w:r>
            <w:r>
              <w:t>For Band nXYZ, the Case 3 requirement applies at the specified F</w:t>
            </w:r>
            <w:r w:rsidRPr="00932C01">
              <w:rPr>
                <w:vertAlign w:val="subscript"/>
              </w:rPr>
              <w:t>interferer</w:t>
            </w:r>
            <w:r>
              <w:t xml:space="preserve"> with </w:t>
            </w:r>
            <w:r w:rsidR="008027D9">
              <w:t>P</w:t>
            </w:r>
            <w:r w:rsidR="008027D9" w:rsidRPr="00932C01">
              <w:rPr>
                <w:vertAlign w:val="subscript"/>
              </w:rPr>
              <w:t>interferer</w:t>
            </w:r>
            <w:r w:rsidR="008027D9">
              <w:t xml:space="preserve"> power level </w:t>
            </w:r>
            <w:r w:rsidR="00932FA8">
              <w:t>modified as follows</w:t>
            </w:r>
            <w:r>
              <w:t>.  The P</w:t>
            </w:r>
            <w:r w:rsidRPr="00932C01">
              <w:rPr>
                <w:vertAlign w:val="subscript"/>
              </w:rPr>
              <w:t>interferer</w:t>
            </w:r>
            <w:r>
              <w:t xml:space="preserve"> power level shall be modified to </w:t>
            </w:r>
            <w:r w:rsidRPr="00373822">
              <w:rPr>
                <w:highlight w:val="yellow"/>
              </w:rPr>
              <w:t>-22 dBm</w:t>
            </w:r>
            <w:r>
              <w:t xml:space="preserve"> for </w:t>
            </w:r>
            <w:r w:rsidRPr="00A1115A">
              <w:t>-BW</w:t>
            </w:r>
            <w:r w:rsidRPr="00A1115A">
              <w:rPr>
                <w:vertAlign w:val="subscript"/>
              </w:rPr>
              <w:t>Channel</w:t>
            </w:r>
            <w:r w:rsidRPr="00A1115A">
              <w:t>/2 – F</w:t>
            </w:r>
            <w:r w:rsidRPr="00A1115A">
              <w:rPr>
                <w:vertAlign w:val="subscript"/>
              </w:rPr>
              <w:t>Ioffset, case 2</w:t>
            </w:r>
            <w:r>
              <w:t xml:space="preserve"> </w:t>
            </w:r>
            <w:r>
              <w:rPr>
                <w:rFonts w:cs="Arial"/>
              </w:rPr>
              <w:t xml:space="preserve">≤ </w:t>
            </w:r>
            <w:r>
              <w:t>F</w:t>
            </w:r>
            <w:r w:rsidRPr="007C5F05">
              <w:rPr>
                <w:vertAlign w:val="subscript"/>
              </w:rPr>
              <w:t>interferer</w:t>
            </w:r>
            <w:r>
              <w:t xml:space="preserve"> </w:t>
            </w:r>
            <w:r>
              <w:rPr>
                <w:rFonts w:cs="Arial"/>
              </w:rPr>
              <w:t xml:space="preserve">≤ </w:t>
            </w:r>
            <w:r w:rsidRPr="00A1115A">
              <w:t>BW</w:t>
            </w:r>
            <w:r w:rsidRPr="00A1115A">
              <w:rPr>
                <w:vertAlign w:val="subscript"/>
              </w:rPr>
              <w:t>Channel</w:t>
            </w:r>
            <w:r w:rsidRPr="00A1115A">
              <w:t>/2 + F</w:t>
            </w:r>
            <w:r w:rsidRPr="00A1115A">
              <w:rPr>
                <w:vertAlign w:val="subscript"/>
              </w:rPr>
              <w:t>Ioffset, case 2</w:t>
            </w:r>
            <w:r>
              <w:t xml:space="preserve"> and to </w:t>
            </w:r>
            <w:r w:rsidRPr="00373822">
              <w:rPr>
                <w:highlight w:val="yellow"/>
              </w:rPr>
              <w:t>-34 dBm</w:t>
            </w:r>
            <w:r>
              <w:t xml:space="preserve"> for </w:t>
            </w:r>
            <w:r w:rsidRPr="00A1115A">
              <w:t>-BW</w:t>
            </w:r>
            <w:r w:rsidRPr="00A1115A">
              <w:rPr>
                <w:vertAlign w:val="subscript"/>
              </w:rPr>
              <w:t>Channel</w:t>
            </w:r>
            <w:r w:rsidRPr="00A1115A">
              <w:t>/2 – F</w:t>
            </w:r>
            <w:r w:rsidRPr="00A1115A">
              <w:rPr>
                <w:vertAlign w:val="subscript"/>
              </w:rPr>
              <w:t xml:space="preserve">Ioffset, case </w:t>
            </w:r>
            <w:r>
              <w:rPr>
                <w:vertAlign w:val="subscript"/>
              </w:rPr>
              <w:t>1</w:t>
            </w:r>
            <w:r>
              <w:t xml:space="preserve"> </w:t>
            </w:r>
            <w:r>
              <w:rPr>
                <w:rFonts w:cs="Arial"/>
              </w:rPr>
              <w:t xml:space="preserve">≤ </w:t>
            </w:r>
            <w:r>
              <w:t>F</w:t>
            </w:r>
            <w:r w:rsidRPr="007C5F05">
              <w:rPr>
                <w:vertAlign w:val="subscript"/>
              </w:rPr>
              <w:t>interferer</w:t>
            </w:r>
            <w:r>
              <w:t xml:space="preserve"> </w:t>
            </w:r>
            <w:r>
              <w:rPr>
                <w:rFonts w:cs="Arial"/>
              </w:rPr>
              <w:t xml:space="preserve">≤ </w:t>
            </w:r>
            <w:r w:rsidRPr="00A1115A">
              <w:t>BW</w:t>
            </w:r>
            <w:r w:rsidRPr="00A1115A">
              <w:rPr>
                <w:vertAlign w:val="subscript"/>
              </w:rPr>
              <w:t>Channel</w:t>
            </w:r>
            <w:r w:rsidRPr="00A1115A">
              <w:t>/2 + F</w:t>
            </w:r>
            <w:r w:rsidRPr="00A1115A">
              <w:rPr>
                <w:vertAlign w:val="subscript"/>
              </w:rPr>
              <w:t xml:space="preserve">Ioffset, case </w:t>
            </w:r>
            <w:r>
              <w:rPr>
                <w:vertAlign w:val="subscript"/>
              </w:rPr>
              <w:t>1</w:t>
            </w:r>
            <w:r>
              <w:t>.</w:t>
            </w:r>
          </w:p>
        </w:tc>
      </w:tr>
    </w:tbl>
    <w:p w14:paraId="10374169" w14:textId="77777777" w:rsidR="005648E6" w:rsidRDefault="005648E6" w:rsidP="0039426F"/>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39757FCD" w14:textId="7FCB15A1" w:rsidR="001F0242" w:rsidRPr="001F0242" w:rsidRDefault="001F0242" w:rsidP="001F0242">
      <w:pPr>
        <w:rPr>
          <w:lang w:val="en-US"/>
        </w:rPr>
      </w:pPr>
      <w:r>
        <w:rPr>
          <w:lang w:val="en-US"/>
        </w:rPr>
        <w:t>The UE RF requirements for the APT 600 MHz band have been introduced in this contribution</w:t>
      </w:r>
      <w:r w:rsidR="001A463E">
        <w:rPr>
          <w:lang w:val="en-US"/>
        </w:rPr>
        <w:t xml:space="preserve"> including frequency arrangement, </w:t>
      </w:r>
      <w:r w:rsidR="00B42678">
        <w:rPr>
          <w:lang w:val="en-US"/>
        </w:rPr>
        <w:t xml:space="preserve">channel bandwidths, raster, output power, spurious emissions, reference sensitivity, and blocking.  The reference sensitivity </w:t>
      </w:r>
      <w:r w:rsidR="00C427B7">
        <w:rPr>
          <w:lang w:val="en-US"/>
        </w:rPr>
        <w:t>analysis has been provided as well as the justification for the blocking requirement.  A draft CR can be found in [8].</w:t>
      </w:r>
      <w:r>
        <w:rPr>
          <w:lang w:val="en-US"/>
        </w:rPr>
        <w:t xml:space="preserve">  </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2656141" w14:textId="26EB7ABC" w:rsidR="00907234" w:rsidRDefault="006B3D8C" w:rsidP="00D23312">
      <w:pPr>
        <w:numPr>
          <w:ilvl w:val="0"/>
          <w:numId w:val="2"/>
        </w:numPr>
        <w:tabs>
          <w:tab w:val="left" w:pos="1080"/>
        </w:tabs>
        <w:rPr>
          <w:lang w:val="en-US" w:eastAsia="x-none"/>
        </w:rPr>
      </w:pPr>
      <w:bookmarkStart w:id="2" w:name="_Hlk859252"/>
      <w:r>
        <w:rPr>
          <w:lang w:val="en-US" w:eastAsia="x-none"/>
        </w:rPr>
        <w:t>TR 38.860 v17.0.0</w:t>
      </w:r>
    </w:p>
    <w:p w14:paraId="5F3B7E7A" w14:textId="10099120" w:rsidR="00262113" w:rsidRDefault="0072630C" w:rsidP="00D23312">
      <w:pPr>
        <w:numPr>
          <w:ilvl w:val="0"/>
          <w:numId w:val="2"/>
        </w:numPr>
        <w:tabs>
          <w:tab w:val="left" w:pos="1080"/>
        </w:tabs>
        <w:rPr>
          <w:lang w:val="en-US" w:eastAsia="x-none"/>
        </w:rPr>
      </w:pPr>
      <w:r>
        <w:rPr>
          <w:lang w:val="en-US" w:eastAsia="x-none"/>
        </w:rPr>
        <w:t>RP-221778, “New WID on APT 600 MHz NR band,” Spark NZ, Qualcomm Inc</w:t>
      </w:r>
    </w:p>
    <w:p w14:paraId="5A114161" w14:textId="509CAA79" w:rsidR="0072630C" w:rsidRDefault="00935D0E" w:rsidP="00D23312">
      <w:pPr>
        <w:numPr>
          <w:ilvl w:val="0"/>
          <w:numId w:val="2"/>
        </w:numPr>
        <w:tabs>
          <w:tab w:val="left" w:pos="1080"/>
        </w:tabs>
        <w:rPr>
          <w:lang w:val="en-US" w:eastAsia="x-none"/>
        </w:rPr>
      </w:pPr>
      <w:r>
        <w:rPr>
          <w:lang w:val="en-US" w:eastAsia="x-none"/>
        </w:rPr>
        <w:t xml:space="preserve">RP-221045, </w:t>
      </w:r>
      <w:r w:rsidR="009C7087" w:rsidRPr="009C7087">
        <w:rPr>
          <w:lang w:val="en-US" w:eastAsia="x-none"/>
        </w:rPr>
        <w:t>FREQUENCY ARRANGEMENTS FOR IMT IN THE BAND 470 – 703 MHZ</w:t>
      </w:r>
    </w:p>
    <w:p w14:paraId="4F023302" w14:textId="6F7516A1" w:rsidR="00935D0E" w:rsidRPr="00DA2DDF" w:rsidRDefault="00A83C76" w:rsidP="00D23312">
      <w:pPr>
        <w:numPr>
          <w:ilvl w:val="0"/>
          <w:numId w:val="2"/>
        </w:numPr>
        <w:tabs>
          <w:tab w:val="left" w:pos="1080"/>
        </w:tabs>
        <w:rPr>
          <w:lang w:val="en-US" w:eastAsia="x-none"/>
        </w:rPr>
      </w:pPr>
      <w:r w:rsidRPr="00F71644">
        <w:t>Expanding the Economic and Innovation Opportunities of Spectrum Through Incentive Auctions, GN Docket No. 12-268, Report and Order, FCC 14-50.</w:t>
      </w:r>
    </w:p>
    <w:p w14:paraId="79F2153F" w14:textId="7CD67397" w:rsidR="00DA2DDF" w:rsidRPr="00823940" w:rsidRDefault="00DA2DDF" w:rsidP="00D23312">
      <w:pPr>
        <w:numPr>
          <w:ilvl w:val="0"/>
          <w:numId w:val="2"/>
        </w:numPr>
        <w:tabs>
          <w:tab w:val="left" w:pos="1080"/>
        </w:tabs>
        <w:rPr>
          <w:lang w:val="en-US" w:eastAsia="x-none"/>
        </w:rPr>
      </w:pPr>
      <w:r>
        <w:t>R4-2107339, “</w:t>
      </w:r>
      <w:r w:rsidR="00E16E19">
        <w:t>35MHz and 45MHz REFSENS,” Qualcomm Incorporated</w:t>
      </w:r>
    </w:p>
    <w:p w14:paraId="4A1D6895" w14:textId="6A4E91F9" w:rsidR="00823940" w:rsidRPr="003F2B02" w:rsidRDefault="00823940" w:rsidP="00D23312">
      <w:pPr>
        <w:numPr>
          <w:ilvl w:val="0"/>
          <w:numId w:val="2"/>
        </w:numPr>
        <w:tabs>
          <w:tab w:val="left" w:pos="1080"/>
        </w:tabs>
        <w:rPr>
          <w:lang w:val="en-US" w:eastAsia="x-none"/>
        </w:rPr>
      </w:pPr>
      <w:r>
        <w:t>R4-2117155, “</w:t>
      </w:r>
      <w:r w:rsidR="00B53781" w:rsidRPr="00B53781">
        <w:t>n71 REFSENS for 25M and 30M BWs</w:t>
      </w:r>
      <w:r w:rsidR="00B53781">
        <w:t>,” Qualcomm Incorporated</w:t>
      </w:r>
    </w:p>
    <w:p w14:paraId="6342EFA5" w14:textId="5E6B9CFA" w:rsidR="003F2B02" w:rsidRPr="003E1CF3" w:rsidRDefault="003F2B02" w:rsidP="00D23312">
      <w:pPr>
        <w:numPr>
          <w:ilvl w:val="0"/>
          <w:numId w:val="2"/>
        </w:numPr>
        <w:tabs>
          <w:tab w:val="left" w:pos="1080"/>
        </w:tabs>
        <w:rPr>
          <w:lang w:val="en-US" w:eastAsia="x-none"/>
        </w:rPr>
      </w:pPr>
      <w:r>
        <w:t>R4-210</w:t>
      </w:r>
      <w:r w:rsidR="003A7ADE">
        <w:t>5346, “</w:t>
      </w:r>
      <w:r w:rsidR="003A7ADE" w:rsidRPr="003A7ADE">
        <w:t>WF on UE REFSENS for 35 MHz and 45 MHz</w:t>
      </w:r>
      <w:r w:rsidR="003A7ADE">
        <w:t>,” Huawei, HiSilicon</w:t>
      </w:r>
    </w:p>
    <w:bookmarkEnd w:id="2"/>
    <w:p w14:paraId="0789FC1F" w14:textId="5D4754BB" w:rsidR="003E1CF3" w:rsidRPr="0007744C" w:rsidRDefault="002A4A8B" w:rsidP="00D23312">
      <w:pPr>
        <w:numPr>
          <w:ilvl w:val="0"/>
          <w:numId w:val="2"/>
        </w:numPr>
        <w:tabs>
          <w:tab w:val="left" w:pos="1080"/>
        </w:tabs>
        <w:rPr>
          <w:lang w:val="en-US" w:eastAsia="x-none"/>
        </w:rPr>
      </w:pPr>
      <w:r w:rsidRPr="0007744C">
        <w:t>R4-211</w:t>
      </w:r>
      <w:r w:rsidR="0007744C" w:rsidRPr="0007744C">
        <w:t>4001</w:t>
      </w:r>
      <w:r w:rsidRPr="0007744C">
        <w:t>, “</w:t>
      </w:r>
      <w:r w:rsidR="0009424F" w:rsidRPr="0007744C">
        <w:t>Introduction of APT 600 MHz band,” Qualcomm Incorporated</w:t>
      </w:r>
    </w:p>
    <w:sectPr w:rsidR="003E1CF3" w:rsidRPr="0007744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C95A3" w14:textId="77777777" w:rsidR="00817F48" w:rsidRDefault="00817F48">
      <w:r>
        <w:separator/>
      </w:r>
    </w:p>
  </w:endnote>
  <w:endnote w:type="continuationSeparator" w:id="0">
    <w:p w14:paraId="78ABE2A6" w14:textId="77777777" w:rsidR="00817F48" w:rsidRDefault="0081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F3B18" w14:textId="77777777" w:rsidR="00817F48" w:rsidRDefault="00817F48">
      <w:r>
        <w:separator/>
      </w:r>
    </w:p>
  </w:footnote>
  <w:footnote w:type="continuationSeparator" w:id="0">
    <w:p w14:paraId="0E6F291D" w14:textId="77777777" w:rsidR="00817F48" w:rsidRDefault="00817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7"/>
  </w:num>
  <w:num w:numId="3" w16cid:durableId="30959319">
    <w:abstractNumId w:val="31"/>
  </w:num>
  <w:num w:numId="4" w16cid:durableId="1579515455">
    <w:abstractNumId w:val="34"/>
  </w:num>
  <w:num w:numId="5" w16cid:durableId="1213884486">
    <w:abstractNumId w:val="25"/>
  </w:num>
  <w:num w:numId="6" w16cid:durableId="895549640">
    <w:abstractNumId w:val="10"/>
  </w:num>
  <w:num w:numId="7" w16cid:durableId="1494643654">
    <w:abstractNumId w:val="3"/>
  </w:num>
  <w:num w:numId="8" w16cid:durableId="1777947175">
    <w:abstractNumId w:val="30"/>
  </w:num>
  <w:num w:numId="9" w16cid:durableId="461308997">
    <w:abstractNumId w:val="11"/>
  </w:num>
  <w:num w:numId="10" w16cid:durableId="1624651259">
    <w:abstractNumId w:val="22"/>
  </w:num>
  <w:num w:numId="11" w16cid:durableId="1362783709">
    <w:abstractNumId w:val="36"/>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5"/>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4"/>
  </w:num>
  <w:num w:numId="24" w16cid:durableId="1658996919">
    <w:abstractNumId w:val="32"/>
  </w:num>
  <w:num w:numId="25" w16cid:durableId="1145976948">
    <w:abstractNumId w:val="33"/>
  </w:num>
  <w:num w:numId="26" w16cid:durableId="1948657783">
    <w:abstractNumId w:val="4"/>
  </w:num>
  <w:num w:numId="27" w16cid:durableId="1612282645">
    <w:abstractNumId w:val="21"/>
  </w:num>
  <w:num w:numId="28" w16cid:durableId="126902088">
    <w:abstractNumId w:val="23"/>
  </w:num>
  <w:num w:numId="29" w16cid:durableId="906383168">
    <w:abstractNumId w:val="28"/>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6"/>
  </w:num>
  <w:num w:numId="35" w16cid:durableId="2019849514">
    <w:abstractNumId w:val="15"/>
  </w:num>
  <w:num w:numId="36" w16cid:durableId="1071586423">
    <w:abstractNumId w:val="2"/>
  </w:num>
  <w:num w:numId="37" w16cid:durableId="1338195957">
    <w:abstractNumId w:val="29"/>
  </w:num>
  <w:num w:numId="38" w16cid:durableId="1058632768">
    <w:abstractNumId w:val="7"/>
  </w:num>
  <w:num w:numId="39" w16cid:durableId="101411538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2947"/>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925"/>
    <w:rsid w:val="00880D03"/>
    <w:rsid w:val="00880D92"/>
    <w:rsid w:val="00880F6C"/>
    <w:rsid w:val="00881166"/>
    <w:rsid w:val="008814FB"/>
    <w:rsid w:val="008815A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D9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72BE"/>
    <w:rsid w:val="00B877AA"/>
    <w:rsid w:val="00B905F0"/>
    <w:rsid w:val="00B90722"/>
    <w:rsid w:val="00B908C4"/>
    <w:rsid w:val="00B90B7A"/>
    <w:rsid w:val="00B9125A"/>
    <w:rsid w:val="00B91851"/>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2047</TotalTime>
  <Pages>6</Pages>
  <Words>2931</Words>
  <Characters>14384</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313</cp:revision>
  <cp:lastPrinted>2017-09-11T16:45:00Z</cp:lastPrinted>
  <dcterms:created xsi:type="dcterms:W3CDTF">2022-04-25T22:31:00Z</dcterms:created>
  <dcterms:modified xsi:type="dcterms:W3CDTF">2022-08-10T20:14:00Z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