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213869</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15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11.9.2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7"/>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7"/>
              <w:keepNext w:val="0"/>
              <w:keepLines w:val="0"/>
              <w:pageBreakBefore w:val="0"/>
              <w:widowControl w:val="0"/>
              <w:numPr>
                <w:ilvl w:val="2"/>
                <w:numId w:val="4"/>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7"/>
              <w:keepNext w:val="0"/>
              <w:keepLines w:val="0"/>
              <w:pageBreakBefore w:val="0"/>
              <w:widowControl w:val="0"/>
              <w:numPr>
                <w:ilvl w:val="0"/>
                <w:numId w:val="4"/>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7"/>
              <w:keepNext w:val="0"/>
              <w:keepLines w:val="0"/>
              <w:pageBreakBefore w:val="0"/>
              <w:widowControl w:val="0"/>
              <w:numPr>
                <w:ilvl w:val="1"/>
                <w:numId w:val="4"/>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7"/>
              <w:keepNext w:val="0"/>
              <w:keepLines w:val="0"/>
              <w:pageBreakBefore w:val="0"/>
              <w:widowControl w:val="0"/>
              <w:numPr>
                <w:ilvl w:val="2"/>
                <w:numId w:val="4"/>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default" w:eastAsia="宋体"/>
          <w:kern w:val="2"/>
          <w:sz w:val="20"/>
          <w:szCs w:val="20"/>
          <w:lang w:val="en-US" w:eastAsia="zh-CN"/>
        </w:rPr>
      </w:pPr>
      <w:r>
        <w:rPr>
          <w:rFonts w:hint="eastAsia" w:eastAsia="宋体"/>
          <w:color w:val="auto"/>
          <w:sz w:val="20"/>
          <w:szCs w:val="20"/>
          <w:lang w:val="en-US" w:eastAsia="zh-CN"/>
        </w:rPr>
        <w:t>Base on the scope of WID, two aspects around the RRM enhancements for NR and MR-DC were identified from multiple candidate options proposed in RAN plenary. In this document, we provide some analysis for the 1</w:t>
      </w:r>
      <w:r>
        <w:rPr>
          <w:rFonts w:hint="eastAsia" w:eastAsia="宋体"/>
          <w:color w:val="auto"/>
          <w:sz w:val="20"/>
          <w:szCs w:val="20"/>
          <w:vertAlign w:val="superscript"/>
          <w:lang w:val="en-US" w:eastAsia="zh-CN"/>
        </w:rPr>
        <w:t>st</w:t>
      </w:r>
      <w:r>
        <w:rPr>
          <w:rFonts w:hint="eastAsia" w:eastAsia="宋体"/>
          <w:color w:val="auto"/>
          <w:sz w:val="20"/>
          <w:szCs w:val="20"/>
          <w:lang w:val="en-US" w:eastAsia="zh-CN"/>
        </w:rPr>
        <w:t xml:space="preserve"> aspect, i.e. FR2 SCell activation delay reduction.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During R17, Work on efficient activation/deactivation mechanism for SCell was initiated from the RAN4#97e meeting due to an LS from RAN1. The more efficient activation/deactivation mechanism for SCell was enhanced focus on intra-band contiguous CA in FR1 and FR2. For FR2, the enhancements are not applicable for the scenario that there is no active serving cell on FR2 band and the SCell being activated is unknown to UE. For intra-band non contiguous CA and inter-band CA, not referred by the WID.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detailed enhancements during R17 under this topic can be summarized in high level as that: the SCell activation is no longer SSB based, but enhanced as TRS burst based. For details, two TRS bursts were applied to realize AGC and fine time/frequency tracking. Further more, a gap should be guaranteed between the two TRS bursts.</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Now for the motivation of this WID in R18, for FR2 SCell activation delay reduction, we focus on the following issues and provide our analysis.</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Issue 1: The enhancement of cell detection for unknown SCell and time/frequency tracking</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Issue 2: The enhancement of L1-RSRP measurement delay reduction on target SCell</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Issue 3: Whether the solution can be extended to FR1</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Rel-16, For the activation delay of FR2 SCell, three cases were identified and the requirements were different.</w:t>
      </w:r>
    </w:p>
    <w:p>
      <w:pPr>
        <w:pStyle w:val="4"/>
        <w:numPr>
          <w:ilvl w:val="0"/>
          <w:numId w:val="0"/>
        </w:numPr>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Case 1: The to-be-activated SCell is known and at least one active serving cell on that FR2 band</w:t>
      </w:r>
    </w:p>
    <w:p>
      <w:pPr>
        <w:ind w:left="0" w:leftChars="0"/>
        <w:jc w:val="center"/>
        <w:rPr>
          <w:rFonts w:hint="eastAsia" w:eastAsia="宋体"/>
          <w:lang w:val="en-US" w:eastAsia="zh-CN"/>
        </w:rPr>
      </w:pPr>
      <w:r>
        <w:rPr>
          <w:b/>
          <w:bCs/>
        </w:rPr>
        <w:t>T</w:t>
      </w:r>
      <w:r>
        <w:rPr>
          <w:b/>
          <w:bCs/>
          <w:vertAlign w:val="subscript"/>
        </w:rPr>
        <w:t>activation_time</w:t>
      </w:r>
      <w:r>
        <w:rPr>
          <w:rFonts w:hint="eastAsia" w:eastAsia="宋体"/>
          <w:color w:val="auto"/>
          <w:sz w:val="20"/>
          <w:szCs w:val="20"/>
          <w:highlight w:val="none"/>
          <w:lang w:val="en-US" w:eastAsia="zh-CN"/>
        </w:rPr>
        <w:t xml:space="preserve"> =</w:t>
      </w:r>
      <w:r>
        <w:rPr>
          <w:rFonts w:hint="eastAsia" w:eastAsia="宋体"/>
          <w:b/>
          <w:bCs/>
          <w:vertAlign w:val="subscript"/>
          <w:lang w:val="en-US" w:eastAsia="zh-CN"/>
        </w:rPr>
        <w:t xml:space="preserve"> </w:t>
      </w:r>
      <w:r>
        <w:rPr>
          <w:rFonts w:eastAsia="宋体"/>
          <w:lang w:val="en-US" w:eastAsia="zh-CN"/>
        </w:rPr>
        <w:t>T</w:t>
      </w:r>
      <w:r>
        <w:rPr>
          <w:rFonts w:eastAsia="宋体"/>
          <w:vertAlign w:val="subscript"/>
          <w:lang w:val="en-US" w:eastAsia="zh-CN"/>
        </w:rPr>
        <w:t xml:space="preserve">firstSSB </w:t>
      </w:r>
      <w:r>
        <w:rPr>
          <w:rFonts w:eastAsia="宋体"/>
          <w:lang w:val="en-US" w:eastAsia="zh-CN"/>
        </w:rPr>
        <w:t>+5ms</w:t>
      </w:r>
      <w:r>
        <w:rPr>
          <w:rFonts w:hint="eastAsia" w:eastAsia="宋体"/>
          <w:lang w:val="en-US" w:eastAsia="zh-CN"/>
        </w:rPr>
        <w:t xml:space="preserve"> or </w:t>
      </w:r>
    </w:p>
    <w:p>
      <w:pPr>
        <w:ind w:left="0" w:leftChars="0"/>
        <w:jc w:val="center"/>
        <w:rPr>
          <w:rFonts w:hint="default" w:eastAsia="宋体"/>
          <w:u w:val="none"/>
          <w:lang w:val="en-US" w:eastAsia="zh-CN"/>
        </w:rPr>
      </w:pPr>
      <w:r>
        <w:rPr>
          <w:b/>
          <w:bCs/>
          <w:u w:val="none"/>
        </w:rPr>
        <w:t>T</w:t>
      </w:r>
      <w:r>
        <w:rPr>
          <w:b/>
          <w:bCs/>
          <w:u w:val="none"/>
          <w:vertAlign w:val="subscript"/>
        </w:rPr>
        <w:t>activation_time</w:t>
      </w:r>
      <w:r>
        <w:rPr>
          <w:rFonts w:hint="eastAsia" w:eastAsia="宋体"/>
          <w:color w:val="auto"/>
          <w:sz w:val="20"/>
          <w:szCs w:val="20"/>
          <w:highlight w:val="none"/>
          <w:u w:val="none"/>
          <w:lang w:val="en-US" w:eastAsia="zh-CN"/>
        </w:rPr>
        <w:t xml:space="preserve"> =</w:t>
      </w:r>
      <w:r>
        <w:rPr>
          <w:rFonts w:hint="eastAsia" w:eastAsia="宋体"/>
          <w:b/>
          <w:bCs/>
          <w:u w:val="none"/>
          <w:vertAlign w:val="subscript"/>
          <w:lang w:val="en-US" w:eastAsia="zh-CN"/>
        </w:rPr>
        <w:t xml:space="preserve"> </w:t>
      </w:r>
      <w:r>
        <w:rPr>
          <w:rFonts w:eastAsia="宋体"/>
          <w:u w:val="none"/>
          <w:lang w:val="en-US" w:eastAsia="zh-CN"/>
        </w:rPr>
        <w:t>3ms</w:t>
      </w:r>
    </w:p>
    <w:p>
      <w:pPr>
        <w:pStyle w:val="4"/>
        <w:numPr>
          <w:ilvl w:val="0"/>
          <w:numId w:val="0"/>
        </w:numPr>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Case 2: The to-be-activated SCell is known and no active serving cell on that FR2 band</w:t>
      </w:r>
    </w:p>
    <w:p>
      <w:pPr>
        <w:jc w:val="center"/>
        <w:rPr>
          <w:rFonts w:hint="default" w:eastAsia="宋体"/>
          <w:lang w:val="en-US" w:eastAsia="zh-CN"/>
        </w:rPr>
      </w:pPr>
      <w:r>
        <w:rPr>
          <w:b/>
          <w:bCs/>
        </w:rPr>
        <w:t>T</w:t>
      </w:r>
      <w:r>
        <w:rPr>
          <w:b/>
          <w:bCs/>
          <w:vertAlign w:val="subscript"/>
        </w:rPr>
        <w:t>activation_time</w:t>
      </w:r>
      <w:r>
        <w:rPr>
          <w:rFonts w:hint="eastAsia" w:eastAsia="宋体"/>
          <w:color w:val="auto"/>
          <w:sz w:val="20"/>
          <w:szCs w:val="20"/>
          <w:highlight w:val="none"/>
          <w:lang w:val="en-US" w:eastAsia="zh-CN"/>
        </w:rPr>
        <w:t xml:space="preserve"> =</w:t>
      </w:r>
      <w:r>
        <w:rPr>
          <w:rFonts w:hint="eastAsia" w:eastAsia="宋体"/>
          <w:b/>
          <w:bCs/>
          <w:vertAlign w:val="subscript"/>
          <w:lang w:val="en-US" w:eastAsia="zh-CN"/>
        </w:rPr>
        <w:t xml:space="preserve"> </w:t>
      </w:r>
      <w:r>
        <w:rPr>
          <w:rFonts w:eastAsia="宋体"/>
          <w:lang w:val="en-US" w:eastAsia="zh-CN"/>
        </w:rPr>
        <w:t>3ms + max(T</w:t>
      </w:r>
      <w:r>
        <w:rPr>
          <w:rFonts w:eastAsia="宋体"/>
          <w:vertAlign w:val="subscript"/>
          <w:lang w:val="en-US" w:eastAsia="zh-CN"/>
        </w:rPr>
        <w:t>uncertainty_MAC</w:t>
      </w:r>
      <w:r>
        <w:rPr>
          <w:rFonts w:eastAsia="宋体"/>
          <w:lang w:val="en-US" w:eastAsia="zh-CN"/>
        </w:rPr>
        <w:t xml:space="preserve"> + T</w:t>
      </w:r>
      <w:r>
        <w:rPr>
          <w:rFonts w:eastAsia="宋体"/>
          <w:vertAlign w:val="subscript"/>
          <w:lang w:val="en-US" w:eastAsia="zh-CN"/>
        </w:rPr>
        <w:t>FineTiming</w:t>
      </w:r>
      <w:r>
        <w:rPr>
          <w:rFonts w:eastAsia="宋体"/>
          <w:lang w:val="en-US" w:eastAsia="zh-CN"/>
        </w:rPr>
        <w:t xml:space="preserve"> + 2ms, T</w:t>
      </w:r>
      <w:r>
        <w:rPr>
          <w:rFonts w:eastAsia="宋体"/>
          <w:vertAlign w:val="subscript"/>
          <w:lang w:val="en-US" w:eastAsia="zh-CN"/>
        </w:rPr>
        <w:t>uncertainty_SP</w:t>
      </w:r>
      <w:r>
        <w:rPr>
          <w:rFonts w:eastAsia="宋体"/>
          <w:lang w:val="en-US" w:eastAsia="zh-CN"/>
        </w:rPr>
        <w:t>)</w:t>
      </w:r>
      <w:r>
        <w:rPr>
          <w:rFonts w:hint="eastAsia" w:eastAsia="宋体"/>
          <w:lang w:val="en-US" w:eastAsia="zh-CN"/>
        </w:rPr>
        <w:t xml:space="preserve"> or</w:t>
      </w:r>
    </w:p>
    <w:p>
      <w:pPr>
        <w:jc w:val="center"/>
        <w:rPr>
          <w:rFonts w:hint="default" w:eastAsia="宋体"/>
          <w:color w:val="auto"/>
          <w:sz w:val="20"/>
          <w:szCs w:val="20"/>
          <w:highlight w:val="none"/>
          <w:lang w:val="en-US" w:eastAsia="zh-CN"/>
        </w:rPr>
      </w:pPr>
      <w:r>
        <w:rPr>
          <w:b/>
          <w:bCs/>
        </w:rPr>
        <w:t>T</w:t>
      </w:r>
      <w:r>
        <w:rPr>
          <w:b/>
          <w:bCs/>
          <w:vertAlign w:val="subscript"/>
        </w:rPr>
        <w:t>activation_time</w:t>
      </w:r>
      <w:r>
        <w:rPr>
          <w:rFonts w:hint="eastAsia" w:eastAsia="宋体"/>
          <w:color w:val="auto"/>
          <w:sz w:val="20"/>
          <w:szCs w:val="20"/>
          <w:highlight w:val="none"/>
          <w:lang w:val="en-US" w:eastAsia="zh-CN"/>
        </w:rPr>
        <w:t xml:space="preserve"> =</w:t>
      </w:r>
      <w:r>
        <w:rPr>
          <w:rFonts w:hint="eastAsia" w:eastAsia="宋体"/>
          <w:b/>
          <w:bCs/>
          <w:vertAlign w:val="subscript"/>
          <w:lang w:val="en-US" w:eastAsia="zh-CN"/>
        </w:rPr>
        <w:t xml:space="preserve"> </w:t>
      </w:r>
      <w:r>
        <w:rPr>
          <w:rFonts w:eastAsia="宋体"/>
          <w:lang w:val="en-US" w:eastAsia="zh-CN"/>
        </w:rPr>
        <w:t>max(T</w:t>
      </w:r>
      <w:r>
        <w:rPr>
          <w:rFonts w:eastAsia="宋体"/>
          <w:vertAlign w:val="subscript"/>
          <w:lang w:val="en-US" w:eastAsia="zh-CN"/>
        </w:rPr>
        <w:t>uncertainty_MAC</w:t>
      </w:r>
      <w:r>
        <w:rPr>
          <w:rFonts w:eastAsia="宋体"/>
          <w:lang w:val="en-US" w:eastAsia="zh-CN"/>
        </w:rPr>
        <w:t xml:space="preserve"> + 5ms + T</w:t>
      </w:r>
      <w:r>
        <w:rPr>
          <w:rFonts w:eastAsia="宋体"/>
          <w:vertAlign w:val="subscript"/>
          <w:lang w:val="en-US" w:eastAsia="zh-CN"/>
        </w:rPr>
        <w:t>FineTiming</w:t>
      </w:r>
      <w:r>
        <w:rPr>
          <w:rFonts w:eastAsia="宋体"/>
          <w:lang w:val="en-US" w:eastAsia="zh-CN"/>
        </w:rPr>
        <w:t>, T</w:t>
      </w:r>
      <w:r>
        <w:rPr>
          <w:rFonts w:eastAsia="宋体"/>
          <w:vertAlign w:val="subscript"/>
          <w:lang w:val="en-US" w:eastAsia="zh-CN"/>
        </w:rPr>
        <w:t>uncertainty_RRC</w:t>
      </w:r>
      <w:r>
        <w:rPr>
          <w:rFonts w:eastAsia="宋体"/>
          <w:lang w:val="en-US" w:eastAsia="zh-CN"/>
        </w:rPr>
        <w:t xml:space="preserve"> + T</w:t>
      </w:r>
      <w:r>
        <w:rPr>
          <w:rFonts w:eastAsia="宋体"/>
          <w:vertAlign w:val="subscript"/>
          <w:lang w:val="en-US" w:eastAsia="zh-CN"/>
        </w:rPr>
        <w:t>RRC_delay</w:t>
      </w:r>
      <w:r>
        <w:rPr>
          <w:rFonts w:eastAsia="宋体"/>
          <w:lang w:val="en-US" w:eastAsia="zh-CN"/>
        </w:rPr>
        <w:t>-T</w:t>
      </w:r>
      <w:r>
        <w:rPr>
          <w:rFonts w:eastAsia="宋体"/>
          <w:vertAlign w:val="subscript"/>
          <w:lang w:val="en-US" w:eastAsia="zh-CN"/>
        </w:rPr>
        <w:t>HARQ</w:t>
      </w:r>
      <w:r>
        <w:rPr>
          <w:rFonts w:eastAsia="宋体"/>
          <w:lang w:val="en-US" w:eastAsia="zh-CN"/>
        </w:rPr>
        <w:t>)</w:t>
      </w:r>
    </w:p>
    <w:p>
      <w:pPr>
        <w:pStyle w:val="4"/>
        <w:numPr>
          <w:ilvl w:val="0"/>
          <w:numId w:val="0"/>
        </w:numPr>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Case 3: The to-be-activated SCell is unknown</w:t>
      </w:r>
    </w:p>
    <w:p>
      <w:pPr>
        <w:jc w:val="center"/>
        <w:rPr>
          <w:rFonts w:eastAsia="宋体"/>
          <w:vertAlign w:val="subscript"/>
          <w:lang w:val="en-US" w:eastAsia="zh-CN"/>
        </w:rPr>
      </w:pPr>
      <w:r>
        <w:rPr>
          <w:b/>
          <w:bCs/>
        </w:rPr>
        <w:t>T</w:t>
      </w:r>
      <w:r>
        <w:rPr>
          <w:b/>
          <w:bCs/>
          <w:vertAlign w:val="subscript"/>
        </w:rPr>
        <w:t>activation_time</w:t>
      </w:r>
      <w:r>
        <w:rPr>
          <w:rFonts w:hint="eastAsia" w:eastAsia="宋体"/>
          <w:color w:val="auto"/>
          <w:sz w:val="20"/>
          <w:szCs w:val="20"/>
          <w:highlight w:val="none"/>
          <w:lang w:val="en-US" w:eastAsia="zh-CN"/>
        </w:rPr>
        <w:t xml:space="preserve"> =</w:t>
      </w:r>
      <w:r>
        <w:rPr>
          <w:rFonts w:hint="eastAsia" w:eastAsia="宋体"/>
          <w:b/>
          <w:bCs/>
          <w:vertAlign w:val="subscript"/>
          <w:lang w:val="en-US" w:eastAsia="zh-CN"/>
        </w:rPr>
        <w:t xml:space="preserve"> </w:t>
      </w:r>
      <w:r>
        <w:rPr>
          <w:rFonts w:eastAsia="宋体"/>
          <w:lang w:val="en-US" w:eastAsia="zh-CN"/>
        </w:rPr>
        <w:t>6ms + T</w:t>
      </w:r>
      <w:r>
        <w:rPr>
          <w:rFonts w:eastAsia="宋体"/>
          <w:vertAlign w:val="subscript"/>
          <w:lang w:val="en-US" w:eastAsia="zh-CN"/>
        </w:rPr>
        <w:t>FirstSSB_MAX</w:t>
      </w:r>
      <w:r>
        <w:rPr>
          <w:rFonts w:eastAsia="宋体"/>
          <w:lang w:val="en-US" w:eastAsia="zh-CN"/>
        </w:rPr>
        <w:t xml:space="preserve"> + 15*T</w:t>
      </w:r>
      <w:r>
        <w:rPr>
          <w:rFonts w:eastAsia="宋体"/>
          <w:vertAlign w:val="subscript"/>
          <w:lang w:val="en-US" w:eastAsia="zh-CN"/>
        </w:rPr>
        <w:t>SMTC_MAX</w:t>
      </w:r>
      <w:r>
        <w:rPr>
          <w:rFonts w:eastAsia="宋体"/>
          <w:lang w:val="en-US" w:eastAsia="zh-CN"/>
        </w:rPr>
        <w:t xml:space="preserve"> + 8*T</w:t>
      </w:r>
      <w:r>
        <w:rPr>
          <w:rFonts w:eastAsia="宋体"/>
          <w:vertAlign w:val="subscript"/>
          <w:lang w:val="en-US" w:eastAsia="zh-CN"/>
        </w:rPr>
        <w:t xml:space="preserve">rs  </w:t>
      </w:r>
      <w:r>
        <w:rPr>
          <w:rFonts w:eastAsia="宋体"/>
          <w:lang w:val="en-US" w:eastAsia="zh-CN"/>
        </w:rPr>
        <w:t>+ T</w:t>
      </w:r>
      <w:r>
        <w:rPr>
          <w:rFonts w:eastAsia="宋体"/>
          <w:vertAlign w:val="subscript"/>
          <w:lang w:val="en-US" w:eastAsia="zh-CN"/>
        </w:rPr>
        <w:t>L1-RSRP, measure</w:t>
      </w:r>
      <w:r>
        <w:rPr>
          <w:rFonts w:eastAsia="宋体"/>
          <w:lang w:val="en-US" w:eastAsia="zh-CN"/>
        </w:rPr>
        <w:t xml:space="preserve"> + T</w:t>
      </w:r>
      <w:r>
        <w:rPr>
          <w:rFonts w:eastAsia="宋体"/>
          <w:vertAlign w:val="subscript"/>
          <w:lang w:val="en-US" w:eastAsia="zh-CN"/>
        </w:rPr>
        <w:t>L1-RSRP, report</w:t>
      </w:r>
    </w:p>
    <w:p>
      <w:pPr>
        <w:pStyle w:val="4"/>
        <w:rPr>
          <w:rFonts w:hint="eastAsia" w:eastAsia="宋体"/>
          <w:lang w:val="en-US" w:eastAsia="zh-CN"/>
        </w:rPr>
      </w:pPr>
      <w:r>
        <w:rPr>
          <w:rFonts w:eastAsia="宋体"/>
          <w:lang w:val="en-US" w:eastAsia="zh-CN"/>
        </w:rPr>
        <w:t>+ T</w:t>
      </w:r>
      <w:r>
        <w:rPr>
          <w:rFonts w:eastAsia="宋体"/>
          <w:vertAlign w:val="subscript"/>
          <w:lang w:val="en-US" w:eastAsia="zh-CN"/>
        </w:rPr>
        <w:t xml:space="preserve">HARQ </w:t>
      </w:r>
      <w:r>
        <w:rPr>
          <w:rFonts w:eastAsia="宋体"/>
          <w:lang w:val="en-US" w:eastAsia="zh-CN"/>
        </w:rPr>
        <w:t>+ max(T</w:t>
      </w:r>
      <w:r>
        <w:rPr>
          <w:rFonts w:eastAsia="宋体"/>
          <w:vertAlign w:val="subscript"/>
          <w:lang w:val="en-US" w:eastAsia="zh-CN"/>
        </w:rPr>
        <w:t>uncertainty_MAC</w:t>
      </w:r>
      <w:r>
        <w:rPr>
          <w:rFonts w:eastAsia="宋体"/>
          <w:lang w:val="en-US" w:eastAsia="zh-CN"/>
        </w:rPr>
        <w:t xml:space="preserve"> + T</w:t>
      </w:r>
      <w:r>
        <w:rPr>
          <w:rFonts w:eastAsia="宋体"/>
          <w:vertAlign w:val="subscript"/>
          <w:lang w:val="en-US" w:eastAsia="zh-CN"/>
        </w:rPr>
        <w:t xml:space="preserve">FineTiming </w:t>
      </w:r>
      <w:r>
        <w:rPr>
          <w:rFonts w:eastAsia="宋体"/>
          <w:lang w:val="en-US" w:eastAsia="zh-CN"/>
        </w:rPr>
        <w:t>+ 2ms, T</w:t>
      </w:r>
      <w:r>
        <w:rPr>
          <w:rFonts w:eastAsia="宋体"/>
          <w:vertAlign w:val="subscript"/>
          <w:lang w:val="en-US" w:eastAsia="zh-CN"/>
        </w:rPr>
        <w:t>uncertainty_SP</w:t>
      </w:r>
      <w:r>
        <w:rPr>
          <w:rFonts w:eastAsia="宋体"/>
          <w:lang w:val="en-US" w:eastAsia="zh-CN"/>
        </w:rPr>
        <w:t>)</w:t>
      </w:r>
      <w:r>
        <w:rPr>
          <w:rFonts w:hint="eastAsia" w:eastAsia="宋体"/>
          <w:lang w:val="en-US" w:eastAsia="zh-CN"/>
        </w:rPr>
        <w:t xml:space="preserve"> or</w:t>
      </w:r>
    </w:p>
    <w:p>
      <w:pPr>
        <w:jc w:val="center"/>
        <w:rPr>
          <w:rFonts w:eastAsia="宋体"/>
          <w:lang w:val="it-IT" w:eastAsia="zh-CN"/>
        </w:rPr>
      </w:pPr>
      <w:r>
        <w:rPr>
          <w:b/>
          <w:bCs/>
        </w:rPr>
        <w:t>T</w:t>
      </w:r>
      <w:r>
        <w:rPr>
          <w:b/>
          <w:bCs/>
          <w:vertAlign w:val="subscript"/>
        </w:rPr>
        <w:t>activation_time</w:t>
      </w:r>
      <w:r>
        <w:rPr>
          <w:rFonts w:hint="eastAsia" w:eastAsia="宋体"/>
          <w:color w:val="auto"/>
          <w:sz w:val="20"/>
          <w:szCs w:val="20"/>
          <w:highlight w:val="none"/>
          <w:lang w:val="en-US" w:eastAsia="zh-CN"/>
        </w:rPr>
        <w:t xml:space="preserve"> =</w:t>
      </w:r>
      <w:r>
        <w:rPr>
          <w:rFonts w:hint="eastAsia" w:eastAsia="宋体"/>
          <w:b/>
          <w:bCs/>
          <w:vertAlign w:val="subscript"/>
          <w:lang w:val="en-US" w:eastAsia="zh-CN"/>
        </w:rPr>
        <w:t xml:space="preserve"> </w:t>
      </w:r>
      <w:r>
        <w:rPr>
          <w:rFonts w:eastAsia="宋体"/>
          <w:lang w:val="it-IT" w:eastAsia="zh-CN"/>
        </w:rPr>
        <w:t>3ms + T</w:t>
      </w:r>
      <w:r>
        <w:rPr>
          <w:rFonts w:eastAsia="宋体"/>
          <w:vertAlign w:val="subscript"/>
          <w:lang w:val="it-IT" w:eastAsia="zh-CN"/>
        </w:rPr>
        <w:t xml:space="preserve">FirstSSB_MAX </w:t>
      </w:r>
      <w:r>
        <w:rPr>
          <w:rFonts w:eastAsia="宋体"/>
          <w:lang w:val="it-IT" w:eastAsia="zh-CN"/>
        </w:rPr>
        <w:t>+ 15*T</w:t>
      </w:r>
      <w:r>
        <w:rPr>
          <w:rFonts w:eastAsia="宋体"/>
          <w:vertAlign w:val="subscript"/>
          <w:lang w:val="it-IT" w:eastAsia="zh-CN"/>
        </w:rPr>
        <w:t xml:space="preserve">SMTC_MAX </w:t>
      </w:r>
      <w:r>
        <w:rPr>
          <w:rFonts w:eastAsia="宋体"/>
          <w:lang w:val="it-IT" w:eastAsia="zh-CN"/>
        </w:rPr>
        <w:t>+ 8*T</w:t>
      </w:r>
      <w:r>
        <w:rPr>
          <w:rFonts w:eastAsia="宋体"/>
          <w:vertAlign w:val="subscript"/>
          <w:lang w:val="it-IT" w:eastAsia="zh-CN"/>
        </w:rPr>
        <w:t>rs</w:t>
      </w:r>
      <w:r>
        <w:rPr>
          <w:rFonts w:eastAsia="宋体"/>
          <w:lang w:val="it-IT" w:eastAsia="zh-CN"/>
        </w:rPr>
        <w:t xml:space="preserve"> + T</w:t>
      </w:r>
      <w:r>
        <w:rPr>
          <w:rFonts w:eastAsia="宋体"/>
          <w:vertAlign w:val="subscript"/>
          <w:lang w:val="it-IT" w:eastAsia="zh-CN"/>
        </w:rPr>
        <w:t>L1-RSRP, measure</w:t>
      </w:r>
      <w:r>
        <w:rPr>
          <w:rFonts w:eastAsia="宋体"/>
          <w:lang w:val="it-IT" w:eastAsia="zh-CN"/>
        </w:rPr>
        <w:t xml:space="preserve"> + T</w:t>
      </w:r>
      <w:r>
        <w:rPr>
          <w:rFonts w:eastAsia="宋体"/>
          <w:vertAlign w:val="subscript"/>
          <w:lang w:val="it-IT" w:eastAsia="zh-CN"/>
        </w:rPr>
        <w:t>L1-RSRP, report</w:t>
      </w:r>
    </w:p>
    <w:p>
      <w:pPr>
        <w:pStyle w:val="4"/>
        <w:rPr>
          <w:rFonts w:eastAsia="宋体"/>
          <w:lang w:val="it-IT" w:eastAsia="zh-CN"/>
        </w:rPr>
      </w:pPr>
      <w:r>
        <w:rPr>
          <w:rFonts w:eastAsia="宋体"/>
          <w:lang w:val="it-IT" w:eastAsia="zh-CN"/>
        </w:rPr>
        <w:t>+ max {(T</w:t>
      </w:r>
      <w:r>
        <w:rPr>
          <w:rFonts w:eastAsia="宋体"/>
          <w:vertAlign w:val="subscript"/>
          <w:lang w:val="it-IT" w:eastAsia="zh-CN"/>
        </w:rPr>
        <w:t>HARQ</w:t>
      </w:r>
      <w:r>
        <w:rPr>
          <w:rFonts w:eastAsia="宋体"/>
          <w:lang w:val="it-IT" w:eastAsia="zh-CN"/>
        </w:rPr>
        <w:t xml:space="preserve"> + T</w:t>
      </w:r>
      <w:r>
        <w:rPr>
          <w:rFonts w:eastAsia="宋体"/>
          <w:vertAlign w:val="subscript"/>
          <w:lang w:val="it-IT" w:eastAsia="zh-CN"/>
        </w:rPr>
        <w:t>uncertainty_MAC</w:t>
      </w:r>
      <w:r>
        <w:rPr>
          <w:rFonts w:eastAsia="宋体"/>
          <w:lang w:val="it-IT" w:eastAsia="zh-CN"/>
        </w:rPr>
        <w:t xml:space="preserve"> + 5ms + T</w:t>
      </w:r>
      <w:r>
        <w:rPr>
          <w:rFonts w:eastAsia="宋体"/>
          <w:vertAlign w:val="subscript"/>
          <w:lang w:val="it-IT" w:eastAsia="zh-CN"/>
        </w:rPr>
        <w:t>FineTiming</w:t>
      </w:r>
      <w:r>
        <w:rPr>
          <w:rFonts w:eastAsia="宋体"/>
          <w:lang w:val="it-IT" w:eastAsia="zh-CN"/>
        </w:rPr>
        <w:t>), (T</w:t>
      </w:r>
      <w:r>
        <w:rPr>
          <w:rFonts w:eastAsia="宋体"/>
          <w:vertAlign w:val="subscript"/>
          <w:lang w:val="it-IT" w:eastAsia="zh-CN"/>
        </w:rPr>
        <w:t>uncertainty_RRC</w:t>
      </w:r>
      <w:r>
        <w:rPr>
          <w:rFonts w:eastAsia="宋体"/>
          <w:lang w:val="it-IT" w:eastAsia="zh-CN"/>
        </w:rPr>
        <w:t xml:space="preserve"> + T</w:t>
      </w:r>
      <w:r>
        <w:rPr>
          <w:rFonts w:eastAsia="宋体"/>
          <w:vertAlign w:val="subscript"/>
          <w:lang w:val="it-IT" w:eastAsia="zh-CN"/>
        </w:rPr>
        <w:t>RRC_delay</w:t>
      </w:r>
      <w:r>
        <w:rPr>
          <w:rFonts w:eastAsia="宋体"/>
          <w:lang w:val="it-IT" w:eastAsia="zh-CN"/>
        </w:rPr>
        <w:t>)}</w:t>
      </w:r>
    </w:p>
    <w:p>
      <w:pPr>
        <w:pStyle w:val="4"/>
        <w:rPr>
          <w:rFonts w:hint="eastAsia" w:eastAsia="宋体"/>
          <w:lang w:val="en-US" w:eastAsia="zh-CN"/>
        </w:rPr>
      </w:pPr>
      <w:r>
        <w:rPr>
          <w:rFonts w:hint="eastAsia" w:eastAsia="宋体"/>
          <w:lang w:val="en-US" w:eastAsia="zh-CN"/>
        </w:rPr>
        <w:t xml:space="preserve">For Case 1, one condition should be satisfied that the active serving cell and to-be-activated SCell are intra-band and </w:t>
      </w:r>
      <w:r>
        <w:rPr>
          <w:rFonts w:hint="eastAsia" w:eastAsia="宋体"/>
          <w:highlight w:val="none"/>
          <w:lang w:val="en-US" w:eastAsia="zh-CN"/>
        </w:rPr>
        <w:t>they are QCLed with type D</w:t>
      </w:r>
      <w:r>
        <w:rPr>
          <w:rFonts w:hint="eastAsia" w:eastAsia="宋体"/>
          <w:lang w:val="en-US" w:eastAsia="zh-CN"/>
        </w:rPr>
        <w:t>. So only RF warm up or RM warm up plus fine time/frequency tracking are necessary.</w:t>
      </w:r>
    </w:p>
    <w:p>
      <w:pPr>
        <w:pStyle w:val="4"/>
        <w:rPr>
          <w:rFonts w:hint="eastAsia" w:eastAsia="宋体"/>
          <w:lang w:val="en-US" w:eastAsia="zh-CN"/>
        </w:rPr>
      </w:pPr>
      <w:r>
        <w:rPr>
          <w:rFonts w:hint="eastAsia" w:eastAsia="宋体"/>
          <w:lang w:val="en-US" w:eastAsia="zh-CN"/>
        </w:rPr>
        <w:t xml:space="preserve">For Case 2, since not any active serving cell in the same band, so UE does not known the TCI state and spatial downlink transmission filter, therefore UE needs further beam detection or Rx beam sweeping. </w:t>
      </w:r>
    </w:p>
    <w:p>
      <w:pPr>
        <w:pStyle w:val="4"/>
        <w:rPr>
          <w:rFonts w:hint="eastAsia" w:eastAsia="宋体"/>
          <w:lang w:val="en-US" w:eastAsia="zh-CN"/>
        </w:rPr>
      </w:pPr>
      <w:r>
        <w:rPr>
          <w:rFonts w:hint="eastAsia" w:eastAsia="宋体"/>
          <w:lang w:val="en-US" w:eastAsia="zh-CN"/>
        </w:rPr>
        <w:t>For Case 3, UE needs to perform cell detection to acquire coarse timing for the to-be-activated SCell. Since not any reference gain can be shared from other active serving cell, so UE needs to perform AGC so as to settle the gain setting for the to-be-activated SCell. Further more, UE needs to perform L1-RSRP measurement and report so as to help NW to finish TCI selection. Similar as the above two cases, fine time/frequency tracking is also necessary. During the SCell activation procedure, based on UE</w:t>
      </w:r>
      <w:r>
        <w:rPr>
          <w:rFonts w:hint="default" w:eastAsia="宋体"/>
          <w:lang w:val="en-US" w:eastAsia="zh-CN"/>
        </w:rPr>
        <w:t>’</w:t>
      </w:r>
      <w:r>
        <w:rPr>
          <w:rFonts w:hint="eastAsia" w:eastAsia="宋体"/>
          <w:lang w:val="en-US" w:eastAsia="zh-CN"/>
        </w:rPr>
        <w:t>s L1-RSRP report, NW can identify active TCI state and indicate it to UE, then UE would receive TCI state indication.</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Observation 1: During unknown FR2 SCell activation procedure in Rel-16, it can be show that the process of L1-RSRP measurement and report, TCI indication latency are involved in the total activation latency.</w:t>
      </w:r>
    </w:p>
    <w:p>
      <w:pPr>
        <w:pStyle w:val="4"/>
        <w:rPr>
          <w:rFonts w:hint="default" w:eastAsia="宋体"/>
          <w:lang w:val="en-US" w:eastAsia="zh-CN"/>
        </w:rPr>
      </w:pPr>
      <w:r>
        <w:rPr>
          <w:rFonts w:hint="eastAsia" w:eastAsia="宋体"/>
          <w:lang w:val="en-US" w:eastAsia="zh-CN"/>
        </w:rPr>
        <w:t>Actually during the discussion of SCell activation in Rel-15, RAN4 has some debate around the unknown FR2 SCell activation latency. Whether L1-RSRP measurement and report is necessary, and whether TCI indication latency should be included are hot issues. All these can be our starting point for the latency reduction of unknown FR2 SCell activation.</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So as to reduce the latency of unknown FR2 SCell activation, whether L1-RSRP measurement and report can be omitted, which should be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Whether the TCI state indication can be acquired by UE before SCell activation or not, which would impact the total latency. Which should be considered.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order to reduce the L1-RSRP measurement latency, the following solution can be considered:</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Rx beam number reduction</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general we have the assumption of 8 Rx beam for UE Rx beam sweeping. So as to reduce the latency of SCell activation, whether smaller number of Rx beam can be assumed for unknown to-be-activated SCell, which can be further studied. Since after the finish of SCell activation, UE can perform L1-RSRP measurement with the assumption of 8 Rx beams. Such Rx beam number reduction only applies to the SCell activation procedure. Therefore we infer only tiny or no performance loss would be caused. But obvious reduction of the SCell activation latency is expected. Of course, if some performance evaluation can prove this, this solution can be more convinced.</w:t>
      </w:r>
    </w:p>
    <w:p>
      <w:pPr>
        <w:pStyle w:val="4"/>
        <w:numPr>
          <w:ilvl w:val="0"/>
          <w:numId w:val="5"/>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Limited L1-RSRP measurement</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The motivation of L1-RSRP measurement and report is to guarantee NW can acquire the TCI state information so as to decide one suitable TCI state and indicate it to UE. For the unknown case, which means known condition is not fulfilled, the known condition is defined as follows.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tabs>
                <w:tab w:val="left" w:pos="0"/>
              </w:tabs>
              <w:kinsoku/>
              <w:wordWrap/>
              <w:overflowPunct/>
              <w:topLinePunct w:val="0"/>
              <w:autoSpaceDE/>
              <w:autoSpaceDN/>
              <w:bidi w:val="0"/>
              <w:adjustRightInd/>
              <w:snapToGrid/>
              <w:textAlignment w:val="auto"/>
              <w:rPr>
                <w:sz w:val="18"/>
                <w:szCs w:val="18"/>
                <w:lang w:eastAsia="zh-CN"/>
              </w:rPr>
            </w:pPr>
            <w:r>
              <w:rPr>
                <w:sz w:val="18"/>
                <w:szCs w:val="18"/>
                <w:lang w:eastAsia="zh-CN"/>
              </w:rPr>
              <w:t xml:space="preserve">For the first SCell activation in </w:t>
            </w:r>
            <w:r>
              <w:rPr>
                <w:sz w:val="18"/>
                <w:szCs w:val="18"/>
                <w:highlight w:val="yellow"/>
                <w:lang w:eastAsia="zh-CN"/>
              </w:rPr>
              <w:t xml:space="preserve">FR2 </w:t>
            </w:r>
            <w:r>
              <w:rPr>
                <w:sz w:val="18"/>
                <w:szCs w:val="18"/>
                <w:lang w:eastAsia="zh-CN"/>
              </w:rPr>
              <w:t>bands, the SCell is known if it has been meeting the following conditions:</w:t>
            </w:r>
          </w:p>
          <w:p>
            <w:pPr>
              <w:pStyle w:val="29"/>
              <w:keepNext w:val="0"/>
              <w:keepLines w:val="0"/>
              <w:pageBreakBefore w:val="0"/>
              <w:widowControl w:val="0"/>
              <w:kinsoku/>
              <w:wordWrap/>
              <w:overflowPunct/>
              <w:topLinePunct w:val="0"/>
              <w:autoSpaceDE/>
              <w:autoSpaceDN/>
              <w:bidi w:val="0"/>
              <w:adjustRightInd/>
              <w:snapToGrid/>
              <w:textAlignment w:val="auto"/>
              <w:rPr>
                <w:sz w:val="18"/>
                <w:szCs w:val="18"/>
              </w:rPr>
            </w:pPr>
            <w:r>
              <w:rPr>
                <w:sz w:val="18"/>
                <w:szCs w:val="18"/>
              </w:rPr>
              <w:t>-</w:t>
            </w:r>
            <w:r>
              <w:rPr>
                <w:sz w:val="18"/>
                <w:szCs w:val="18"/>
              </w:rPr>
              <w:tab/>
            </w:r>
            <w:r>
              <w:rPr>
                <w:sz w:val="18"/>
                <w:szCs w:val="18"/>
              </w:rPr>
              <w:t>During the perio</w:t>
            </w:r>
            <w:r>
              <w:rPr>
                <w:sz w:val="18"/>
                <w:szCs w:val="18"/>
                <w:highlight w:val="none"/>
              </w:rPr>
              <w:t xml:space="preserve">d equal to </w:t>
            </w:r>
            <w:r>
              <w:rPr>
                <w:sz w:val="18"/>
                <w:szCs w:val="18"/>
                <w:highlight w:val="none"/>
                <w:lang w:eastAsia="zh-CN"/>
              </w:rPr>
              <w:t>4s for UE supporting power class 1/5 and 3s</w:t>
            </w:r>
            <w:r>
              <w:rPr>
                <w:sz w:val="18"/>
                <w:szCs w:val="18"/>
                <w:lang w:eastAsia="zh-CN"/>
              </w:rPr>
              <w:t xml:space="preserve"> for UE supporting power class 2/3/4 before UE receives the last activation command for PDCCH TCI, PDSCH TCI (when applicable) and semi-persistent CSI-RS for CQI reporting (when applicable)</w:t>
            </w:r>
            <w:r>
              <w:rPr>
                <w:sz w:val="18"/>
                <w:szCs w:val="18"/>
              </w:rPr>
              <w:t>:</w:t>
            </w:r>
          </w:p>
          <w:p>
            <w:pPr>
              <w:pStyle w:val="56"/>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default" w:eastAsia="宋体"/>
                <w:sz w:val="18"/>
                <w:szCs w:val="18"/>
                <w:lang w:val="en-US" w:eastAsia="zh-CN"/>
              </w:rPr>
            </w:pPr>
            <w:r>
              <w:rPr>
                <w:sz w:val="18"/>
                <w:szCs w:val="18"/>
              </w:rPr>
              <w:t>-</w:t>
            </w:r>
            <w:r>
              <w:rPr>
                <w:sz w:val="18"/>
                <w:szCs w:val="18"/>
              </w:rPr>
              <w:tab/>
            </w:r>
            <w:r>
              <w:rPr>
                <w:sz w:val="18"/>
                <w:szCs w:val="18"/>
              </w:rPr>
              <w:t>the UE has sent a valid</w:t>
            </w:r>
            <w:r>
              <w:rPr>
                <w:sz w:val="18"/>
                <w:szCs w:val="18"/>
                <w:lang w:eastAsia="zh-CN"/>
              </w:rPr>
              <w:t xml:space="preserve"> </w:t>
            </w:r>
            <w:r>
              <w:rPr>
                <w:sz w:val="18"/>
                <w:szCs w:val="18"/>
                <w:highlight w:val="yellow"/>
                <w:lang w:eastAsia="zh-CN"/>
              </w:rPr>
              <w:t>L3-RSRP</w:t>
            </w:r>
            <w:r>
              <w:rPr>
                <w:sz w:val="18"/>
                <w:szCs w:val="18"/>
                <w:highlight w:val="yellow"/>
              </w:rPr>
              <w:t xml:space="preserve"> measurement report</w:t>
            </w:r>
            <w:r>
              <w:rPr>
                <w:sz w:val="18"/>
                <w:szCs w:val="18"/>
                <w:lang w:eastAsia="zh-CN"/>
              </w:rPr>
              <w:t xml:space="preserve"> with SSB index</w:t>
            </w:r>
          </w:p>
          <w:p>
            <w:pPr>
              <w:pStyle w:val="56"/>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sz w:val="18"/>
                <w:szCs w:val="18"/>
                <w:lang w:eastAsia="zh-CN"/>
              </w:rPr>
            </w:pPr>
            <w:r>
              <w:rPr>
                <w:sz w:val="18"/>
                <w:szCs w:val="18"/>
              </w:rPr>
              <w:t>-</w:t>
            </w:r>
            <w:r>
              <w:rPr>
                <w:sz w:val="18"/>
                <w:szCs w:val="18"/>
              </w:rPr>
              <w:tab/>
            </w:r>
            <w:r>
              <w:rPr>
                <w:sz w:val="18"/>
                <w:szCs w:val="18"/>
              </w:rPr>
              <w:t>SCell activation command is received after L3-RSRP reporting and no later than the time when UE receives MAC-CE command for TCI activation</w:t>
            </w:r>
          </w:p>
          <w:p>
            <w:pPr>
              <w:pStyle w:val="29"/>
              <w:keepNext w:val="0"/>
              <w:keepLines w:val="0"/>
              <w:pageBreakBefore w:val="0"/>
              <w:widowControl w:val="0"/>
              <w:kinsoku/>
              <w:wordWrap/>
              <w:overflowPunct/>
              <w:topLinePunct w:val="0"/>
              <w:autoSpaceDE/>
              <w:autoSpaceDN/>
              <w:bidi w:val="0"/>
              <w:adjustRightInd/>
              <w:snapToGrid/>
              <w:textAlignment w:val="auto"/>
              <w:rPr>
                <w:rFonts w:hint="default" w:eastAsia="宋体"/>
                <w:color w:val="auto"/>
                <w:sz w:val="20"/>
                <w:szCs w:val="20"/>
                <w:highlight w:val="none"/>
                <w:vertAlign w:val="baseline"/>
                <w:lang w:val="en-US" w:eastAsia="zh-CN"/>
              </w:rPr>
            </w:pPr>
            <w:r>
              <w:rPr>
                <w:sz w:val="18"/>
                <w:szCs w:val="18"/>
                <w:lang w:eastAsia="zh-CN"/>
              </w:rPr>
              <w:t>-</w:t>
            </w:r>
            <w:r>
              <w:rPr>
                <w:sz w:val="18"/>
                <w:szCs w:val="18"/>
                <w:lang w:eastAsia="zh-CN"/>
              </w:rPr>
              <w:tab/>
            </w:r>
            <w:r>
              <w:rPr>
                <w:sz w:val="18"/>
                <w:szCs w:val="18"/>
                <w:lang w:eastAsia="zh-CN"/>
              </w:rPr>
              <w:t>During the period from L3-RSRP reporting to the valid CQI reporting, the</w:t>
            </w:r>
            <w:r>
              <w:rPr>
                <w:sz w:val="18"/>
                <w:szCs w:val="18"/>
              </w:rPr>
              <w:t xml:space="preserve"> </w:t>
            </w:r>
            <w:r>
              <w:rPr>
                <w:sz w:val="18"/>
                <w:szCs w:val="18"/>
                <w:lang w:eastAsia="zh-CN"/>
              </w:rPr>
              <w:t xml:space="preserve">reported </w:t>
            </w:r>
            <w:r>
              <w:rPr>
                <w:sz w:val="18"/>
                <w:szCs w:val="18"/>
              </w:rPr>
              <w:t>SSB</w:t>
            </w:r>
            <w:r>
              <w:rPr>
                <w:sz w:val="18"/>
                <w:szCs w:val="18"/>
                <w:lang w:eastAsia="zh-CN"/>
              </w:rPr>
              <w:t>s</w:t>
            </w:r>
            <w:r>
              <w:rPr>
                <w:sz w:val="18"/>
                <w:szCs w:val="18"/>
              </w:rPr>
              <w:t xml:space="preserve"> </w:t>
            </w:r>
            <w:r>
              <w:rPr>
                <w:sz w:val="18"/>
                <w:szCs w:val="18"/>
                <w:lang w:eastAsia="zh-CN"/>
              </w:rPr>
              <w:t xml:space="preserve">with indexes </w:t>
            </w:r>
            <w:r>
              <w:rPr>
                <w:sz w:val="18"/>
                <w:szCs w:val="18"/>
              </w:rPr>
              <w:t xml:space="preserve">remain </w:t>
            </w:r>
            <w:r>
              <w:rPr>
                <w:sz w:val="18"/>
                <w:szCs w:val="18"/>
                <w:highlight w:val="yellow"/>
              </w:rPr>
              <w:t xml:space="preserve">detectable </w:t>
            </w:r>
            <w:r>
              <w:rPr>
                <w:sz w:val="18"/>
                <w:szCs w:val="18"/>
              </w:rPr>
              <w:t xml:space="preserve">according to the cell identification conditions specified in </w:t>
            </w:r>
            <w:r>
              <w:rPr>
                <w:sz w:val="18"/>
                <w:szCs w:val="18"/>
                <w:lang w:val="en-US"/>
              </w:rPr>
              <w:t>clauses</w:t>
            </w:r>
            <w:r>
              <w:rPr>
                <w:sz w:val="18"/>
                <w:szCs w:val="18"/>
              </w:rPr>
              <w:t xml:space="preserve"> 9.2 and 9.3</w:t>
            </w:r>
            <w:r>
              <w:rPr>
                <w:sz w:val="18"/>
                <w:szCs w:val="18"/>
                <w:lang w:eastAsia="zh-CN"/>
              </w:rPr>
              <w:t>, and the TCI state is selected based on one of the latest reported SSB indexes</w:t>
            </w:r>
            <w:r>
              <w:rPr>
                <w:sz w:val="18"/>
                <w:szCs w:val="18"/>
              </w:rPr>
              <w:t>.</w:t>
            </w:r>
            <w:r>
              <w:rPr>
                <w:rFonts w:hint="eastAsia"/>
                <w:sz w:val="18"/>
                <w:szCs w:val="18"/>
                <w:lang w:val="en-US" w:eastAsia="zh-CN"/>
              </w:rPr>
              <w:t xml:space="preserve"> </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It can be shown that whether NW has some history beam information in this to-be-activated SCell based on the previous or old L1-RSRP report is uncertain. If NW has such information, then during the SCell activation, UE can only perform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limited</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L1-RSRP measurement. Here the so called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limited</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can be limited RS resource number or limited measurement sample.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So as to reduce the SCell activation for an unknown FR2 SCell, two solutions including Rx beam number reduction and limited L1-RSRP measurement can be considered.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Except for the above two solutions, another situation can be considered. For the case of IBM disabled, maybe the UE would receive DL transmissions from different serving cells with the same Rx beam assumption. If UE can identify the Rx beam for one of active serving cells, then it is possible that UE would use the same Rx beam to receive DL transmission from this to-be-activated SCell. In such case, not any L1-RSRP measurement and report is necessary.</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case of IBM disabled, maybe the UE would receive DL transmissions from different serving cells with the same Rx beam assumption. In such case, not any L1-RSRP measurement and report is necessary for this to-be-activated SCells if one active serving cell existing.</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We believe when the TCI state indication acquired by UE, which depends on the L1-RSRP measurement and report by UE. There are two candidates: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Candidate 1: SCell activation command comes before MAC-CE command for TCI state activation</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Candidate 2: SCell activation and TCI state activation are bundled in the same command</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Figure 1 and Figure2 illustrate Candidate 1 and Candidate 2 respectively.</w:t>
      </w:r>
    </w:p>
    <w:p>
      <w:pPr>
        <w:pStyle w:val="4"/>
        <w:jc w:val="center"/>
      </w:pPr>
      <w:r>
        <w:object>
          <v:shape id="_x0000_i1025" o:spt="75" type="#_x0000_t75" style="height:118.65pt;width:445.2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pStyle w:val="4"/>
        <w:jc w:val="center"/>
        <w:rPr>
          <w:rFonts w:hint="default" w:eastAsia="宋体"/>
          <w:lang w:val="en-US" w:eastAsia="zh-CN"/>
        </w:rPr>
      </w:pPr>
      <w:r>
        <w:rPr>
          <w:rFonts w:hint="eastAsia" w:eastAsia="宋体"/>
          <w:lang w:val="en-US" w:eastAsia="zh-CN"/>
        </w:rPr>
        <w:t>Figure 1: SCell activation command comes before TCI state activation command</w:t>
      </w:r>
    </w:p>
    <w:p>
      <w:pPr>
        <w:pStyle w:val="4"/>
        <w:jc w:val="center"/>
      </w:pPr>
      <w:r>
        <w:object>
          <v:shape id="_x0000_i1026" o:spt="75" type="#_x0000_t75" style="height:123.25pt;width:448.1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4"/>
        <w:jc w:val="center"/>
        <w:rPr>
          <w:rFonts w:hint="eastAsia" w:eastAsia="宋体"/>
          <w:lang w:val="en-US" w:eastAsia="zh-CN"/>
        </w:rPr>
      </w:pPr>
      <w:r>
        <w:rPr>
          <w:rFonts w:hint="eastAsia" w:eastAsia="宋体"/>
          <w:lang w:val="en-US" w:eastAsia="zh-CN"/>
        </w:rPr>
        <w:t>Figure 2: SCell activation and TCI state activation are bundled in the same command</w:t>
      </w:r>
    </w:p>
    <w:p>
      <w:pPr>
        <w:pStyle w:val="4"/>
        <w:jc w:val="both"/>
        <w:rPr>
          <w:rFonts w:hint="default" w:eastAsia="宋体"/>
          <w:lang w:val="en-US" w:eastAsia="zh-CN"/>
        </w:rPr>
      </w:pPr>
      <w:r>
        <w:rPr>
          <w:rFonts w:hint="eastAsia" w:eastAsia="宋体"/>
          <w:lang w:val="en-US" w:eastAsia="zh-CN"/>
        </w:rPr>
        <w:t>Candidate 2 is more efficient than Candidate 1. But which depends on whether NW has identified the TCI state. In normal case, we usually assume UE should firstly perform L1-RSRP measurement and report then NW can identify suitable TCI state and indicate it to UE. So whether and how to identify TCI state without L1-RSRP measurement and report, which is the core issue for latency reduction for unknown case.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Whether and how to identify TCI state without L1-RSRP measurement and report, which is the core issue for latency reduction for unknown case.</w:t>
      </w:r>
    </w:p>
    <w:p>
      <w:pPr>
        <w:pStyle w:val="4"/>
        <w:rPr>
          <w:rFonts w:hint="eastAsia" w:eastAsia="宋体"/>
          <w:lang w:val="en-US" w:eastAsia="zh-CN"/>
        </w:rPr>
      </w:pPr>
      <w:r>
        <w:rPr>
          <w:rFonts w:hint="eastAsia" w:eastAsia="宋体"/>
          <w:lang w:val="en-US" w:eastAsia="zh-CN"/>
        </w:rPr>
        <w:t xml:space="preserve">From the perspective of AGC, if the processing latency of AGC can be decreased, the total latency would be reduced. In the latency requirement, the scaling factor of 8 was assumed for AGC, so the processing latency of AGC is </w:t>
      </w:r>
      <w:r>
        <w:rPr>
          <w:rFonts w:eastAsia="宋体"/>
          <w:lang w:val="en-US" w:eastAsia="zh-CN"/>
        </w:rPr>
        <w:t>T</w:t>
      </w:r>
      <w:r>
        <w:rPr>
          <w:rFonts w:eastAsia="宋体"/>
          <w:vertAlign w:val="subscript"/>
          <w:lang w:val="en-US" w:eastAsia="zh-CN"/>
        </w:rPr>
        <w:t>FirstSSB_MAX</w:t>
      </w:r>
      <w:r>
        <w:rPr>
          <w:rFonts w:eastAsia="宋体"/>
          <w:lang w:val="en-US" w:eastAsia="zh-CN"/>
        </w:rPr>
        <w:t xml:space="preserve"> + 15*T</w:t>
      </w:r>
      <w:r>
        <w:rPr>
          <w:rFonts w:eastAsia="宋体"/>
          <w:vertAlign w:val="subscript"/>
          <w:lang w:val="en-US" w:eastAsia="zh-CN"/>
        </w:rPr>
        <w:t>SMTC_MAX</w:t>
      </w:r>
      <w:r>
        <w:rPr>
          <w:rFonts w:hint="eastAsia" w:eastAsia="宋体"/>
          <w:lang w:val="en-US" w:eastAsia="zh-CN"/>
        </w:rPr>
        <w:t>. Whether such latency can be reduced, such as reduced to 8</w:t>
      </w:r>
      <w:r>
        <w:rPr>
          <w:rFonts w:eastAsia="宋体"/>
          <w:lang w:val="en-US" w:eastAsia="zh-CN"/>
        </w:rPr>
        <w:t>*T</w:t>
      </w:r>
      <w:r>
        <w:rPr>
          <w:rFonts w:eastAsia="宋体"/>
          <w:vertAlign w:val="subscript"/>
          <w:lang w:val="en-US" w:eastAsia="zh-CN"/>
        </w:rPr>
        <w:t>SMTC_MAX</w:t>
      </w:r>
      <w:r>
        <w:rPr>
          <w:rFonts w:hint="eastAsia" w:eastAsia="宋体"/>
          <w:lang w:val="en-US" w:eastAsia="zh-CN"/>
        </w:rPr>
        <w:t>, which can be further discussed during this WID.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Based on the assumption of scaling factor 8, whether the processing latency of AGC can be reduced, should be further discussed.</w:t>
      </w:r>
    </w:p>
    <w:p>
      <w:pPr>
        <w:pStyle w:val="4"/>
        <w:rPr>
          <w:rFonts w:hint="eastAsia" w:eastAsia="宋体"/>
          <w:bCs/>
          <w:color w:val="auto"/>
          <w:sz w:val="20"/>
          <w:szCs w:val="20"/>
          <w:lang w:val="en-US" w:eastAsia="zh-CN"/>
        </w:rPr>
      </w:pPr>
      <w:r>
        <w:rPr>
          <w:rFonts w:hint="eastAsia" w:eastAsia="宋体"/>
          <w:bCs/>
          <w:color w:val="auto"/>
          <w:sz w:val="20"/>
          <w:szCs w:val="20"/>
          <w:lang w:val="en-US" w:eastAsia="zh-CN"/>
        </w:rPr>
        <w:t>Another issue is that whether the latency reduction in FR2 can be applicable to FR1, this should be identified after RAN4 has determined which processes can be more efficient. If the corresponding operation is also applicable to FR1, then the reduction can be feasible for FR1.</w:t>
      </w:r>
    </w:p>
    <w:p>
      <w:pPr>
        <w:pStyle w:val="4"/>
        <w:rPr>
          <w:rFonts w:hint="eastAsia" w:eastAsia="宋体"/>
          <w:bCs/>
          <w:color w:val="auto"/>
          <w:sz w:val="20"/>
          <w:szCs w:val="20"/>
          <w:lang w:val="en-US" w:eastAsia="zh-CN"/>
        </w:rPr>
      </w:pPr>
      <w:r>
        <w:rPr>
          <w:rFonts w:hint="eastAsia" w:eastAsia="宋体"/>
          <w:bCs/>
          <w:color w:val="auto"/>
          <w:sz w:val="20"/>
          <w:szCs w:val="20"/>
          <w:lang w:val="en-US" w:eastAsia="zh-CN"/>
        </w:rPr>
        <w:t xml:space="preserve">Further more, except for the latency reduction, the reduction of UE energy consumption under CA case is also meaningful. In addition to energy saving, adding or activating some SCell without SSB or SSB-less can be used to </w:t>
      </w:r>
      <w:r>
        <w:rPr>
          <w:rFonts w:hint="eastAsia" w:eastAsia="宋体"/>
          <w:bCs/>
          <w:color w:val="auto"/>
          <w:sz w:val="20"/>
          <w:szCs w:val="20"/>
          <w:highlight w:val="none"/>
          <w:lang w:val="en-US" w:eastAsia="zh-CN"/>
        </w:rPr>
        <w:t>achieve latency reduction</w:t>
      </w:r>
      <w:r>
        <w:rPr>
          <w:rFonts w:hint="eastAsia" w:eastAsia="宋体"/>
          <w:bCs/>
          <w:color w:val="auto"/>
          <w:sz w:val="20"/>
          <w:szCs w:val="20"/>
          <w:lang w:val="en-US" w:eastAsia="zh-CN"/>
        </w:rPr>
        <w:t xml:space="preserve">. Respect to SCell activation procedure, since the current SCell activation depends on SSB or TRS, if without SSB, then the procedure of SCell activation needs some update. In fact the SCell without SSB has been supported under intra-band CA in Rel-16. Even the corresponding UE capability of </w:t>
      </w:r>
      <w:r>
        <w:rPr>
          <w:rFonts w:hint="eastAsia" w:eastAsia="宋体"/>
          <w:bCs/>
          <w:i/>
          <w:iCs/>
          <w:color w:val="auto"/>
          <w:sz w:val="20"/>
          <w:szCs w:val="20"/>
          <w:lang w:val="en-US" w:eastAsia="zh-CN"/>
        </w:rPr>
        <w:t xml:space="preserve">scellWithoutSSB </w:t>
      </w:r>
      <w:r>
        <w:rPr>
          <w:rFonts w:hint="eastAsia" w:eastAsia="宋体"/>
          <w:bCs/>
          <w:color w:val="auto"/>
          <w:sz w:val="20"/>
          <w:szCs w:val="20"/>
          <w:lang w:val="en-US" w:eastAsia="zh-CN"/>
        </w:rPr>
        <w:t xml:space="preserve">is mandatory in Rel-16 intra-band CA, such SCell without SSB or SSB-less can be extended into inter-band CA, under the assumption of synchronization, it will be expected. Referring to this WID, the SCell activation procedure also needs some update when the to-be-activated SCell is the SCell without SSB or SSB-less.   </w:t>
      </w:r>
    </w:p>
    <w:p>
      <w:pPr>
        <w:pStyle w:val="4"/>
        <w:rPr>
          <w:rFonts w:hint="default" w:eastAsia="宋体"/>
          <w:bCs/>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7: To realize energy saving and latency reduction, similar as </w:t>
      </w:r>
      <w:r>
        <w:rPr>
          <w:rFonts w:hint="eastAsia" w:eastAsia="宋体"/>
          <w:b/>
          <w:bCs w:val="0"/>
          <w:i/>
          <w:iCs/>
          <w:color w:val="auto"/>
          <w:sz w:val="20"/>
          <w:szCs w:val="20"/>
          <w:lang w:val="en-US" w:eastAsia="zh-CN"/>
        </w:rPr>
        <w:t xml:space="preserve">scellWithoutSSB </w:t>
      </w:r>
      <w:r>
        <w:rPr>
          <w:rFonts w:hint="eastAsia" w:eastAsia="宋体" w:cs="Times New Roman"/>
          <w:b/>
          <w:bCs/>
          <w:color w:val="auto"/>
          <w:sz w:val="20"/>
          <w:szCs w:val="20"/>
          <w:highlight w:val="none"/>
          <w:lang w:val="en-US" w:eastAsia="zh-CN" w:bidi="ar-SA"/>
        </w:rPr>
        <w:t xml:space="preserve">defined for intra-band CA in Rel-16, the SCell without SSB or SSB-less can be considered for inter-band CA case. The corresponding SCell activation procedure needs some update for such SCell without SSB or SSB-less.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Observation 1: During unknown FR2 SCell activation procedure in Rel-16, it can be show that the process of L1-RSRP measurement and report, TCI indication latency are involved in the total activation latency.</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So as to reduce the latency of unknown FR2 SCell activation, whether L1-RSRP measurement and report can be omitted, which should be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Whether the TCI state indication can be acquired by UE before SCell activation or not, which would impact the total latency. Which should be considered.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So as to reduce the SCell activation for an unknown FR2 SCell, two solutions including Rx beam number reduction and limited L1-RSRP measurement can be considered.</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case of IBM disabled, maybe the UE would receive DL transmissions from different serving cells with the same Rx beam assumption. In such case, not any L1-RSRP measurement and report is necessary for this to-be-activated SCells if one active serving cell existing.</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Whether and how to identify TCI state without L1-RSRP measurement and report, which is the core issue for latency reduction for unknown case.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Based on the assumption of scaling factor 8, whether the processing latency of AGC can be reduced, should be further discussed.</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7: To realize energy saving, similar as </w:t>
      </w:r>
      <w:r>
        <w:rPr>
          <w:rFonts w:hint="eastAsia" w:eastAsia="宋体"/>
          <w:b/>
          <w:bCs w:val="0"/>
          <w:i/>
          <w:iCs/>
          <w:color w:val="auto"/>
          <w:sz w:val="20"/>
          <w:szCs w:val="20"/>
          <w:lang w:val="en-US" w:eastAsia="zh-CN"/>
        </w:rPr>
        <w:t xml:space="preserve">scellWithoutSSB </w:t>
      </w:r>
      <w:r>
        <w:rPr>
          <w:rFonts w:hint="eastAsia" w:eastAsia="宋体" w:cs="Times New Roman"/>
          <w:b/>
          <w:bCs/>
          <w:color w:val="auto"/>
          <w:sz w:val="20"/>
          <w:szCs w:val="20"/>
          <w:highlight w:val="none"/>
          <w:lang w:val="en-US" w:eastAsia="zh-CN" w:bidi="ar-SA"/>
        </w:rPr>
        <w:t xml:space="preserve">defined for intra-band CA in Rel-16, the SCell without SSB or SSB-less can be considered for inter-band CA case. The corresponding SCell activation procedure needs some update for such SCell withou SSB or SSB-less.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6"/>
        </w:numPr>
        <w:ind w:leftChars="0"/>
        <w:rPr>
          <w:rFonts w:hint="default" w:eastAsia="宋体"/>
          <w:color w:val="auto"/>
          <w:lang w:val="en-US" w:eastAsia="zh-CN"/>
        </w:rPr>
      </w:pPr>
      <w:r>
        <w:rPr>
          <w:rFonts w:hint="eastAsia"/>
          <w:lang w:val="en-US" w:eastAsia="zh-CN"/>
        </w:rPr>
        <w:t>RP-22</w:t>
      </w:r>
      <w:r>
        <w:rPr>
          <w:rFonts w:hint="eastAsia"/>
          <w:highlight w:val="none"/>
          <w:lang w:val="en-US" w:eastAsia="zh-CN"/>
        </w:rPr>
        <w:t>1696</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Even Further RRM enhancement for NR and MR-DC</w:t>
      </w:r>
      <w:r>
        <w:rPr>
          <w:rFonts w:hint="default"/>
          <w:color w:val="auto"/>
          <w:highlight w:val="none"/>
          <w:lang w:val="en-US" w:eastAsia="zh-CN"/>
        </w:rPr>
        <w:t>”</w:t>
      </w:r>
      <w:r>
        <w:rPr>
          <w:rFonts w:hint="eastAsia"/>
          <w:color w:val="auto"/>
          <w:highlight w:val="none"/>
          <w:lang w:val="en-US" w:eastAsia="zh-CN"/>
        </w:rPr>
        <w:t xml:space="preserve">, Apple, OPPO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4">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5">
    <w:nsid w:val="784CE163"/>
    <w:multiLevelType w:val="singleLevel"/>
    <w:tmpl w:val="784CE163"/>
    <w:lvl w:ilvl="0" w:tentative="0">
      <w:start w:val="1"/>
      <w:numFmt w:val="bullet"/>
      <w:lvlText w:val=""/>
      <w:lvlJc w:val="left"/>
      <w:pPr>
        <w:ind w:left="420" w:hanging="420"/>
      </w:pPr>
      <w:rPr>
        <w:rFonts w:hint="default" w:ascii="Wingdings" w:hAnsi="Wingdings"/>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7E115D"/>
    <w:rsid w:val="03D4720A"/>
    <w:rsid w:val="04654053"/>
    <w:rsid w:val="04793516"/>
    <w:rsid w:val="047A3CFF"/>
    <w:rsid w:val="05317828"/>
    <w:rsid w:val="05477E90"/>
    <w:rsid w:val="05BB5AB9"/>
    <w:rsid w:val="05C42923"/>
    <w:rsid w:val="06963BA6"/>
    <w:rsid w:val="07CD3CDD"/>
    <w:rsid w:val="0855671D"/>
    <w:rsid w:val="089009EB"/>
    <w:rsid w:val="09716BCA"/>
    <w:rsid w:val="09D64B23"/>
    <w:rsid w:val="09E644B8"/>
    <w:rsid w:val="0B12013A"/>
    <w:rsid w:val="0B3D3C2F"/>
    <w:rsid w:val="0BB0429A"/>
    <w:rsid w:val="0BFF5FC6"/>
    <w:rsid w:val="0C394019"/>
    <w:rsid w:val="10997F43"/>
    <w:rsid w:val="10DE7BAE"/>
    <w:rsid w:val="120774A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0933D8F"/>
    <w:rsid w:val="21014C39"/>
    <w:rsid w:val="21244EB1"/>
    <w:rsid w:val="213964D8"/>
    <w:rsid w:val="21595D04"/>
    <w:rsid w:val="21F13629"/>
    <w:rsid w:val="2305377E"/>
    <w:rsid w:val="24122135"/>
    <w:rsid w:val="24D4257E"/>
    <w:rsid w:val="25490B44"/>
    <w:rsid w:val="2572202B"/>
    <w:rsid w:val="2605683C"/>
    <w:rsid w:val="26BB1419"/>
    <w:rsid w:val="27B748AA"/>
    <w:rsid w:val="27CB4CB9"/>
    <w:rsid w:val="281C2F58"/>
    <w:rsid w:val="29642C4B"/>
    <w:rsid w:val="2A34628C"/>
    <w:rsid w:val="2A724D05"/>
    <w:rsid w:val="2A7E505C"/>
    <w:rsid w:val="2AC85686"/>
    <w:rsid w:val="2AD04B5F"/>
    <w:rsid w:val="2AF821D7"/>
    <w:rsid w:val="2BC05B2C"/>
    <w:rsid w:val="2BD617C5"/>
    <w:rsid w:val="2C112837"/>
    <w:rsid w:val="2E014790"/>
    <w:rsid w:val="2EE77680"/>
    <w:rsid w:val="2F2F0FC8"/>
    <w:rsid w:val="301C6BB6"/>
    <w:rsid w:val="30571E20"/>
    <w:rsid w:val="319708F2"/>
    <w:rsid w:val="31B14C9E"/>
    <w:rsid w:val="33C522D7"/>
    <w:rsid w:val="34807672"/>
    <w:rsid w:val="34921EC4"/>
    <w:rsid w:val="34A82967"/>
    <w:rsid w:val="35B06C6A"/>
    <w:rsid w:val="36941AA2"/>
    <w:rsid w:val="36D37423"/>
    <w:rsid w:val="379D23F9"/>
    <w:rsid w:val="3A185287"/>
    <w:rsid w:val="3A1F46B8"/>
    <w:rsid w:val="3A692CD0"/>
    <w:rsid w:val="3B270929"/>
    <w:rsid w:val="3B3D5571"/>
    <w:rsid w:val="3B673620"/>
    <w:rsid w:val="3B9A1F29"/>
    <w:rsid w:val="3CE4646B"/>
    <w:rsid w:val="3D5E7AA8"/>
    <w:rsid w:val="3D6F2596"/>
    <w:rsid w:val="3F836EE6"/>
    <w:rsid w:val="405F175E"/>
    <w:rsid w:val="40C765F3"/>
    <w:rsid w:val="41A2534B"/>
    <w:rsid w:val="42F869D2"/>
    <w:rsid w:val="43553536"/>
    <w:rsid w:val="4401111E"/>
    <w:rsid w:val="44972678"/>
    <w:rsid w:val="451632B9"/>
    <w:rsid w:val="45906394"/>
    <w:rsid w:val="45F60A50"/>
    <w:rsid w:val="46142D0C"/>
    <w:rsid w:val="46970A81"/>
    <w:rsid w:val="46B036BF"/>
    <w:rsid w:val="47282363"/>
    <w:rsid w:val="49DC4EAC"/>
    <w:rsid w:val="49E55BC5"/>
    <w:rsid w:val="4C1C63D6"/>
    <w:rsid w:val="4C864A35"/>
    <w:rsid w:val="4CD61886"/>
    <w:rsid w:val="4E015C76"/>
    <w:rsid w:val="4E310026"/>
    <w:rsid w:val="4E4A2325"/>
    <w:rsid w:val="4F5C5331"/>
    <w:rsid w:val="501A6C55"/>
    <w:rsid w:val="51B14BED"/>
    <w:rsid w:val="52526454"/>
    <w:rsid w:val="525C1CEF"/>
    <w:rsid w:val="528B5767"/>
    <w:rsid w:val="52D33625"/>
    <w:rsid w:val="53A3105E"/>
    <w:rsid w:val="53C64B93"/>
    <w:rsid w:val="548A6C60"/>
    <w:rsid w:val="55B1164D"/>
    <w:rsid w:val="55B4735E"/>
    <w:rsid w:val="55BB221D"/>
    <w:rsid w:val="56371459"/>
    <w:rsid w:val="56484633"/>
    <w:rsid w:val="58D0053D"/>
    <w:rsid w:val="598C40A0"/>
    <w:rsid w:val="59DA647E"/>
    <w:rsid w:val="5A556E1A"/>
    <w:rsid w:val="5E2864D0"/>
    <w:rsid w:val="5E494511"/>
    <w:rsid w:val="5EB44FC0"/>
    <w:rsid w:val="5FBA395F"/>
    <w:rsid w:val="60EC2CBA"/>
    <w:rsid w:val="61CC2D28"/>
    <w:rsid w:val="635902CD"/>
    <w:rsid w:val="635E6E54"/>
    <w:rsid w:val="64706BBE"/>
    <w:rsid w:val="64F2095B"/>
    <w:rsid w:val="67A858DB"/>
    <w:rsid w:val="67FE4166"/>
    <w:rsid w:val="68C401C3"/>
    <w:rsid w:val="69A833BD"/>
    <w:rsid w:val="6AB215EC"/>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53811DE"/>
    <w:rsid w:val="75BE67D4"/>
    <w:rsid w:val="75C2004C"/>
    <w:rsid w:val="75C759C1"/>
    <w:rsid w:val="762D64F3"/>
    <w:rsid w:val="767E7EFF"/>
    <w:rsid w:val="775B4604"/>
    <w:rsid w:val="77C067C3"/>
    <w:rsid w:val="783F569F"/>
    <w:rsid w:val="78911E31"/>
    <w:rsid w:val="7922350F"/>
    <w:rsid w:val="792B5470"/>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B2"/>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9</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2022-08-10T16:35:33Z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