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w:t>
      </w:r>
      <w:r>
        <w:rPr>
          <w:rFonts w:ascii="Arial" w:hAnsi="Arial" w:eastAsia="宋体" w:cs="Arial"/>
          <w:b/>
          <w:color w:val="auto"/>
          <w:sz w:val="24"/>
          <w:lang w:eastAsia="zh-CN"/>
        </w:rPr>
        <w:t>-e</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213865</w:t>
      </w:r>
      <w:bookmarkStart w:id="4" w:name="_GoBack"/>
      <w:bookmarkEnd w:id="4"/>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15</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26</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August</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remaining issues of RRC idle, inactive and connected state mobility requirements for HST FR2</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9.7.2.1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bookmarkStart w:id="0" w:name="OLE_LINK3"/>
      <w:r>
        <w:rPr>
          <w:rFonts w:hint="eastAsia" w:eastAsia="宋体"/>
          <w:color w:val="auto"/>
          <w:sz w:val="24"/>
          <w:lang w:val="en-US" w:eastAsia="zh-CN"/>
        </w:rPr>
        <w:t>Approval</w:t>
      </w:r>
      <w:bookmarkEnd w:id="0"/>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the last meeting, a way forward on RRM core maintenance for NR FR2 HST was approved in [1]. The following agreements were approved around the mobility requirements of RRC IDLE/INACTIVE and CONNECTED states for HST FR2.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overflowPunct/>
              <w:topLinePunct w:val="0"/>
              <w:autoSpaceDE/>
              <w:autoSpaceDN/>
              <w:bidi w:val="0"/>
              <w:adjustRightInd/>
              <w:snapToGrid/>
              <w:textAlignment w:val="auto"/>
              <w:rPr>
                <w:b/>
                <w:lang w:eastAsia="zh-CN"/>
              </w:rPr>
            </w:pPr>
            <w:r>
              <w:rPr>
                <w:b/>
                <w:lang w:eastAsia="zh-CN"/>
              </w:rPr>
              <w:t>Issue 2-1-1: Scheduling restriction on SSB</w:t>
            </w:r>
          </w:p>
          <w:p>
            <w:pPr>
              <w:keepNext w:val="0"/>
              <w:keepLines w:val="0"/>
              <w:pageBreakBefore w:val="0"/>
              <w:widowControl/>
              <w:kinsoku/>
              <w:wordWrap/>
              <w:overflowPunct/>
              <w:topLinePunct w:val="0"/>
              <w:autoSpaceDE/>
              <w:autoSpaceDN/>
              <w:bidi w:val="0"/>
              <w:adjustRightInd/>
              <w:snapToGrid/>
              <w:textAlignment w:val="auto"/>
              <w:rPr>
                <w:bCs/>
                <w:highlight w:val="green"/>
                <w:lang w:eastAsia="zh-CN"/>
              </w:rPr>
            </w:pPr>
            <w:r>
              <w:rPr>
                <w:b/>
                <w:highlight w:val="green"/>
                <w:lang w:eastAsia="zh-CN"/>
              </w:rPr>
              <w:t>Agreement</w:t>
            </w:r>
            <w:r>
              <w:rPr>
                <w:bCs/>
                <w:highlight w:val="green"/>
                <w:lang w:eastAsia="zh-CN"/>
              </w:rPr>
              <w:t>:</w:t>
            </w:r>
          </w:p>
          <w:p>
            <w:pPr>
              <w:keepNext w:val="0"/>
              <w:keepLines w:val="0"/>
              <w:pageBreakBefore w:val="0"/>
              <w:widowControl/>
              <w:kinsoku/>
              <w:wordWrap/>
              <w:overflowPunct/>
              <w:topLinePunct w:val="0"/>
              <w:autoSpaceDE/>
              <w:autoSpaceDN/>
              <w:bidi w:val="0"/>
              <w:adjustRightInd/>
              <w:snapToGrid/>
              <w:ind w:left="420"/>
              <w:textAlignment w:val="auto"/>
              <w:rPr>
                <w:bCs/>
                <w:lang w:eastAsia="zh-CN"/>
              </w:rPr>
            </w:pPr>
            <w:r>
              <w:rPr>
                <w:rFonts w:eastAsiaTheme="minorEastAsia"/>
                <w:color w:val="000000"/>
              </w:rPr>
              <w:t>FR2 HST requirement is applicable only when the two SSBs from adjacent RRHs are not on the adjacent symbols.</w:t>
            </w:r>
          </w:p>
          <w:p>
            <w:pPr>
              <w:keepNext w:val="0"/>
              <w:keepLines w:val="0"/>
              <w:pageBreakBefore w:val="0"/>
              <w:widowControl/>
              <w:kinsoku/>
              <w:wordWrap/>
              <w:overflowPunct/>
              <w:topLinePunct w:val="0"/>
              <w:autoSpaceDE/>
              <w:autoSpaceDN/>
              <w:bidi w:val="0"/>
              <w:adjustRightInd/>
              <w:snapToGrid/>
              <w:textAlignment w:val="auto"/>
              <w:rPr>
                <w:bCs/>
                <w:lang w:eastAsia="zh-CN"/>
              </w:rPr>
            </w:pPr>
          </w:p>
          <w:p>
            <w:pPr>
              <w:keepNext w:val="0"/>
              <w:keepLines w:val="0"/>
              <w:pageBreakBefore w:val="0"/>
              <w:widowControl/>
              <w:kinsoku/>
              <w:wordWrap/>
              <w:overflowPunct/>
              <w:topLinePunct w:val="0"/>
              <w:autoSpaceDE/>
              <w:autoSpaceDN/>
              <w:bidi w:val="0"/>
              <w:adjustRightInd/>
              <w:snapToGrid/>
              <w:textAlignment w:val="auto"/>
              <w:rPr>
                <w:b/>
                <w:lang w:eastAsia="zh-CN"/>
              </w:rPr>
            </w:pPr>
            <w:r>
              <w:rPr>
                <w:b/>
                <w:lang w:eastAsia="zh-CN"/>
              </w:rPr>
              <w:t>Issue 2-1-2: Time period for PSS/SSS detection and Measurement period for intra-frequency measurements</w:t>
            </w:r>
          </w:p>
          <w:p>
            <w:pPr>
              <w:keepNext w:val="0"/>
              <w:keepLines w:val="0"/>
              <w:pageBreakBefore w:val="0"/>
              <w:widowControl/>
              <w:kinsoku/>
              <w:wordWrap/>
              <w:overflowPunct/>
              <w:topLinePunct w:val="0"/>
              <w:autoSpaceDE/>
              <w:autoSpaceDN/>
              <w:bidi w:val="0"/>
              <w:adjustRightInd/>
              <w:snapToGrid/>
              <w:textAlignment w:val="auto"/>
              <w:rPr>
                <w:b/>
                <w:lang w:eastAsia="zh-CN"/>
              </w:rPr>
            </w:pPr>
            <w:r>
              <w:rPr>
                <w:b/>
                <w:highlight w:val="green"/>
                <w:lang w:eastAsia="zh-CN"/>
              </w:rPr>
              <w:t>Agreement:</w:t>
            </w:r>
          </w:p>
          <w:p>
            <w:pPr>
              <w:keepNext w:val="0"/>
              <w:keepLines w:val="0"/>
              <w:pageBreakBefore w:val="0"/>
              <w:widowControl/>
              <w:kinsoku/>
              <w:wordWrap/>
              <w:overflowPunct/>
              <w:topLinePunct w:val="0"/>
              <w:autoSpaceDE/>
              <w:autoSpaceDN/>
              <w:bidi w:val="0"/>
              <w:adjustRightInd/>
              <w:snapToGrid/>
              <w:ind w:left="284"/>
              <w:textAlignment w:val="auto"/>
              <w:rPr>
                <w:lang w:val="en-US" w:eastAsia="zh-CN"/>
              </w:rPr>
            </w:pPr>
            <w:r>
              <w:rPr>
                <w:lang w:val="en-US" w:eastAsia="zh-CN"/>
              </w:rPr>
              <w:t>Define Mpss/sss_sync_w/o_gaps = 18, and Mmeas_preriod_w/o_gaps = 18 for set 2.</w:t>
            </w:r>
          </w:p>
          <w:p>
            <w:pPr>
              <w:keepNext w:val="0"/>
              <w:keepLines w:val="0"/>
              <w:pageBreakBefore w:val="0"/>
              <w:widowControl/>
              <w:kinsoku/>
              <w:wordWrap/>
              <w:overflowPunct/>
              <w:topLinePunct w:val="0"/>
              <w:autoSpaceDE/>
              <w:autoSpaceDN/>
              <w:bidi w:val="0"/>
              <w:adjustRightInd/>
              <w:snapToGrid/>
              <w:textAlignment w:val="auto"/>
              <w:rPr>
                <w:lang w:val="en-US"/>
              </w:rPr>
            </w:pPr>
          </w:p>
          <w:p>
            <w:pPr>
              <w:keepNext w:val="0"/>
              <w:keepLines w:val="0"/>
              <w:pageBreakBefore w:val="0"/>
              <w:widowControl/>
              <w:kinsoku/>
              <w:wordWrap/>
              <w:overflowPunct/>
              <w:topLinePunct w:val="0"/>
              <w:autoSpaceDE/>
              <w:autoSpaceDN/>
              <w:bidi w:val="0"/>
              <w:adjustRightInd/>
              <w:snapToGrid/>
              <w:textAlignment w:val="auto"/>
              <w:rPr>
                <w:b/>
                <w:bCs/>
                <w:lang w:val="en-US"/>
              </w:rPr>
            </w:pPr>
            <w:r>
              <w:rPr>
                <w:b/>
                <w:bCs/>
                <w:lang w:val="en-US"/>
              </w:rPr>
              <w:t>Issue 2-1-3: SMTC limit in HST FR2 enhanced requirements</w:t>
            </w:r>
          </w:p>
          <w:p>
            <w:pPr>
              <w:keepNext w:val="0"/>
              <w:keepLines w:val="0"/>
              <w:pageBreakBefore w:val="0"/>
              <w:widowControl/>
              <w:kinsoku/>
              <w:wordWrap/>
              <w:overflowPunct/>
              <w:topLinePunct w:val="0"/>
              <w:autoSpaceDE/>
              <w:autoSpaceDN/>
              <w:bidi w:val="0"/>
              <w:adjustRightInd/>
              <w:snapToGrid/>
              <w:textAlignment w:val="auto"/>
              <w:rPr>
                <w:b/>
                <w:lang w:eastAsia="zh-CN"/>
              </w:rPr>
            </w:pPr>
            <w:bookmarkStart w:id="1" w:name="OLE_LINK2"/>
            <w:r>
              <w:rPr>
                <w:b/>
                <w:highlight w:val="green"/>
                <w:lang w:eastAsia="zh-CN"/>
              </w:rPr>
              <w:t>GtW Agreement:</w:t>
            </w:r>
          </w:p>
          <w:p>
            <w:pPr>
              <w:keepNext w:val="0"/>
              <w:keepLines w:val="0"/>
              <w:pageBreakBefore w:val="0"/>
              <w:widowControl/>
              <w:kinsoku/>
              <w:wordWrap/>
              <w:overflowPunct/>
              <w:topLinePunct w:val="0"/>
              <w:autoSpaceDE/>
              <w:autoSpaceDN/>
              <w:bidi w:val="0"/>
              <w:adjustRightInd/>
              <w:snapToGrid/>
              <w:ind w:left="420"/>
              <w:textAlignment w:val="auto"/>
              <w:rPr>
                <w:lang w:val="en-US"/>
              </w:rPr>
            </w:pPr>
            <w:r>
              <w:rPr>
                <w:lang w:val="en-US"/>
              </w:rPr>
              <w:t>Option 1 agreed as starting point and further work on the drafting CR revision including table heading and note 3.</w:t>
            </w:r>
          </w:p>
          <w:p>
            <w:pPr>
              <w:keepNext w:val="0"/>
              <w:keepLines w:val="0"/>
              <w:pageBreakBefore w:val="0"/>
              <w:widowControl/>
              <w:kinsoku/>
              <w:wordWrap/>
              <w:overflowPunct/>
              <w:topLinePunct w:val="0"/>
              <w:autoSpaceDE/>
              <w:autoSpaceDN/>
              <w:bidi w:val="0"/>
              <w:adjustRightInd/>
              <w:snapToGrid/>
              <w:textAlignment w:val="auto"/>
              <w:rPr>
                <w:b/>
                <w:lang w:eastAsia="zh-CN"/>
              </w:rPr>
            </w:pPr>
            <w:r>
              <w:rPr>
                <w:b/>
                <w:lang w:eastAsia="zh-CN"/>
              </w:rPr>
              <w:t>Way forward:</w:t>
            </w:r>
          </w:p>
          <w:p>
            <w:pPr>
              <w:keepNext w:val="0"/>
              <w:keepLines w:val="0"/>
              <w:pageBreakBefore w:val="0"/>
              <w:widowControl/>
              <w:kinsoku/>
              <w:wordWrap/>
              <w:overflowPunct/>
              <w:topLinePunct w:val="0"/>
              <w:autoSpaceDE/>
              <w:autoSpaceDN/>
              <w:bidi w:val="0"/>
              <w:adjustRightInd/>
              <w:snapToGrid/>
              <w:ind w:left="420"/>
              <w:textAlignment w:val="auto"/>
              <w:rPr>
                <w:lang w:eastAsia="zh-CN"/>
              </w:rPr>
            </w:pPr>
            <w:r>
              <w:rPr>
                <w:lang w:eastAsia="zh-CN"/>
              </w:rPr>
              <w:t>Further discussion is needed on how to define HST FR2 requirements if SMTC periodicity is &gt; 40 ms.</w:t>
            </w:r>
          </w:p>
          <w:p>
            <w:pPr>
              <w:keepNext w:val="0"/>
              <w:keepLines w:val="0"/>
              <w:pageBreakBefore w:val="0"/>
              <w:widowControl/>
              <w:numPr>
                <w:ilvl w:val="0"/>
                <w:numId w:val="4"/>
              </w:numPr>
              <w:kinsoku/>
              <w:wordWrap/>
              <w:overflowPunct/>
              <w:topLinePunct w:val="0"/>
              <w:autoSpaceDE/>
              <w:autoSpaceDN/>
              <w:bidi w:val="0"/>
              <w:adjustRightInd/>
              <w:snapToGrid/>
              <w:ind w:left="840"/>
              <w:textAlignment w:val="auto"/>
              <w:rPr>
                <w:lang w:eastAsia="zh-CN"/>
              </w:rPr>
            </w:pPr>
            <w:r>
              <w:rPr>
                <w:lang w:eastAsia="zh-CN"/>
              </w:rPr>
              <w:t>Option 1: Apply the FR2 HST enhanced requirement only when SMTC &lt;=40ms cases. When SMTC period &gt; 40ms, requirements in Table 9.2.5.2-2 apply.</w:t>
            </w:r>
          </w:p>
          <w:p>
            <w:pPr>
              <w:keepNext w:val="0"/>
              <w:keepLines w:val="0"/>
              <w:pageBreakBefore w:val="0"/>
              <w:widowControl/>
              <w:numPr>
                <w:ilvl w:val="0"/>
                <w:numId w:val="4"/>
              </w:numPr>
              <w:kinsoku/>
              <w:wordWrap/>
              <w:overflowPunct/>
              <w:topLinePunct w:val="0"/>
              <w:autoSpaceDE/>
              <w:autoSpaceDN/>
              <w:bidi w:val="0"/>
              <w:adjustRightInd/>
              <w:snapToGrid/>
              <w:ind w:left="840"/>
              <w:textAlignment w:val="auto"/>
              <w:rPr>
                <w:lang w:eastAsia="zh-CN"/>
              </w:rPr>
            </w:pPr>
            <w:r>
              <w:rPr>
                <w:lang w:eastAsia="zh-CN"/>
              </w:rPr>
              <w:t>Option 2: Delete NOTE 3, keep table titles without changes and set M2 = 1.5</w:t>
            </w:r>
          </w:p>
          <w:p>
            <w:pPr>
              <w:keepNext w:val="0"/>
              <w:keepLines w:val="0"/>
              <w:pageBreakBefore w:val="0"/>
              <w:widowControl/>
              <w:numPr>
                <w:ilvl w:val="0"/>
                <w:numId w:val="4"/>
              </w:numPr>
              <w:kinsoku/>
              <w:wordWrap/>
              <w:overflowPunct/>
              <w:topLinePunct w:val="0"/>
              <w:autoSpaceDE/>
              <w:autoSpaceDN/>
              <w:bidi w:val="0"/>
              <w:adjustRightInd/>
              <w:snapToGrid/>
              <w:ind w:left="840"/>
              <w:textAlignment w:val="auto"/>
              <w:rPr>
                <w:lang w:eastAsia="zh-CN"/>
              </w:rPr>
            </w:pPr>
            <w:r>
              <w:rPr>
                <w:lang w:eastAsia="zh-CN"/>
              </w:rPr>
              <w:t>Other options are not precluded</w:t>
            </w:r>
          </w:p>
          <w:bookmarkEnd w:id="1"/>
          <w:p>
            <w:pPr>
              <w:keepNext w:val="0"/>
              <w:keepLines w:val="0"/>
              <w:pageBreakBefore w:val="0"/>
              <w:widowControl/>
              <w:kinsoku/>
              <w:wordWrap/>
              <w:overflowPunct/>
              <w:topLinePunct w:val="0"/>
              <w:autoSpaceDE/>
              <w:autoSpaceDN/>
              <w:bidi w:val="0"/>
              <w:adjustRightInd/>
              <w:snapToGrid/>
              <w:textAlignment w:val="auto"/>
              <w:rPr>
                <w:lang w:val="en-US"/>
              </w:rPr>
            </w:pPr>
          </w:p>
          <w:p>
            <w:pPr>
              <w:keepNext w:val="0"/>
              <w:keepLines w:val="0"/>
              <w:pageBreakBefore w:val="0"/>
              <w:widowControl/>
              <w:kinsoku/>
              <w:wordWrap/>
              <w:overflowPunct/>
              <w:topLinePunct w:val="0"/>
              <w:autoSpaceDE/>
              <w:autoSpaceDN/>
              <w:bidi w:val="0"/>
              <w:adjustRightInd/>
              <w:snapToGrid/>
              <w:textAlignment w:val="auto"/>
              <w:rPr>
                <w:b/>
                <w:bCs/>
                <w:lang w:val="en-US"/>
              </w:rPr>
            </w:pPr>
            <w:r>
              <w:rPr>
                <w:b/>
                <w:bCs/>
                <w:lang w:val="en-US"/>
              </w:rPr>
              <w:t>Issue 2-1-5: Intra-frequency measurements with gaps</w:t>
            </w:r>
          </w:p>
          <w:p>
            <w:pPr>
              <w:keepNext w:val="0"/>
              <w:keepLines w:val="0"/>
              <w:pageBreakBefore w:val="0"/>
              <w:widowControl/>
              <w:kinsoku/>
              <w:wordWrap/>
              <w:overflowPunct/>
              <w:topLinePunct w:val="0"/>
              <w:autoSpaceDE/>
              <w:autoSpaceDN/>
              <w:bidi w:val="0"/>
              <w:adjustRightInd/>
              <w:snapToGrid/>
              <w:textAlignment w:val="auto"/>
              <w:rPr>
                <w:b/>
                <w:lang w:eastAsia="zh-CN"/>
              </w:rPr>
            </w:pPr>
            <w:r>
              <w:rPr>
                <w:b/>
                <w:highlight w:val="green"/>
                <w:lang w:eastAsia="zh-CN"/>
              </w:rPr>
              <w:t>Agreement:</w:t>
            </w:r>
          </w:p>
          <w:p>
            <w:pPr>
              <w:keepNext w:val="0"/>
              <w:keepLines w:val="0"/>
              <w:pageBreakBefore w:val="0"/>
              <w:widowControl/>
              <w:kinsoku/>
              <w:wordWrap/>
              <w:overflowPunct/>
              <w:topLinePunct w:val="0"/>
              <w:autoSpaceDE/>
              <w:autoSpaceDN/>
              <w:bidi w:val="0"/>
              <w:adjustRightInd/>
              <w:snapToGrid/>
              <w:ind w:left="420"/>
              <w:textAlignment w:val="auto"/>
              <w:rPr>
                <w:lang w:val="en-US"/>
              </w:rPr>
            </w:pPr>
            <w:r>
              <w:rPr>
                <w:lang w:val="en-US" w:eastAsia="zh-CN"/>
              </w:rPr>
              <w:t>For the enhancement of SA intra-frequency measurements with gaps in connected mode for FR2 HST, the same enhancement as for intra-frequency measurements without gaps should be applied.</w:t>
            </w:r>
          </w:p>
          <w:p>
            <w:pPr>
              <w:keepNext w:val="0"/>
              <w:keepLines w:val="0"/>
              <w:pageBreakBefore w:val="0"/>
              <w:widowControl/>
              <w:kinsoku/>
              <w:wordWrap/>
              <w:overflowPunct/>
              <w:topLinePunct w:val="0"/>
              <w:autoSpaceDE/>
              <w:autoSpaceDN/>
              <w:bidi w:val="0"/>
              <w:adjustRightInd/>
              <w:snapToGrid/>
              <w:textAlignment w:val="auto"/>
              <w:rPr>
                <w:bCs/>
                <w:lang w:eastAsia="zh-CN"/>
              </w:rPr>
            </w:pPr>
          </w:p>
          <w:p>
            <w:pPr>
              <w:keepNext w:val="0"/>
              <w:keepLines w:val="0"/>
              <w:pageBreakBefore w:val="0"/>
              <w:widowControl/>
              <w:kinsoku/>
              <w:wordWrap/>
              <w:overflowPunct/>
              <w:topLinePunct w:val="0"/>
              <w:autoSpaceDE/>
              <w:autoSpaceDN/>
              <w:bidi w:val="0"/>
              <w:adjustRightInd/>
              <w:snapToGrid/>
              <w:textAlignment w:val="auto"/>
              <w:rPr>
                <w:b/>
                <w:lang w:eastAsia="zh-CN"/>
              </w:rPr>
            </w:pPr>
            <w:r>
              <w:rPr>
                <w:b/>
                <w:lang w:eastAsia="zh-CN"/>
              </w:rPr>
              <w:t>Issue 2-1-6: L1-SINR measurements with SSB-based CMR and dedicated IMR</w:t>
            </w:r>
          </w:p>
          <w:p>
            <w:pPr>
              <w:keepNext w:val="0"/>
              <w:keepLines w:val="0"/>
              <w:pageBreakBefore w:val="0"/>
              <w:widowControl/>
              <w:kinsoku/>
              <w:wordWrap/>
              <w:overflowPunct/>
              <w:topLinePunct w:val="0"/>
              <w:autoSpaceDE/>
              <w:autoSpaceDN/>
              <w:bidi w:val="0"/>
              <w:adjustRightInd/>
              <w:snapToGrid/>
              <w:textAlignment w:val="auto"/>
              <w:rPr>
                <w:b/>
                <w:lang w:eastAsia="zh-CN"/>
              </w:rPr>
            </w:pPr>
            <w:r>
              <w:rPr>
                <w:b/>
                <w:lang w:eastAsia="zh-CN"/>
              </w:rPr>
              <w:t>Way forward:</w:t>
            </w:r>
          </w:p>
          <w:p>
            <w:pPr>
              <w:keepNext w:val="0"/>
              <w:keepLines w:val="0"/>
              <w:pageBreakBefore w:val="0"/>
              <w:widowControl/>
              <w:kinsoku/>
              <w:wordWrap/>
              <w:overflowPunct/>
              <w:topLinePunct w:val="0"/>
              <w:autoSpaceDE/>
              <w:autoSpaceDN/>
              <w:bidi w:val="0"/>
              <w:adjustRightInd/>
              <w:snapToGrid/>
              <w:ind w:left="420"/>
              <w:textAlignment w:val="auto"/>
              <w:rPr>
                <w:lang w:eastAsia="zh-CN"/>
              </w:rPr>
            </w:pPr>
            <w:r>
              <w:rPr>
                <w:lang w:eastAsia="zh-CN"/>
              </w:rPr>
              <w:t>Open issue needs further discussion</w:t>
            </w:r>
          </w:p>
          <w:p>
            <w:pPr>
              <w:keepNext w:val="0"/>
              <w:keepLines w:val="0"/>
              <w:pageBreakBefore w:val="0"/>
              <w:widowControl/>
              <w:numPr>
                <w:ilvl w:val="0"/>
                <w:numId w:val="4"/>
              </w:numPr>
              <w:kinsoku/>
              <w:wordWrap/>
              <w:overflowPunct/>
              <w:topLinePunct w:val="0"/>
              <w:autoSpaceDE/>
              <w:autoSpaceDN/>
              <w:bidi w:val="0"/>
              <w:adjustRightInd/>
              <w:snapToGrid/>
              <w:ind w:left="840"/>
              <w:textAlignment w:val="auto"/>
              <w:rPr>
                <w:lang w:eastAsia="zh-CN"/>
              </w:rPr>
            </w:pPr>
            <w:r>
              <w:rPr>
                <w:lang w:eastAsia="zh-CN"/>
              </w:rPr>
              <w:t>Option 1: For L1-SINR measurements with SSB-based CMR and dedicated IMR configured for FR2 HST, the same enhancements as SSB-based L1-RSRP measurements should be applied.</w:t>
            </w:r>
          </w:p>
          <w:p>
            <w:pPr>
              <w:keepNext w:val="0"/>
              <w:keepLines w:val="0"/>
              <w:pageBreakBefore w:val="0"/>
              <w:widowControl/>
              <w:numPr>
                <w:ilvl w:val="0"/>
                <w:numId w:val="4"/>
              </w:numPr>
              <w:kinsoku/>
              <w:wordWrap/>
              <w:overflowPunct/>
              <w:topLinePunct w:val="0"/>
              <w:autoSpaceDE/>
              <w:autoSpaceDN/>
              <w:bidi w:val="0"/>
              <w:adjustRightInd/>
              <w:snapToGrid/>
              <w:ind w:left="840"/>
              <w:textAlignment w:val="auto"/>
              <w:rPr>
                <w:lang w:eastAsia="zh-CN"/>
              </w:rPr>
            </w:pPr>
            <w:r>
              <w:rPr>
                <w:lang w:eastAsia="zh-CN"/>
              </w:rPr>
              <w:t>Option 2: Do not define enhancement for L1-SINR</w:t>
            </w:r>
          </w:p>
          <w:p>
            <w:pPr>
              <w:keepNext w:val="0"/>
              <w:keepLines w:val="0"/>
              <w:pageBreakBefore w:val="0"/>
              <w:widowControl/>
              <w:numPr>
                <w:ilvl w:val="0"/>
                <w:numId w:val="4"/>
              </w:numPr>
              <w:kinsoku/>
              <w:wordWrap/>
              <w:overflowPunct/>
              <w:topLinePunct w:val="0"/>
              <w:autoSpaceDE/>
              <w:autoSpaceDN/>
              <w:bidi w:val="0"/>
              <w:adjustRightInd/>
              <w:snapToGrid/>
              <w:ind w:left="840"/>
              <w:textAlignment w:val="auto"/>
              <w:rPr>
                <w:rFonts w:hint="default" w:ascii="Times New Roman" w:hAnsi="Times New Roman" w:cs="Times New Roman" w:eastAsiaTheme="minorEastAsia"/>
                <w:b/>
                <w:szCs w:val="24"/>
                <w:u w:val="single"/>
                <w:lang w:val="en-US" w:eastAsia="zh-CN" w:bidi="ar-SA"/>
              </w:rPr>
            </w:pPr>
            <w:r>
              <w:rPr>
                <w:lang w:eastAsia="zh-CN"/>
              </w:rPr>
              <w:t>Other options are not precluded</w:t>
            </w:r>
          </w:p>
        </w:tc>
      </w:tr>
    </w:tbl>
    <w:p>
      <w:pPr>
        <w:pStyle w:val="8"/>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 xml:space="preserve">Based on the progress during 103 meeting, still two open issues need further discussion so as to finish the core part. In this document, we provide our analysis on the two remaining issues: </w:t>
      </w:r>
    </w:p>
    <w:p>
      <w:pPr>
        <w:numPr>
          <w:ilvl w:val="0"/>
          <w:numId w:val="5"/>
        </w:numPr>
        <w:bidi w:val="0"/>
        <w:ind w:left="420" w:leftChars="0" w:hanging="420" w:firstLineChars="0"/>
        <w:rPr>
          <w:rFonts w:hint="eastAsia" w:eastAsia="宋体"/>
          <w:color w:val="auto"/>
          <w:sz w:val="21"/>
          <w:szCs w:val="21"/>
          <w:lang w:val="en-US" w:eastAsia="zh-CN"/>
        </w:rPr>
      </w:pPr>
      <w:r>
        <w:rPr>
          <w:rFonts w:hint="eastAsia" w:eastAsia="宋体"/>
          <w:color w:val="auto"/>
          <w:sz w:val="21"/>
          <w:szCs w:val="21"/>
          <w:lang w:val="en-US" w:eastAsia="zh-CN"/>
        </w:rPr>
        <w:t xml:space="preserve">How to define HST FR2 requirements if SMTC periodicity is &gt; 40 ms </w:t>
      </w:r>
    </w:p>
    <w:p>
      <w:pPr>
        <w:numPr>
          <w:ilvl w:val="0"/>
          <w:numId w:val="5"/>
        </w:numPr>
        <w:bidi w:val="0"/>
        <w:ind w:left="420" w:leftChars="0" w:hanging="420" w:firstLineChars="0"/>
        <w:rPr>
          <w:rFonts w:hint="eastAsia" w:eastAsia="宋体"/>
          <w:color w:val="auto"/>
          <w:sz w:val="21"/>
          <w:szCs w:val="21"/>
          <w:lang w:val="en-US" w:eastAsia="zh-CN"/>
        </w:rPr>
      </w:pPr>
      <w:r>
        <w:rPr>
          <w:rFonts w:hint="eastAsia" w:eastAsia="宋体"/>
          <w:color w:val="auto"/>
          <w:sz w:val="21"/>
          <w:szCs w:val="21"/>
          <w:lang w:val="en-US" w:eastAsia="zh-CN"/>
        </w:rPr>
        <w:t>L1-SINR measurements with SSB-based CMR and dedicated IMR</w:t>
      </w:r>
    </w:p>
    <w:p>
      <w:pPr>
        <w:pStyle w:val="8"/>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 xml:space="preserve">In this document, we provide our analysis focus on the above remaining issue.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1"/>
          <w:szCs w:val="21"/>
          <w:u w:val="single"/>
          <w:lang w:val="en-US" w:eastAsia="zh-CN"/>
        </w:rPr>
      </w:pPr>
      <w:r>
        <w:rPr>
          <w:rFonts w:hint="eastAsia" w:eastAsia="宋体"/>
          <w:color w:val="auto"/>
          <w:sz w:val="21"/>
          <w:szCs w:val="21"/>
          <w:u w:val="single"/>
          <w:lang w:val="en-US" w:eastAsia="zh-CN"/>
        </w:rPr>
        <w:t>How to define HST FR2 requirements if SMTC periodicity is &gt; 40 ms</w:t>
      </w:r>
      <w:bookmarkStart w:id="2" w:name="OLE_LINK1"/>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Around this issue, the following options were discussed in the corresponding CR thread during 103 meeting but not final agreement approved, Option1 was identified as starting point.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after="0" w:line="360" w:lineRule="auto"/>
              <w:textAlignment w:val="auto"/>
              <w:rPr>
                <w:b/>
                <w:lang w:eastAsia="zh-CN"/>
              </w:rPr>
            </w:pPr>
            <w:r>
              <w:rPr>
                <w:b/>
                <w:lang w:eastAsia="zh-CN"/>
              </w:rPr>
              <w:t>Way forward:</w:t>
            </w:r>
          </w:p>
          <w:p>
            <w:pPr>
              <w:keepNext w:val="0"/>
              <w:keepLines w:val="0"/>
              <w:pageBreakBefore w:val="0"/>
              <w:widowControl w:val="0"/>
              <w:kinsoku/>
              <w:wordWrap/>
              <w:overflowPunct/>
              <w:topLinePunct w:val="0"/>
              <w:autoSpaceDE/>
              <w:autoSpaceDN/>
              <w:bidi w:val="0"/>
              <w:adjustRightInd/>
              <w:snapToGrid/>
              <w:spacing w:after="0" w:line="360" w:lineRule="auto"/>
              <w:ind w:left="420"/>
              <w:textAlignment w:val="auto"/>
              <w:rPr>
                <w:lang w:eastAsia="zh-CN"/>
              </w:rPr>
            </w:pPr>
            <w:r>
              <w:rPr>
                <w:lang w:eastAsia="zh-CN"/>
              </w:rPr>
              <w:t>Further discussion is needed on how to define HST FR2 requirements if SMTC periodicity is &gt; 40 ms.</w:t>
            </w:r>
          </w:p>
          <w:p>
            <w:pPr>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840"/>
              <w:textAlignment w:val="auto"/>
              <w:rPr>
                <w:lang w:eastAsia="zh-CN"/>
              </w:rPr>
            </w:pPr>
            <w:r>
              <w:rPr>
                <w:lang w:eastAsia="zh-CN"/>
              </w:rPr>
              <w:t>Option 1: Apply the FR2 HST enhanced requirement only when SMTC &lt;=40ms cases. When SMTC period &gt; 40ms, requirements in Table 9.2.5.2-2 apply.</w:t>
            </w:r>
          </w:p>
          <w:p>
            <w:pPr>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840"/>
              <w:textAlignment w:val="auto"/>
              <w:rPr>
                <w:lang w:eastAsia="zh-CN"/>
              </w:rPr>
            </w:pPr>
            <w:r>
              <w:rPr>
                <w:lang w:eastAsia="zh-CN"/>
              </w:rPr>
              <w:t>Option 2: Delete NOTE 3, keep table titles without changes and set M2 = 1.5</w:t>
            </w:r>
          </w:p>
          <w:p>
            <w:pPr>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840"/>
              <w:textAlignment w:val="auto"/>
              <w:rPr>
                <w:rFonts w:hint="eastAsia"/>
                <w:vertAlign w:val="baseline"/>
                <w:lang w:val="en-US" w:eastAsia="zh-CN"/>
              </w:rPr>
            </w:pPr>
            <w:r>
              <w:rPr>
                <w:lang w:eastAsia="zh-CN"/>
              </w:rPr>
              <w:t>Other options are not precluded</w:t>
            </w:r>
          </w:p>
        </w:tc>
      </w:tr>
    </w:tbl>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From our perspective, the reason leading to this controversy is that we have only approved two individual agreements about SMTC upper bound and DRX upper bound as below, but not any correlation between the two restrictions discussed or approved. For example if only one of the two limitations fulfilled, another one is not fulfilled, then for the UE, whether the enhanced requirement should be applied or not, it is not clear enough. So companies have diverse understanding.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overflowPunct w:val="0"/>
              <w:autoSpaceDE w:val="0"/>
              <w:autoSpaceDN w:val="0"/>
              <w:adjustRightInd w:val="0"/>
              <w:spacing w:after="0" w:line="360" w:lineRule="auto"/>
              <w:textAlignment w:val="baseline"/>
              <w:rPr>
                <w:rFonts w:hint="default" w:eastAsia="宋体"/>
                <w:b/>
                <w:lang w:val="en-US" w:eastAsia="zh-CN"/>
              </w:rPr>
            </w:pPr>
            <w:r>
              <w:rPr>
                <w:rFonts w:eastAsia="Yu Mincho"/>
                <w:b/>
                <w:highlight w:val="green"/>
                <w:lang w:val="en-US"/>
              </w:rPr>
              <w:t>Agreement:</w:t>
            </w:r>
            <w:r>
              <w:rPr>
                <w:rFonts w:hint="eastAsia" w:eastAsia="宋体"/>
                <w:b/>
                <w:highlight w:val="green"/>
                <w:lang w:val="en-US" w:eastAsia="zh-CN"/>
              </w:rPr>
              <w:t xml:space="preserve"> (in 101bis meeting)</w:t>
            </w:r>
          </w:p>
          <w:p>
            <w:pPr>
              <w:overflowPunct w:val="0"/>
              <w:autoSpaceDE w:val="0"/>
              <w:autoSpaceDN w:val="0"/>
              <w:adjustRightInd w:val="0"/>
              <w:spacing w:after="0" w:line="256" w:lineRule="auto"/>
              <w:ind w:left="284"/>
              <w:textAlignment w:val="auto"/>
              <w:rPr>
                <w:rFonts w:eastAsiaTheme="minorEastAsia"/>
                <w:iCs/>
                <w:lang w:val="en-US" w:eastAsia="zh-CN"/>
              </w:rPr>
            </w:pPr>
            <w:r>
              <w:rPr>
                <w:rFonts w:eastAsiaTheme="minorEastAsia"/>
                <w:iCs/>
                <w:lang w:val="en-US" w:eastAsia="zh-CN"/>
              </w:rPr>
              <w:t>The DRX upper bound = 80 ms applies both to Sets 1 (Scenario-A) and 2 (Scenario-B).</w:t>
            </w:r>
          </w:p>
          <w:p>
            <w:pPr>
              <w:overflowPunct w:val="0"/>
              <w:autoSpaceDE w:val="0"/>
              <w:autoSpaceDN w:val="0"/>
              <w:adjustRightInd w:val="0"/>
              <w:textAlignment w:val="baseline"/>
              <w:rPr>
                <w:rFonts w:hint="default" w:eastAsia="宋体"/>
                <w:b/>
                <w:lang w:val="en-US" w:eastAsia="zh-CN"/>
              </w:rPr>
            </w:pPr>
            <w:r>
              <w:rPr>
                <w:rFonts w:eastAsia="Yu Mincho"/>
                <w:b/>
                <w:highlight w:val="green"/>
              </w:rPr>
              <w:t>Agreement:</w:t>
            </w:r>
            <w:r>
              <w:rPr>
                <w:rFonts w:hint="eastAsia" w:eastAsia="宋体"/>
                <w:b/>
                <w:highlight w:val="green"/>
                <w:lang w:val="en-US" w:eastAsia="zh-CN"/>
              </w:rPr>
              <w:t xml:space="preserve"> (in 100 meeting)</w:t>
            </w:r>
          </w:p>
          <w:p>
            <w:pPr>
              <w:numPr>
                <w:ilvl w:val="0"/>
                <w:numId w:val="0"/>
              </w:numPr>
              <w:ind w:firstLine="200" w:firstLineChars="100"/>
              <w:rPr>
                <w:rFonts w:hint="eastAsia" w:eastAsia="宋体"/>
                <w:color w:val="auto"/>
                <w:sz w:val="21"/>
                <w:szCs w:val="21"/>
                <w:vertAlign w:val="baseline"/>
                <w:lang w:val="en-US" w:eastAsia="zh-CN"/>
              </w:rPr>
            </w:pPr>
            <w:bookmarkStart w:id="3" w:name="OLE_LINK46"/>
            <w:r>
              <w:rPr>
                <w:rFonts w:eastAsia="Yu Mincho"/>
                <w:lang w:eastAsia="zh-CN"/>
              </w:rPr>
              <w:t>HST FR2 enhanced requirement is applied to SMTC &lt;=40ms</w:t>
            </w:r>
            <w:bookmarkEnd w:id="3"/>
            <w:r>
              <w:rPr>
                <w:rFonts w:eastAsia="Yu Mincho"/>
                <w:lang w:eastAsia="zh-CN"/>
              </w:rPr>
              <w:t>. SMTC periodicity is not restricted.</w:t>
            </w:r>
          </w:p>
        </w:tc>
      </w:tr>
    </w:tbl>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We prefer to respect the previous agreement. So Option 1 is recommended. In fact we believe for the HST FR2 scenario, considering the high speed of 350km/h, smaller SMTC period would be expected. So the case of SMTC period &gt; 40ms is not common configuration.</w:t>
      </w:r>
    </w:p>
    <w:p>
      <w:pPr>
        <w:widowControl w:val="0"/>
        <w:numPr>
          <w:ilvl w:val="0"/>
          <w:numId w:val="0"/>
        </w:numPr>
        <w:jc w:val="both"/>
        <w:rPr>
          <w:rFonts w:hint="eastAsia" w:ascii="Times New Roman" w:hAnsi="Times New Roman"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We prefer to respect the previous agreement. So Option 1 is recommended. </w:t>
      </w:r>
    </w:p>
    <w:p>
      <w:pPr>
        <w:widowControl w:val="0"/>
        <w:numPr>
          <w:ilvl w:val="0"/>
          <w:numId w:val="0"/>
        </w:numPr>
        <w:jc w:val="both"/>
        <w:rPr>
          <w:rFonts w:hint="eastAsia" w:ascii="Times New Roman" w:hAnsi="Times New Roman" w:eastAsia="宋体" w:cs="Times New Roman"/>
          <w:b/>
          <w:bCs/>
          <w:color w:val="auto"/>
          <w:sz w:val="21"/>
          <w:szCs w:val="21"/>
          <w:highlight w:val="none"/>
          <w:lang w:val="en-US" w:eastAsia="zh-CN" w:bidi="ar-SA"/>
        </w:rPr>
      </w:pPr>
    </w:p>
    <w:p>
      <w:pPr>
        <w:pStyle w:val="8"/>
        <w:tabs>
          <w:tab w:val="left" w:pos="226"/>
          <w:tab w:val="left" w:pos="284"/>
          <w:tab w:val="left" w:pos="5103"/>
        </w:tabs>
        <w:snapToGrid w:val="0"/>
        <w:spacing w:before="156" w:beforeLines="50"/>
        <w:rPr>
          <w:rFonts w:hint="eastAsia" w:eastAsia="宋体"/>
          <w:color w:val="auto"/>
          <w:sz w:val="21"/>
          <w:szCs w:val="21"/>
          <w:u w:val="single"/>
          <w:lang w:val="en-US" w:eastAsia="zh-CN"/>
        </w:rPr>
      </w:pPr>
      <w:r>
        <w:rPr>
          <w:rFonts w:hint="eastAsia" w:eastAsia="宋体"/>
          <w:color w:val="auto"/>
          <w:sz w:val="21"/>
          <w:szCs w:val="21"/>
          <w:u w:val="single"/>
          <w:lang w:val="en-US" w:eastAsia="zh-CN"/>
        </w:rPr>
        <w:t>L1-SINR measurements with SSB-based CMR and dedicated IMR</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Respect to this issue, the following options were discussed during 103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4"/>
              </w:numPr>
              <w:kinsoku/>
              <w:wordWrap/>
              <w:overflowPunct/>
              <w:topLinePunct w:val="0"/>
              <w:autoSpaceDE/>
              <w:autoSpaceDN/>
              <w:bidi w:val="0"/>
              <w:adjustRightInd/>
              <w:snapToGrid/>
              <w:ind w:left="840"/>
              <w:textAlignment w:val="auto"/>
              <w:rPr>
                <w:lang w:eastAsia="zh-CN"/>
              </w:rPr>
            </w:pPr>
            <w:r>
              <w:rPr>
                <w:lang w:eastAsia="zh-CN"/>
              </w:rPr>
              <w:t>Option 1: For L1-SINR measurements with SSB-based CMR and dedicated IMR configured for FR2 HST, the same enhancements as SSB-based L1-RSRP measurements should be applied.</w:t>
            </w:r>
          </w:p>
          <w:p>
            <w:pPr>
              <w:keepNext w:val="0"/>
              <w:keepLines w:val="0"/>
              <w:pageBreakBefore w:val="0"/>
              <w:widowControl/>
              <w:numPr>
                <w:ilvl w:val="0"/>
                <w:numId w:val="4"/>
              </w:numPr>
              <w:kinsoku/>
              <w:wordWrap/>
              <w:overflowPunct/>
              <w:topLinePunct w:val="0"/>
              <w:autoSpaceDE/>
              <w:autoSpaceDN/>
              <w:bidi w:val="0"/>
              <w:adjustRightInd/>
              <w:snapToGrid/>
              <w:ind w:left="840"/>
              <w:textAlignment w:val="auto"/>
              <w:rPr>
                <w:rFonts w:hint="default" w:eastAsia="宋体" w:cs="Times New Roman"/>
                <w:b/>
                <w:bCs/>
                <w:color w:val="auto"/>
                <w:sz w:val="21"/>
                <w:szCs w:val="21"/>
                <w:highlight w:val="none"/>
                <w:vertAlign w:val="baseline"/>
                <w:lang w:val="en-US" w:eastAsia="zh-CN" w:bidi="ar-SA"/>
              </w:rPr>
            </w:pPr>
            <w:r>
              <w:rPr>
                <w:lang w:eastAsia="zh-CN"/>
              </w:rPr>
              <w:t>Option 2: Do not define enhancement for L1-SINR</w:t>
            </w:r>
          </w:p>
          <w:p>
            <w:pPr>
              <w:keepNext w:val="0"/>
              <w:keepLines w:val="0"/>
              <w:pageBreakBefore w:val="0"/>
              <w:widowControl/>
              <w:numPr>
                <w:ilvl w:val="0"/>
                <w:numId w:val="4"/>
              </w:numPr>
              <w:kinsoku/>
              <w:wordWrap/>
              <w:overflowPunct/>
              <w:topLinePunct w:val="0"/>
              <w:autoSpaceDE/>
              <w:autoSpaceDN/>
              <w:bidi w:val="0"/>
              <w:adjustRightInd/>
              <w:snapToGrid/>
              <w:ind w:left="840"/>
              <w:textAlignment w:val="auto"/>
              <w:rPr>
                <w:rFonts w:hint="default" w:eastAsia="宋体" w:cs="Times New Roman"/>
                <w:b/>
                <w:bCs/>
                <w:color w:val="auto"/>
                <w:sz w:val="21"/>
                <w:szCs w:val="21"/>
                <w:highlight w:val="none"/>
                <w:vertAlign w:val="baseline"/>
                <w:lang w:val="en-US" w:eastAsia="zh-CN" w:bidi="ar-SA"/>
              </w:rPr>
            </w:pPr>
            <w:r>
              <w:rPr>
                <w:lang w:eastAsia="zh-CN"/>
              </w:rPr>
              <w:t>Other options are not precluded</w:t>
            </w:r>
          </w:p>
        </w:tc>
      </w:tr>
    </w:tbl>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Respect to L1 measurement enhancement in HST FR2, We have achieved agreements on SSB-based L1-RSRP measurement enhancement. The main difference between L1-RSRP and L1-SINR is taking interference into consideration. So applying the enhancement achieved in L1-RSRP measurement for HST FR2 into L1-SINR measurement with SSB-based CMR is reasonable. We do not exclude the applicability of L1-SINR measurement from HST FR2 scenario, so re-using the same enhancement between L1-RSRP measurement and L1-SINR measurement is natural.</w:t>
      </w:r>
    </w:p>
    <w:p>
      <w:pPr>
        <w:widowControl w:val="0"/>
        <w:numPr>
          <w:ilvl w:val="0"/>
          <w:numId w:val="0"/>
        </w:numPr>
        <w:jc w:val="both"/>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We prefer </w:t>
      </w:r>
      <w:r>
        <w:rPr>
          <w:rFonts w:hint="eastAsia" w:eastAsia="宋体" w:cs="Times New Roman"/>
          <w:b/>
          <w:bCs/>
          <w:color w:val="auto"/>
          <w:sz w:val="21"/>
          <w:szCs w:val="21"/>
          <w:highlight w:val="none"/>
          <w:lang w:val="en-US" w:eastAsia="zh-CN" w:bidi="ar-SA"/>
        </w:rPr>
        <w:t>Option 1, i.e. for L1-SINR measurements with SSB-based CMR and dedicated IMR configured for FR2 HST, the same enhancements as SSB-based L1-RSRP measurements should be applied.</w:t>
      </w:r>
    </w:p>
    <w:p>
      <w:pPr>
        <w:widowControl w:val="0"/>
        <w:numPr>
          <w:ilvl w:val="0"/>
          <w:numId w:val="0"/>
        </w:numPr>
        <w:jc w:val="both"/>
        <w:rPr>
          <w:rFonts w:hint="default" w:eastAsia="宋体"/>
          <w:color w:val="auto"/>
          <w:sz w:val="21"/>
          <w:szCs w:val="21"/>
          <w:lang w:val="en-US" w:eastAsia="zh-CN"/>
        </w:rPr>
      </w:pPr>
    </w:p>
    <w:bookmarkEnd w:id="2"/>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spacing w:before="156" w:beforeLines="50"/>
        <w:rPr>
          <w:rFonts w:hint="eastAsia" w:eastAsia="宋体"/>
          <w:color w:val="auto"/>
          <w:sz w:val="21"/>
          <w:szCs w:val="21"/>
          <w:lang w:val="en-GB" w:eastAsia="zh-CN"/>
        </w:rPr>
      </w:pPr>
      <w:r>
        <w:rPr>
          <w:rFonts w:hint="eastAsia" w:eastAsia="宋体"/>
          <w:color w:val="auto"/>
          <w:sz w:val="21"/>
          <w:szCs w:val="21"/>
          <w:lang w:val="en-GB" w:eastAsia="zh-CN"/>
        </w:rPr>
        <w:t xml:space="preserve">In this </w:t>
      </w:r>
      <w:r>
        <w:rPr>
          <w:rFonts w:hint="eastAsia" w:eastAsia="宋体"/>
          <w:color w:val="auto"/>
          <w:sz w:val="21"/>
          <w:szCs w:val="21"/>
          <w:lang w:val="en-US" w:eastAsia="zh-CN"/>
        </w:rPr>
        <w:t>contribution</w:t>
      </w:r>
      <w:r>
        <w:rPr>
          <w:rFonts w:hint="eastAsia" w:eastAsia="宋体"/>
          <w:color w:val="auto"/>
          <w:sz w:val="21"/>
          <w:szCs w:val="21"/>
          <w:lang w:val="en-GB" w:eastAsia="zh-CN"/>
        </w:rPr>
        <w:t>, we have the following proposal</w:t>
      </w:r>
      <w:r>
        <w:rPr>
          <w:rFonts w:hint="eastAsia" w:eastAsia="宋体"/>
          <w:color w:val="auto"/>
          <w:sz w:val="21"/>
          <w:szCs w:val="21"/>
          <w:lang w:val="en-US" w:eastAsia="zh-CN"/>
        </w:rPr>
        <w:t xml:space="preserve"> </w:t>
      </w:r>
      <w:r>
        <w:rPr>
          <w:rFonts w:hint="eastAsia" w:eastAsia="宋体"/>
          <w:color w:val="auto"/>
          <w:sz w:val="21"/>
          <w:szCs w:val="21"/>
          <w:lang w:val="en-GB" w:eastAsia="zh-CN"/>
        </w:rPr>
        <w:t xml:space="preserve">for </w:t>
      </w:r>
      <w:r>
        <w:rPr>
          <w:rFonts w:hint="eastAsia" w:eastAsia="宋体"/>
          <w:color w:val="auto"/>
          <w:sz w:val="21"/>
          <w:szCs w:val="21"/>
          <w:lang w:val="en-US" w:eastAsia="zh-CN"/>
        </w:rPr>
        <w:t>remaining issues about mobility requirements of FR2 HST</w:t>
      </w:r>
      <w:r>
        <w:rPr>
          <w:rFonts w:hint="eastAsia" w:eastAsia="宋体"/>
          <w:color w:val="auto"/>
          <w:sz w:val="21"/>
          <w:szCs w:val="21"/>
          <w:lang w:val="en-GB" w:eastAsia="zh-CN"/>
        </w:rPr>
        <w:t>:</w:t>
      </w:r>
    </w:p>
    <w:p>
      <w:pPr>
        <w:widowControl w:val="0"/>
        <w:numPr>
          <w:ilvl w:val="0"/>
          <w:numId w:val="0"/>
        </w:numPr>
        <w:jc w:val="both"/>
        <w:rPr>
          <w:rFonts w:hint="eastAsia" w:ascii="Times New Roman" w:hAnsi="Times New Roman"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We prefer to respect the previous agreement. So Option 1 is recommended. </w:t>
      </w:r>
    </w:p>
    <w:p>
      <w:pPr>
        <w:widowControl w:val="0"/>
        <w:numPr>
          <w:ilvl w:val="0"/>
          <w:numId w:val="0"/>
        </w:numPr>
        <w:jc w:val="both"/>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We prefer </w:t>
      </w:r>
      <w:r>
        <w:rPr>
          <w:rFonts w:hint="eastAsia" w:eastAsia="宋体" w:cs="Times New Roman"/>
          <w:b/>
          <w:bCs/>
          <w:color w:val="auto"/>
          <w:sz w:val="21"/>
          <w:szCs w:val="21"/>
          <w:highlight w:val="none"/>
          <w:lang w:val="en-US" w:eastAsia="zh-CN" w:bidi="ar-SA"/>
        </w:rPr>
        <w:t>Option 1, i.e. for L1-SINR measurements with SSB-based CMR and dedicated IMR configured for FR2 HST, the same enhancements as SSB-based L1-RSRP measurements should be applied.</w:t>
      </w:r>
    </w:p>
    <w:p>
      <w:pPr>
        <w:widowControl w:val="0"/>
        <w:numPr>
          <w:ilvl w:val="0"/>
          <w:numId w:val="0"/>
        </w:numPr>
        <w:jc w:val="both"/>
        <w:rPr>
          <w:rFonts w:hint="default" w:ascii="Times New Roman" w:hAnsi="Times New Roman" w:eastAsia="宋体" w:cs="Times New Roman"/>
          <w:b/>
          <w:bCs/>
          <w:color w:val="auto"/>
          <w:sz w:val="21"/>
          <w:szCs w:val="21"/>
          <w:highlight w:val="none"/>
          <w:lang w:val="en-US" w:eastAsia="zh-CN" w:bidi="ar-SA"/>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6"/>
        </w:numPr>
        <w:ind w:leftChars="0"/>
        <w:rPr>
          <w:rFonts w:hint="default"/>
          <w:color w:val="auto"/>
          <w:lang w:val="en-US" w:eastAsia="zh-CN"/>
        </w:rPr>
      </w:pPr>
      <w:r>
        <w:rPr>
          <w:rFonts w:hint="eastAsia"/>
          <w:color w:val="auto"/>
          <w:lang w:val="en-US" w:eastAsia="zh-CN"/>
        </w:rPr>
        <w:t>R4-2</w:t>
      </w:r>
      <w:r>
        <w:rPr>
          <w:rFonts w:hint="eastAsia"/>
          <w:color w:val="auto"/>
          <w:highlight w:val="none"/>
          <w:lang w:val="en-US" w:eastAsia="zh-CN"/>
        </w:rPr>
        <w:t>210608</w:t>
      </w:r>
      <w:r>
        <w:rPr>
          <w:rFonts w:hint="eastAsia"/>
          <w:color w:val="auto"/>
          <w:lang w:val="en-US" w:eastAsia="zh-CN"/>
        </w:rPr>
        <w:t xml:space="preserve">, </w:t>
      </w:r>
      <w:r>
        <w:rPr>
          <w:rFonts w:hint="default"/>
          <w:color w:val="auto"/>
          <w:lang w:val="en-US" w:eastAsia="zh-CN"/>
        </w:rPr>
        <w:t>“</w:t>
      </w:r>
      <w:r>
        <w:rPr>
          <w:rFonts w:hint="eastAsia"/>
          <w:color w:val="auto"/>
          <w:lang w:val="en-US" w:eastAsia="zh-CN"/>
        </w:rPr>
        <w:t>WF for FR2 HST RRM Core Requirement Maintenance</w:t>
      </w:r>
      <w:r>
        <w:rPr>
          <w:rFonts w:hint="default"/>
          <w:color w:val="auto"/>
          <w:lang w:val="en-US" w:eastAsia="zh-CN"/>
        </w:rPr>
        <w:t>”</w:t>
      </w:r>
      <w:r>
        <w:rPr>
          <w:rFonts w:hint="eastAsia"/>
          <w:color w:val="auto"/>
          <w:lang w:val="en-US" w:eastAsia="zh-CN"/>
        </w:rPr>
        <w:t xml:space="preserve">, RAN4#103 e-meeting, Nokia, Nokia Shanghai Bell. </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524AC8C"/>
    <w:multiLevelType w:val="singleLevel"/>
    <w:tmpl w:val="0524AC8C"/>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4"/>
  </w:num>
  <w:num w:numId="3">
    <w:abstractNumId w:val="2"/>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48F1036"/>
    <w:rsid w:val="05682273"/>
    <w:rsid w:val="05C42923"/>
    <w:rsid w:val="07CD3CDD"/>
    <w:rsid w:val="0855671D"/>
    <w:rsid w:val="09370038"/>
    <w:rsid w:val="09716BCA"/>
    <w:rsid w:val="09E644B8"/>
    <w:rsid w:val="0B013158"/>
    <w:rsid w:val="0B973328"/>
    <w:rsid w:val="0BB0429A"/>
    <w:rsid w:val="0D2C0103"/>
    <w:rsid w:val="103410A9"/>
    <w:rsid w:val="10CD3309"/>
    <w:rsid w:val="1481754F"/>
    <w:rsid w:val="148F5721"/>
    <w:rsid w:val="14AC57CD"/>
    <w:rsid w:val="158934D8"/>
    <w:rsid w:val="15F13016"/>
    <w:rsid w:val="164514BE"/>
    <w:rsid w:val="165D2584"/>
    <w:rsid w:val="170F06AA"/>
    <w:rsid w:val="174062C4"/>
    <w:rsid w:val="180A6E32"/>
    <w:rsid w:val="183F2CD2"/>
    <w:rsid w:val="18CD0507"/>
    <w:rsid w:val="197C0A51"/>
    <w:rsid w:val="1AD01A1B"/>
    <w:rsid w:val="1B3E179A"/>
    <w:rsid w:val="1BD816DE"/>
    <w:rsid w:val="1C177B08"/>
    <w:rsid w:val="1C9001C6"/>
    <w:rsid w:val="1CBA2101"/>
    <w:rsid w:val="1D0573D7"/>
    <w:rsid w:val="1D153DC4"/>
    <w:rsid w:val="1D223E0B"/>
    <w:rsid w:val="1D4E2F57"/>
    <w:rsid w:val="1D8B2B78"/>
    <w:rsid w:val="1E2D3C37"/>
    <w:rsid w:val="1E853F6F"/>
    <w:rsid w:val="1ECC1E3C"/>
    <w:rsid w:val="209249A3"/>
    <w:rsid w:val="21244EB1"/>
    <w:rsid w:val="21F13629"/>
    <w:rsid w:val="224E2CAF"/>
    <w:rsid w:val="232D3E03"/>
    <w:rsid w:val="24122135"/>
    <w:rsid w:val="246337B6"/>
    <w:rsid w:val="25603137"/>
    <w:rsid w:val="26BB1419"/>
    <w:rsid w:val="2861011F"/>
    <w:rsid w:val="28BC0EDF"/>
    <w:rsid w:val="299C6056"/>
    <w:rsid w:val="29BC50E0"/>
    <w:rsid w:val="29E82D40"/>
    <w:rsid w:val="2A7E505C"/>
    <w:rsid w:val="2BC05B2C"/>
    <w:rsid w:val="2BD617C5"/>
    <w:rsid w:val="2C112837"/>
    <w:rsid w:val="2C822CC9"/>
    <w:rsid w:val="2D411849"/>
    <w:rsid w:val="2E560A29"/>
    <w:rsid w:val="2E772C24"/>
    <w:rsid w:val="2EC371C0"/>
    <w:rsid w:val="2F2F0FC8"/>
    <w:rsid w:val="301C6BB6"/>
    <w:rsid w:val="302D09AA"/>
    <w:rsid w:val="313A4A06"/>
    <w:rsid w:val="31B14C9E"/>
    <w:rsid w:val="31C74626"/>
    <w:rsid w:val="33E70BC7"/>
    <w:rsid w:val="348E4211"/>
    <w:rsid w:val="35B06C6A"/>
    <w:rsid w:val="36D37423"/>
    <w:rsid w:val="384E731A"/>
    <w:rsid w:val="38630E74"/>
    <w:rsid w:val="38F05827"/>
    <w:rsid w:val="3A185287"/>
    <w:rsid w:val="3A692CD0"/>
    <w:rsid w:val="3A7803EC"/>
    <w:rsid w:val="3B673620"/>
    <w:rsid w:val="3B9A1F29"/>
    <w:rsid w:val="3CE4646B"/>
    <w:rsid w:val="3D5E7AA8"/>
    <w:rsid w:val="3D6F2596"/>
    <w:rsid w:val="3D8D023A"/>
    <w:rsid w:val="3E1E0AD2"/>
    <w:rsid w:val="3E3628E3"/>
    <w:rsid w:val="3F137100"/>
    <w:rsid w:val="405F175E"/>
    <w:rsid w:val="40C765F3"/>
    <w:rsid w:val="41517EA3"/>
    <w:rsid w:val="42F869D2"/>
    <w:rsid w:val="43553536"/>
    <w:rsid w:val="444E05B8"/>
    <w:rsid w:val="451632B9"/>
    <w:rsid w:val="45F60A50"/>
    <w:rsid w:val="46544A1E"/>
    <w:rsid w:val="46B036BF"/>
    <w:rsid w:val="47282363"/>
    <w:rsid w:val="47703899"/>
    <w:rsid w:val="484F4341"/>
    <w:rsid w:val="49E55BC5"/>
    <w:rsid w:val="4B2F741D"/>
    <w:rsid w:val="4B5D28ED"/>
    <w:rsid w:val="4C1B4559"/>
    <w:rsid w:val="4C1C63D6"/>
    <w:rsid w:val="4C864A35"/>
    <w:rsid w:val="4CBB43E6"/>
    <w:rsid w:val="4D7B423C"/>
    <w:rsid w:val="4E015C76"/>
    <w:rsid w:val="4E4A2325"/>
    <w:rsid w:val="4E5A42F3"/>
    <w:rsid w:val="501A6C55"/>
    <w:rsid w:val="51B14BED"/>
    <w:rsid w:val="51BE58BF"/>
    <w:rsid w:val="525C1CEF"/>
    <w:rsid w:val="52A75A71"/>
    <w:rsid w:val="53C64B93"/>
    <w:rsid w:val="55B1164D"/>
    <w:rsid w:val="55B4735E"/>
    <w:rsid w:val="56371459"/>
    <w:rsid w:val="59BB6C6D"/>
    <w:rsid w:val="59DA647E"/>
    <w:rsid w:val="5A556E1A"/>
    <w:rsid w:val="5EB44FC0"/>
    <w:rsid w:val="5F8677E1"/>
    <w:rsid w:val="5FBA395F"/>
    <w:rsid w:val="61CE67E6"/>
    <w:rsid w:val="635902CD"/>
    <w:rsid w:val="638B1EC6"/>
    <w:rsid w:val="64706BBE"/>
    <w:rsid w:val="64F2095B"/>
    <w:rsid w:val="65107815"/>
    <w:rsid w:val="66E64E7B"/>
    <w:rsid w:val="671A2A70"/>
    <w:rsid w:val="675D6715"/>
    <w:rsid w:val="67A858DB"/>
    <w:rsid w:val="68284302"/>
    <w:rsid w:val="68AB65A9"/>
    <w:rsid w:val="68B2660F"/>
    <w:rsid w:val="68C55376"/>
    <w:rsid w:val="69A833BD"/>
    <w:rsid w:val="6C4C2C3E"/>
    <w:rsid w:val="6DDE3DAF"/>
    <w:rsid w:val="6E441720"/>
    <w:rsid w:val="6F6C1FEA"/>
    <w:rsid w:val="6FB173BF"/>
    <w:rsid w:val="6FFB2EC1"/>
    <w:rsid w:val="70107467"/>
    <w:rsid w:val="70596220"/>
    <w:rsid w:val="708062D5"/>
    <w:rsid w:val="70D62147"/>
    <w:rsid w:val="715F4C2D"/>
    <w:rsid w:val="72BF60CA"/>
    <w:rsid w:val="72FE3A70"/>
    <w:rsid w:val="73A31A4B"/>
    <w:rsid w:val="73CF20AE"/>
    <w:rsid w:val="745A3850"/>
    <w:rsid w:val="753811DE"/>
    <w:rsid w:val="75BE67D4"/>
    <w:rsid w:val="75C759C1"/>
    <w:rsid w:val="75D25381"/>
    <w:rsid w:val="75FA12E2"/>
    <w:rsid w:val="761A6101"/>
    <w:rsid w:val="762D64F3"/>
    <w:rsid w:val="775B4604"/>
    <w:rsid w:val="77C067C3"/>
    <w:rsid w:val="78911E31"/>
    <w:rsid w:val="7A2E5A5D"/>
    <w:rsid w:val="7A9367CB"/>
    <w:rsid w:val="7AF22571"/>
    <w:rsid w:val="7C1C35A7"/>
    <w:rsid w:val="7C45431D"/>
    <w:rsid w:val="7D8E45CE"/>
    <w:rsid w:val="7DDD0501"/>
    <w:rsid w:val="7E935AFB"/>
    <w:rsid w:val="7EAE7F4F"/>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paragraph" w:customStyle="1" w:styleId="52">
    <w:name w:val="B2"/>
    <w:basedOn w:val="9"/>
    <w:qFormat/>
    <w:uiPriority w:val="0"/>
  </w:style>
  <w:style w:type="paragraph" w:customStyle="1" w:styleId="53">
    <w:name w:val="B3"/>
    <w:basedOn w:val="1"/>
    <w:qFormat/>
    <w:uiPriority w:val="0"/>
    <w:pPr>
      <w:ind w:left="1135" w:hanging="284"/>
    </w:pPr>
  </w:style>
  <w:style w:type="paragraph" w:customStyle="1" w:styleId="54">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2022-08-10T16:34:11Z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