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45E" w14:textId="49125D35"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E70CC4">
        <w:rPr>
          <w:rFonts w:ascii="Arial" w:hAnsi="Arial" w:cs="Arial"/>
          <w:sz w:val="28"/>
        </w:rPr>
        <w:t>4</w:t>
      </w:r>
      <w:r>
        <w:rPr>
          <w:rFonts w:ascii="Arial" w:hAnsi="Arial" w:cs="Arial"/>
          <w:sz w:val="28"/>
        </w:rPr>
        <w:t>-e</w:t>
      </w:r>
      <w:r w:rsidRPr="00E77857">
        <w:rPr>
          <w:rFonts w:ascii="Arial" w:hAnsi="Arial" w:cs="Arial"/>
          <w:sz w:val="28"/>
        </w:rPr>
        <w:tab/>
        <w:t>R4-</w:t>
      </w:r>
      <w:r>
        <w:rPr>
          <w:rFonts w:ascii="Arial" w:hAnsi="Arial" w:cs="Arial"/>
          <w:sz w:val="28"/>
        </w:rPr>
        <w:t>22</w:t>
      </w:r>
      <w:r w:rsidR="00E70CC4">
        <w:rPr>
          <w:rFonts w:ascii="Arial" w:hAnsi="Arial" w:cs="Arial"/>
          <w:sz w:val="28"/>
        </w:rPr>
        <w:t>1</w:t>
      </w:r>
      <w:r w:rsidR="00C41DD0">
        <w:rPr>
          <w:rFonts w:ascii="Arial" w:hAnsi="Arial" w:cs="Arial"/>
          <w:sz w:val="28"/>
        </w:rPr>
        <w:t>1805</w:t>
      </w:r>
    </w:p>
    <w:p w14:paraId="694AD9A5" w14:textId="414DB1B2"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E70CC4">
        <w:rPr>
          <w:rFonts w:ascii="Arial" w:hAnsi="Arial" w:cs="Arial"/>
          <w:sz w:val="28"/>
        </w:rPr>
        <w:t>15</w:t>
      </w:r>
      <w:r w:rsidRPr="00034F99">
        <w:rPr>
          <w:rFonts w:ascii="Arial" w:hAnsi="Arial" w:cs="Arial"/>
          <w:sz w:val="28"/>
        </w:rPr>
        <w:t xml:space="preserve"> </w:t>
      </w:r>
      <w:r w:rsidR="00530E92">
        <w:rPr>
          <w:rFonts w:ascii="Arial" w:hAnsi="Arial" w:cs="Arial"/>
          <w:sz w:val="28"/>
        </w:rPr>
        <w:t>–</w:t>
      </w:r>
      <w:r w:rsidRPr="00034F99">
        <w:rPr>
          <w:rFonts w:ascii="Arial" w:hAnsi="Arial" w:cs="Arial"/>
          <w:sz w:val="28"/>
        </w:rPr>
        <w:t xml:space="preserve"> </w:t>
      </w:r>
      <w:r w:rsidR="00AD66DC">
        <w:rPr>
          <w:rFonts w:ascii="Arial" w:hAnsi="Arial" w:cs="Arial"/>
          <w:sz w:val="28"/>
        </w:rPr>
        <w:t>2</w:t>
      </w:r>
      <w:r w:rsidR="00E70CC4">
        <w:rPr>
          <w:rFonts w:ascii="Arial" w:hAnsi="Arial" w:cs="Arial"/>
          <w:sz w:val="28"/>
        </w:rPr>
        <w:t>6</w:t>
      </w:r>
      <w:r w:rsidR="00530E92">
        <w:rPr>
          <w:rFonts w:ascii="Arial" w:hAnsi="Arial" w:cs="Arial"/>
          <w:sz w:val="28"/>
        </w:rPr>
        <w:t xml:space="preserve"> </w:t>
      </w:r>
      <w:r w:rsidR="00E70CC4">
        <w:rPr>
          <w:rFonts w:ascii="Arial" w:hAnsi="Arial" w:cs="Arial"/>
          <w:sz w:val="28"/>
        </w:rPr>
        <w:t>August</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35E6041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330BC">
        <w:rPr>
          <w:rFonts w:ascii="Arial" w:hAnsi="Arial"/>
          <w:b/>
          <w:lang w:val="en-GB"/>
        </w:rPr>
        <w:t>6</w:t>
      </w:r>
      <w:r>
        <w:rPr>
          <w:rFonts w:ascii="Arial" w:hAnsi="Arial"/>
          <w:b/>
          <w:lang w:val="en-GB"/>
        </w:rPr>
        <w:t>.</w:t>
      </w:r>
      <w:r w:rsidR="001662FA">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FC7D1A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30BC">
        <w:rPr>
          <w:rFonts w:ascii="Arial" w:hAnsi="Arial" w:cs="Arial"/>
          <w:b/>
        </w:rPr>
        <w:t xml:space="preserve">Input on </w:t>
      </w:r>
      <w:r w:rsidR="009330BC" w:rsidRPr="009330BC">
        <w:rPr>
          <w:rFonts w:ascii="Arial" w:hAnsi="Arial" w:cs="Arial"/>
          <w:b/>
        </w:rPr>
        <w:t>LS response to ITU</w:t>
      </w:r>
      <w:r w:rsidR="009330BC">
        <w:rPr>
          <w:rFonts w:ascii="Arial" w:hAnsi="Arial" w:cs="Arial"/>
          <w:b/>
        </w:rPr>
        <w:t xml:space="preserve">-R on </w:t>
      </w:r>
      <w:r w:rsidR="009330BC" w:rsidRPr="009330BC">
        <w:rPr>
          <w:rFonts w:ascii="Arial" w:hAnsi="Arial" w:cs="Arial"/>
          <w:b/>
        </w:rPr>
        <w:t>Generic unwanted emission (IMT-2020)</w:t>
      </w:r>
    </w:p>
    <w:p w14:paraId="28480302" w14:textId="799346C0"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30BC">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A5AD90E" w14:textId="03CDEADF" w:rsidR="009330BC" w:rsidRPr="009330BC" w:rsidRDefault="009330BC" w:rsidP="009330BC">
      <w:pPr>
        <w:pStyle w:val="BodyText"/>
        <w:snapToGrid w:val="0"/>
        <w:rPr>
          <w:color w:val="000000"/>
          <w:szCs w:val="20"/>
        </w:rPr>
      </w:pPr>
      <w:r w:rsidRPr="009330BC">
        <w:rPr>
          <w:color w:val="000000"/>
          <w:szCs w:val="20"/>
        </w:rPr>
        <w:t>The LS from ITU-R WP5D on Generic unwanted emission (IMT-2020) was first discussed at RAN4#101-e</w:t>
      </w:r>
      <w:r>
        <w:rPr>
          <w:color w:val="000000"/>
          <w:szCs w:val="20"/>
        </w:rPr>
        <w:t xml:space="preserve"> [1]</w:t>
      </w:r>
      <w:r w:rsidRPr="009330BC">
        <w:rPr>
          <w:color w:val="000000"/>
          <w:szCs w:val="20"/>
        </w:rPr>
        <w:t xml:space="preserve">, where a </w:t>
      </w:r>
      <w:r w:rsidR="00C54DEA">
        <w:rPr>
          <w:color w:val="000000"/>
          <w:szCs w:val="20"/>
        </w:rPr>
        <w:t xml:space="preserve">LS </w:t>
      </w:r>
      <w:r w:rsidRPr="009330BC">
        <w:rPr>
          <w:color w:val="000000"/>
          <w:szCs w:val="20"/>
        </w:rPr>
        <w:t>response was sent to TSG RAN asking for further time to develop the final response</w:t>
      </w:r>
      <w:r>
        <w:rPr>
          <w:color w:val="000000"/>
          <w:szCs w:val="20"/>
        </w:rPr>
        <w:t xml:space="preserve"> [2]</w:t>
      </w:r>
      <w:r w:rsidRPr="009330BC">
        <w:rPr>
          <w:color w:val="000000"/>
          <w:szCs w:val="20"/>
        </w:rPr>
        <w:t xml:space="preserve">. </w:t>
      </w:r>
      <w:r w:rsidR="00425A83">
        <w:rPr>
          <w:color w:val="000000"/>
          <w:szCs w:val="20"/>
        </w:rPr>
        <w:t xml:space="preserve">This topic was further discussed at RAN4#102-e </w:t>
      </w:r>
      <w:r w:rsidR="00EC7F45">
        <w:rPr>
          <w:color w:val="000000"/>
          <w:szCs w:val="20"/>
        </w:rPr>
        <w:t xml:space="preserve">and a WF was agreed [3], where it was agreed that the work is split among the interested companies and </w:t>
      </w:r>
      <w:r w:rsidR="00EC7F45">
        <w:t>the exact work split will be determined offline among the interested companies</w:t>
      </w:r>
      <w:r w:rsidRPr="009330BC">
        <w:rPr>
          <w:color w:val="000000"/>
          <w:szCs w:val="20"/>
        </w:rPr>
        <w:t>.</w:t>
      </w:r>
    </w:p>
    <w:p w14:paraId="600A0CD0" w14:textId="5046E2E2" w:rsidR="00DC28D5" w:rsidRDefault="00EC7F45" w:rsidP="009330BC">
      <w:pPr>
        <w:pStyle w:val="BodyText"/>
        <w:snapToGrid w:val="0"/>
        <w:rPr>
          <w:rFonts w:eastAsia="SimSun"/>
          <w:szCs w:val="20"/>
          <w:lang w:val="en-GB" w:eastAsia="zh-CN"/>
        </w:rPr>
      </w:pPr>
      <w:r>
        <w:t>This contribution provides our input according to the work split determined offline among the interested companies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83733A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EC7F45">
        <w:rPr>
          <w:rFonts w:ascii="Arial" w:hAnsi="Arial"/>
          <w:b/>
          <w:sz w:val="24"/>
        </w:rPr>
        <w:t>Discussion</w:t>
      </w:r>
    </w:p>
    <w:p w14:paraId="63A24640" w14:textId="13A07B4E" w:rsidR="00EC7F45" w:rsidRDefault="00EC7F45" w:rsidP="00EC7F45">
      <w:pPr>
        <w:pStyle w:val="BodyText"/>
        <w:snapToGrid w:val="0"/>
      </w:pPr>
      <w:r>
        <w:t xml:space="preserve">Our input </w:t>
      </w:r>
      <w:r w:rsidR="00E70CC4">
        <w:t>text</w:t>
      </w:r>
      <w:r>
        <w:t xml:space="preserve"> using the template shared among the interested companies are provided below.</w:t>
      </w:r>
    </w:p>
    <w:p w14:paraId="7F3502B9" w14:textId="6772DEE9" w:rsidR="00E70CC4" w:rsidRPr="00E70CC4" w:rsidRDefault="00E70CC4" w:rsidP="00EC7F45">
      <w:pPr>
        <w:pStyle w:val="BodyText"/>
        <w:snapToGrid w:val="0"/>
        <w:rPr>
          <w:b/>
          <w:bCs/>
        </w:rPr>
      </w:pPr>
      <w:r w:rsidRPr="00E70CC4">
        <w:rPr>
          <w:b/>
          <w:bCs/>
        </w:rPr>
        <w:t>&lt;Start of text&gt;</w:t>
      </w:r>
    </w:p>
    <w:p w14:paraId="1BB5EB5E"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240" w:after="160" w:line="256" w:lineRule="auto"/>
        <w:outlineLvl w:val="1"/>
        <w:rPr>
          <w:b/>
          <w:sz w:val="24"/>
          <w:szCs w:val="20"/>
          <w:lang w:val="en-GB"/>
        </w:rPr>
      </w:pPr>
      <w:r w:rsidRPr="00E70CC4">
        <w:rPr>
          <w:b/>
          <w:sz w:val="24"/>
          <w:szCs w:val="20"/>
          <w:lang w:val="en-GB"/>
        </w:rPr>
        <w:t>3.3</w:t>
      </w:r>
      <w:r w:rsidRPr="00E70CC4">
        <w:rPr>
          <w:b/>
          <w:sz w:val="24"/>
          <w:szCs w:val="20"/>
          <w:lang w:val="en-GB"/>
        </w:rPr>
        <w:tab/>
        <w:t>Conducted Cumulative adjacent channel leakage ratio (CACLR)</w:t>
      </w:r>
    </w:p>
    <w:p w14:paraId="00E4E8F2"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t>3.3.1</w:t>
      </w:r>
      <w:r w:rsidRPr="00E70CC4">
        <w:rPr>
          <w:b/>
          <w:sz w:val="24"/>
          <w:szCs w:val="20"/>
          <w:lang w:val="en-GB"/>
        </w:rPr>
        <w:tab/>
        <w:t>General requirements</w:t>
      </w:r>
    </w:p>
    <w:p w14:paraId="68C94CBA"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r w:rsidRPr="00E70CC4">
        <w:rPr>
          <w:sz w:val="24"/>
          <w:szCs w:val="20"/>
          <w:lang w:val="en-GB" w:eastAsia="ko-KR"/>
        </w:rPr>
        <w:t>The Cumulative Adjacent Channel Leakage power Ratio (CACLR) in a sub-block gap or the Inter RF Bandwidth gap is the ratio of:</w:t>
      </w:r>
    </w:p>
    <w:p w14:paraId="0D9159FC"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794" w:hanging="794"/>
        <w:rPr>
          <w:sz w:val="24"/>
          <w:szCs w:val="20"/>
          <w:lang w:val="en-GB"/>
        </w:rPr>
      </w:pPr>
      <w:r w:rsidRPr="00E70CC4">
        <w:rPr>
          <w:sz w:val="24"/>
          <w:szCs w:val="20"/>
          <w:lang w:val="en-GB" w:eastAsia="zh-CN"/>
        </w:rPr>
        <w:t>a)</w:t>
      </w:r>
      <w:r w:rsidRPr="00E70CC4">
        <w:rPr>
          <w:sz w:val="24"/>
          <w:szCs w:val="20"/>
          <w:lang w:val="en-GB" w:eastAsia="zh-CN"/>
        </w:rPr>
        <w:tab/>
        <w:t>the sum of the filtered mean power centred on the assigned channel frequencies for the two carriers adjacent to each side of the sub-block gap or the Inter RF Bandwidth gap, and</w:t>
      </w:r>
    </w:p>
    <w:p w14:paraId="1C35D265"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794" w:hanging="794"/>
        <w:rPr>
          <w:sz w:val="24"/>
          <w:szCs w:val="20"/>
          <w:lang w:val="en-GB" w:eastAsia="zh-CN"/>
        </w:rPr>
      </w:pPr>
      <w:r w:rsidRPr="00E70CC4">
        <w:rPr>
          <w:sz w:val="24"/>
          <w:szCs w:val="20"/>
          <w:lang w:val="en-GB" w:eastAsia="zh-CN"/>
        </w:rPr>
        <w:t>b)</w:t>
      </w:r>
      <w:r w:rsidRPr="00E70CC4">
        <w:rPr>
          <w:sz w:val="24"/>
          <w:szCs w:val="20"/>
          <w:lang w:val="en-GB" w:eastAsia="zh-CN"/>
        </w:rPr>
        <w:tab/>
        <w:t xml:space="preserve">the filtered mean power centred on a frequency channel adjacent to one of the respective sub-block edges or </w:t>
      </w:r>
      <w:r w:rsidRPr="00E70CC4">
        <w:rPr>
          <w:rFonts w:cs="v5.0.0"/>
          <w:sz w:val="24"/>
          <w:szCs w:val="20"/>
          <w:lang w:val="en-GB" w:eastAsia="zh-CN"/>
        </w:rPr>
        <w:t>Base Station</w:t>
      </w:r>
      <w:r w:rsidRPr="00E70CC4">
        <w:rPr>
          <w:sz w:val="24"/>
          <w:szCs w:val="20"/>
          <w:lang w:val="en-GB" w:eastAsia="zh-CN"/>
        </w:rPr>
        <w:t xml:space="preserve"> RF Bandwidth edges.</w:t>
      </w:r>
    </w:p>
    <w:p w14:paraId="57D528DC"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r w:rsidRPr="00E70CC4">
        <w:rPr>
          <w:sz w:val="24"/>
          <w:szCs w:val="20"/>
          <w:lang w:val="en-GB" w:eastAsia="ko-KR"/>
        </w:rPr>
        <w:t xml:space="preserve">The assumed filter for the adjacent channel frequency is defined in table </w:t>
      </w:r>
      <w:r w:rsidRPr="00E70CC4">
        <w:rPr>
          <w:sz w:val="24"/>
          <w:szCs w:val="20"/>
          <w:lang w:val="en-GB" w:eastAsia="zh-CN"/>
        </w:rPr>
        <w:t xml:space="preserve">6.6.3.5.2-4 of TS 38.141-1 [1] </w:t>
      </w:r>
      <w:r w:rsidRPr="00E70CC4">
        <w:rPr>
          <w:sz w:val="24"/>
          <w:szCs w:val="20"/>
          <w:lang w:val="en-GB" w:eastAsia="ko-KR"/>
        </w:rPr>
        <w:t xml:space="preserve">and the filters on the assigned channels are defined in table </w:t>
      </w:r>
      <w:r w:rsidRPr="00E70CC4">
        <w:rPr>
          <w:sz w:val="24"/>
          <w:szCs w:val="20"/>
          <w:lang w:val="en-GB"/>
        </w:rPr>
        <w:t>6.6.3.5.2-</w:t>
      </w:r>
      <w:r w:rsidRPr="00E70CC4">
        <w:rPr>
          <w:sz w:val="24"/>
          <w:szCs w:val="20"/>
          <w:lang w:val="en-GB" w:eastAsia="zh-CN"/>
        </w:rPr>
        <w:t>6 of TS 38.141-1 [1]</w:t>
      </w:r>
      <w:r w:rsidRPr="00E70CC4">
        <w:rPr>
          <w:sz w:val="24"/>
          <w:szCs w:val="20"/>
          <w:lang w:val="en-GB" w:eastAsia="ko-KR"/>
        </w:rPr>
        <w:t>.</w:t>
      </w:r>
    </w:p>
    <w:p w14:paraId="278D544B"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p>
    <w:p w14:paraId="73E788F3"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t>3.3.2</w:t>
      </w:r>
      <w:r w:rsidRPr="00E70CC4">
        <w:rPr>
          <w:b/>
          <w:sz w:val="24"/>
          <w:szCs w:val="20"/>
          <w:lang w:val="en-GB"/>
        </w:rPr>
        <w:tab/>
        <w:t>Limits and basic limits</w:t>
      </w:r>
    </w:p>
    <w:p w14:paraId="147DCBF7"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rFonts w:cs="v5.0.0"/>
          <w:sz w:val="24"/>
          <w:szCs w:val="20"/>
          <w:lang w:val="en-GB" w:eastAsia="ko-KR"/>
        </w:rPr>
      </w:pPr>
      <w:r w:rsidRPr="00E70CC4">
        <w:rPr>
          <w:rFonts w:cs="v5.0.0"/>
          <w:sz w:val="24"/>
          <w:szCs w:val="20"/>
          <w:lang w:val="en-GB" w:eastAsia="ko-KR"/>
        </w:rPr>
        <w:t>For operation in non-contiguous spectrum or multiple bands</w:t>
      </w:r>
      <w:r w:rsidRPr="00E70CC4">
        <w:rPr>
          <w:rFonts w:cs="v5.0.0"/>
          <w:sz w:val="24"/>
          <w:szCs w:val="20"/>
          <w:lang w:val="en-GB"/>
        </w:rPr>
        <w:t xml:space="preserve"> except for band n46, n96 and n102</w:t>
      </w:r>
      <w:r w:rsidRPr="00E70CC4">
        <w:rPr>
          <w:rFonts w:cs="v5.0.0"/>
          <w:sz w:val="24"/>
          <w:szCs w:val="20"/>
          <w:lang w:val="en-GB" w:eastAsia="ko-KR"/>
        </w:rPr>
        <w:t xml:space="preserve">, the CACLR for NR carriers located on either side of the sub-block gap or the Inter RF Bandwidth gap shall be higher than the value specified in table </w:t>
      </w:r>
      <w:r w:rsidRPr="00E70CC4">
        <w:rPr>
          <w:sz w:val="24"/>
          <w:szCs w:val="20"/>
          <w:lang w:val="en-GB" w:eastAsia="zh-CN"/>
        </w:rPr>
        <w:t>6.6.3.5.2-4 of TS 38.141-1 [1]</w:t>
      </w:r>
      <w:r w:rsidRPr="00E70CC4">
        <w:rPr>
          <w:rFonts w:cs="v5.0.0"/>
          <w:sz w:val="24"/>
          <w:szCs w:val="20"/>
          <w:lang w:val="en-GB" w:eastAsia="ko-KR"/>
        </w:rPr>
        <w:t>.</w:t>
      </w:r>
    </w:p>
    <w:p w14:paraId="3906759C"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rFonts w:cs="v5.0.0"/>
          <w:sz w:val="24"/>
          <w:szCs w:val="20"/>
          <w:lang w:val="en-GB"/>
        </w:rPr>
      </w:pPr>
      <w:r w:rsidRPr="00E70CC4">
        <w:rPr>
          <w:rFonts w:cs="v5.0.0"/>
          <w:sz w:val="24"/>
          <w:szCs w:val="20"/>
          <w:lang w:val="en-GB"/>
        </w:rPr>
        <w:t xml:space="preserve">For operation in non-contiguous spectrum for band n46, n96 and n102, the CACLR for NR carriers located on either side of the sub-block gap shall be higher than the value specified in Table </w:t>
      </w:r>
      <w:r w:rsidRPr="00E70CC4">
        <w:rPr>
          <w:rFonts w:cs="v5.0.0"/>
          <w:sz w:val="24"/>
          <w:szCs w:val="20"/>
          <w:lang w:val="en-GB" w:eastAsia="zh-CN"/>
        </w:rPr>
        <w:t>6.6.3.5.2-4a</w:t>
      </w:r>
      <w:r w:rsidRPr="00E70CC4">
        <w:rPr>
          <w:sz w:val="24"/>
          <w:szCs w:val="20"/>
          <w:lang w:val="en-GB" w:eastAsia="zh-CN"/>
        </w:rPr>
        <w:t xml:space="preserve"> of TS 38.141-1 [1]</w:t>
      </w:r>
      <w:r w:rsidRPr="00E70CC4">
        <w:rPr>
          <w:rFonts w:cs="v5.0.0"/>
          <w:sz w:val="24"/>
          <w:szCs w:val="20"/>
          <w:lang w:val="en-GB"/>
        </w:rPr>
        <w:t>.</w:t>
      </w:r>
    </w:p>
    <w:p w14:paraId="47DAA1F6"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rFonts w:cs="v5.0.0"/>
          <w:sz w:val="24"/>
          <w:szCs w:val="20"/>
          <w:lang w:val="en-GB"/>
        </w:rPr>
      </w:pPr>
      <w:r w:rsidRPr="00E70CC4">
        <w:rPr>
          <w:rFonts w:cs="v5.0.0"/>
          <w:sz w:val="24"/>
          <w:szCs w:val="20"/>
          <w:lang w:val="en-GB"/>
        </w:rPr>
        <w:t xml:space="preserve">The </w:t>
      </w:r>
      <w:r w:rsidRPr="00E70CC4">
        <w:rPr>
          <w:rFonts w:cs="v5.0.0"/>
          <w:sz w:val="24"/>
          <w:szCs w:val="20"/>
          <w:lang w:eastAsia="zh-CN"/>
        </w:rPr>
        <w:t>C</w:t>
      </w:r>
      <w:r w:rsidRPr="00E70CC4">
        <w:rPr>
          <w:rFonts w:cs="v5.0.0"/>
          <w:sz w:val="24"/>
          <w:szCs w:val="20"/>
          <w:lang w:val="en-GB"/>
        </w:rPr>
        <w:t>ACLR absolute</w:t>
      </w:r>
      <w:r w:rsidRPr="00E70CC4">
        <w:rPr>
          <w:rFonts w:cs="v5.0.0"/>
          <w:sz w:val="24"/>
          <w:szCs w:val="20"/>
          <w:lang w:eastAsia="zh-CN"/>
        </w:rPr>
        <w:t xml:space="preserve"> basic</w:t>
      </w:r>
      <w:r w:rsidRPr="00E70CC4">
        <w:rPr>
          <w:rFonts w:cs="v5.0.0"/>
          <w:sz w:val="24"/>
          <w:szCs w:val="20"/>
          <w:lang w:val="en-GB"/>
        </w:rPr>
        <w:t xml:space="preserve"> limit</w:t>
      </w:r>
      <w:r w:rsidRPr="00E70CC4">
        <w:rPr>
          <w:rFonts w:cs="v5.0.0"/>
          <w:sz w:val="24"/>
          <w:szCs w:val="20"/>
          <w:lang w:eastAsia="zh-CN"/>
        </w:rPr>
        <w:t xml:space="preserve"> is</w:t>
      </w:r>
      <w:r w:rsidRPr="00E70CC4">
        <w:rPr>
          <w:rFonts w:cs="v5.0.0"/>
          <w:sz w:val="24"/>
          <w:szCs w:val="20"/>
          <w:lang w:val="en-GB"/>
        </w:rPr>
        <w:t xml:space="preserve"> specified in table 6.6.</w:t>
      </w:r>
      <w:r w:rsidRPr="00E70CC4">
        <w:rPr>
          <w:rFonts w:cs="v5.0.0"/>
          <w:sz w:val="24"/>
          <w:szCs w:val="20"/>
          <w:lang w:val="en-GB" w:eastAsia="zh-CN"/>
        </w:rPr>
        <w:t>3</w:t>
      </w:r>
      <w:r w:rsidRPr="00E70CC4">
        <w:rPr>
          <w:rFonts w:cs="v5.0.0"/>
          <w:sz w:val="24"/>
          <w:szCs w:val="20"/>
          <w:lang w:val="en-GB"/>
        </w:rPr>
        <w:t>.5.2-5</w:t>
      </w:r>
      <w:r w:rsidRPr="00E70CC4">
        <w:rPr>
          <w:sz w:val="24"/>
          <w:szCs w:val="20"/>
          <w:lang w:val="en-GB" w:eastAsia="zh-CN"/>
        </w:rPr>
        <w:t xml:space="preserve"> of TS 38.141-1 [1]</w:t>
      </w:r>
      <w:r w:rsidRPr="00E70CC4">
        <w:rPr>
          <w:rFonts w:cs="v5.0.0"/>
          <w:sz w:val="24"/>
          <w:szCs w:val="20"/>
          <w:lang w:val="en-GB"/>
        </w:rPr>
        <w:t>.</w:t>
      </w:r>
    </w:p>
    <w:p w14:paraId="29842E5D"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lastRenderedPageBreak/>
        <w:t>3.3.3</w:t>
      </w:r>
      <w:r w:rsidRPr="00E70CC4">
        <w:rPr>
          <w:b/>
          <w:sz w:val="24"/>
          <w:szCs w:val="20"/>
          <w:lang w:val="en-GB"/>
        </w:rPr>
        <w:tab/>
        <w:t>BS type 1-C</w:t>
      </w:r>
    </w:p>
    <w:p w14:paraId="4EF37103"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 xml:space="preserve">The CACLR test requirements for BS type 1-C are given in table </w:t>
      </w:r>
      <w:r w:rsidRPr="00E70CC4">
        <w:rPr>
          <w:sz w:val="24"/>
          <w:szCs w:val="20"/>
          <w:lang w:val="en-GB" w:eastAsia="zh-CN"/>
        </w:rPr>
        <w:t xml:space="preserve">6.6.3.5.2-4 of TS 38.141-1 [1] </w:t>
      </w:r>
      <w:r w:rsidRPr="00E70CC4">
        <w:rPr>
          <w:sz w:val="24"/>
          <w:szCs w:val="20"/>
          <w:lang w:val="en-GB"/>
        </w:rPr>
        <w:t xml:space="preserve">applies per antenna connector. Conformance can be shown by meeting the CACLR limit in table </w:t>
      </w:r>
      <w:r w:rsidRPr="00E70CC4">
        <w:rPr>
          <w:sz w:val="24"/>
          <w:szCs w:val="20"/>
          <w:lang w:val="en-GB" w:eastAsia="zh-CN"/>
        </w:rPr>
        <w:t xml:space="preserve">6.6.3.5.2-4 of TS 38.141-1 [1] </w:t>
      </w:r>
      <w:r w:rsidRPr="00E70CC4">
        <w:rPr>
          <w:sz w:val="24"/>
          <w:szCs w:val="20"/>
          <w:lang w:val="en-GB"/>
        </w:rPr>
        <w:t>or the absolute basic limits in table 6.6.</w:t>
      </w:r>
      <w:r w:rsidRPr="00E70CC4">
        <w:rPr>
          <w:sz w:val="24"/>
          <w:szCs w:val="20"/>
          <w:lang w:val="en-GB" w:eastAsia="zh-CN"/>
        </w:rPr>
        <w:t>3</w:t>
      </w:r>
      <w:r w:rsidRPr="00E70CC4">
        <w:rPr>
          <w:sz w:val="24"/>
          <w:szCs w:val="20"/>
          <w:lang w:val="en-GB"/>
        </w:rPr>
        <w:t>.5.2-5</w:t>
      </w:r>
      <w:r w:rsidRPr="00E70CC4">
        <w:rPr>
          <w:sz w:val="24"/>
          <w:szCs w:val="20"/>
          <w:lang w:val="en-GB" w:eastAsia="zh-CN"/>
        </w:rPr>
        <w:t xml:space="preserve"> of TS 38.141-1 [1]</w:t>
      </w:r>
      <w:r w:rsidRPr="00E70CC4">
        <w:rPr>
          <w:sz w:val="24"/>
          <w:szCs w:val="20"/>
          <w:lang w:val="en-GB"/>
        </w:rPr>
        <w:t>, whichever is less stringent.</w:t>
      </w:r>
    </w:p>
    <w:p w14:paraId="6C436803"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t>3.3.4</w:t>
      </w:r>
      <w:r w:rsidRPr="00E70CC4">
        <w:rPr>
          <w:b/>
          <w:sz w:val="24"/>
          <w:szCs w:val="20"/>
          <w:lang w:val="en-GB"/>
        </w:rPr>
        <w:tab/>
        <w:t>BS type 1-H</w:t>
      </w:r>
    </w:p>
    <w:p w14:paraId="70FA38D1"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The CACLR absolute basic limits in table 6.6.</w:t>
      </w:r>
      <w:r w:rsidRPr="00E70CC4">
        <w:rPr>
          <w:sz w:val="24"/>
          <w:szCs w:val="20"/>
          <w:lang w:val="en-GB" w:eastAsia="zh-CN"/>
        </w:rPr>
        <w:t>3</w:t>
      </w:r>
      <w:r w:rsidRPr="00E70CC4">
        <w:rPr>
          <w:sz w:val="24"/>
          <w:szCs w:val="20"/>
          <w:lang w:val="en-GB"/>
        </w:rPr>
        <w:t xml:space="preserve">.5.2-5 </w:t>
      </w:r>
      <w:r w:rsidRPr="00E70CC4">
        <w:rPr>
          <w:sz w:val="24"/>
          <w:szCs w:val="20"/>
          <w:lang w:val="en-GB" w:eastAsia="zh-CN"/>
        </w:rPr>
        <w:t xml:space="preserve">of TS 38.141-1 [1] </w:t>
      </w:r>
      <w:r w:rsidRPr="00E70CC4">
        <w:rPr>
          <w:sz w:val="24"/>
          <w:szCs w:val="20"/>
          <w:lang w:val="en-GB"/>
        </w:rPr>
        <w:t>+ X</w:t>
      </w:r>
      <w:r w:rsidRPr="00E70CC4">
        <w:rPr>
          <w:sz w:val="24"/>
          <w:szCs w:val="20"/>
          <w:lang w:eastAsia="zh-CN"/>
        </w:rPr>
        <w:t xml:space="preserve">, </w:t>
      </w:r>
      <w:r w:rsidRPr="00E70CC4">
        <w:rPr>
          <w:sz w:val="24"/>
          <w:szCs w:val="20"/>
          <w:lang w:val="en-GB"/>
        </w:rPr>
        <w:t>(where X = 10log</w:t>
      </w:r>
      <w:r w:rsidRPr="00E70CC4">
        <w:rPr>
          <w:sz w:val="24"/>
          <w:szCs w:val="20"/>
          <w:vertAlign w:val="subscript"/>
          <w:lang w:val="en-GB"/>
        </w:rPr>
        <w:t>10</w:t>
      </w:r>
      <w:r w:rsidRPr="00E70CC4">
        <w:rPr>
          <w:sz w:val="24"/>
          <w:szCs w:val="20"/>
          <w:lang w:val="en-GB"/>
        </w:rPr>
        <w:t>(N</w:t>
      </w:r>
      <w:r w:rsidRPr="00E70CC4">
        <w:rPr>
          <w:sz w:val="24"/>
          <w:szCs w:val="20"/>
          <w:vertAlign w:val="subscript"/>
          <w:lang w:val="en-GB"/>
        </w:rPr>
        <w:t>TXU,countedpercell</w:t>
      </w:r>
      <w:r w:rsidRPr="00E70CC4">
        <w:rPr>
          <w:sz w:val="24"/>
          <w:szCs w:val="20"/>
          <w:lang w:val="en-GB"/>
        </w:rPr>
        <w:t xml:space="preserve">)) or the CACLR limits in table </w:t>
      </w:r>
      <w:r w:rsidRPr="00E70CC4">
        <w:rPr>
          <w:sz w:val="24"/>
          <w:szCs w:val="20"/>
          <w:lang w:val="en-GB" w:eastAsia="zh-CN"/>
        </w:rPr>
        <w:t>6.6.3.5.2-4 of TS 38.141-1 [1]</w:t>
      </w:r>
      <w:r w:rsidRPr="00E70CC4">
        <w:rPr>
          <w:sz w:val="24"/>
          <w:szCs w:val="20"/>
          <w:lang w:val="en-GB"/>
        </w:rPr>
        <w:t>, whichever is less stringent, shall apply for each TAB connector TX min cell group.</w:t>
      </w:r>
    </w:p>
    <w:p w14:paraId="4A62A256"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794" w:hanging="794"/>
        <w:rPr>
          <w:sz w:val="24"/>
          <w:szCs w:val="20"/>
          <w:lang w:val="en-GB" w:eastAsia="zh-CN"/>
        </w:rPr>
      </w:pPr>
      <w:r w:rsidRPr="00E70CC4">
        <w:rPr>
          <w:sz w:val="24"/>
          <w:szCs w:val="20"/>
          <w:lang w:val="en-GB" w:eastAsia="zh-CN"/>
        </w:rPr>
        <w:tab/>
        <w:t>Conformance to the BS type 1-H CACLR limit can be demonstrated by meeting at least one of the following criteria as determined by the manufacturer:</w:t>
      </w:r>
    </w:p>
    <w:p w14:paraId="44FA932F"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1)</w:t>
      </w:r>
      <w:r w:rsidRPr="00E70CC4">
        <w:rPr>
          <w:sz w:val="24"/>
          <w:szCs w:val="20"/>
          <w:lang w:val="en-GB" w:eastAsia="zh-CN"/>
        </w:rPr>
        <w:tab/>
        <w:t>The ratio of the sum of the filtered mean power measured on each TAB connector in the TAB connector TX min cell group at the assigned channel frequency to the sum of the filtered mean power measured on each TAB connector in the TAB connector TX min cell group at the adjacent channel frequency shall be greater than or equal to the CACLR limit of the BS. This shall apply for each TAB connector TX min cell group.</w:t>
      </w:r>
    </w:p>
    <w:p w14:paraId="5BED5906"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Or</w:t>
      </w:r>
    </w:p>
    <w:p w14:paraId="3B7D2B0C"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2)</w:t>
      </w:r>
      <w:r w:rsidRPr="00E70CC4">
        <w:rPr>
          <w:sz w:val="24"/>
          <w:szCs w:val="20"/>
          <w:lang w:val="en-GB" w:eastAsia="zh-CN"/>
        </w:rPr>
        <w:tab/>
        <w:t>The ratio of the filtered mean power at the TAB connector centred on the assigned channel frequency to the filtered mean power at this TAB connector centred on the adjacent channel frequency shall be greater than or equal to the CACLR limit of the BS for every TAB connector in the TAB connector TX min cell group, for each TAB connector TX min cell group.</w:t>
      </w:r>
    </w:p>
    <w:p w14:paraId="4BE94C77"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794" w:hanging="794"/>
        <w:rPr>
          <w:sz w:val="24"/>
          <w:szCs w:val="20"/>
          <w:lang w:val="en-GB" w:eastAsia="zh-CN"/>
        </w:rPr>
      </w:pPr>
      <w:r w:rsidRPr="00E70CC4">
        <w:rPr>
          <w:sz w:val="24"/>
          <w:szCs w:val="20"/>
          <w:lang w:val="en-GB" w:eastAsia="zh-CN"/>
        </w:rPr>
        <w:tab/>
        <w:t xml:space="preserve">In case the </w:t>
      </w:r>
      <w:r w:rsidRPr="00E70CC4">
        <w:rPr>
          <w:sz w:val="24"/>
          <w:szCs w:val="20"/>
          <w:lang w:eastAsia="zh-CN"/>
        </w:rPr>
        <w:t>CACLR</w:t>
      </w:r>
      <w:r w:rsidRPr="00E70CC4">
        <w:rPr>
          <w:sz w:val="24"/>
          <w:szCs w:val="20"/>
          <w:lang w:val="en-GB" w:eastAsia="zh-CN"/>
        </w:rPr>
        <w:t xml:space="preserve"> absolute basic limit of BS type 1-H are applied, the conformance can be demonstrated by meeting at least one of the following criteria as determined by the manufacturer:</w:t>
      </w:r>
    </w:p>
    <w:p w14:paraId="50275AA7"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1)</w:t>
      </w:r>
      <w:r w:rsidRPr="00E70CC4">
        <w:rPr>
          <w:sz w:val="24"/>
          <w:szCs w:val="20"/>
          <w:lang w:val="en-GB" w:eastAsia="zh-CN"/>
        </w:rPr>
        <w:tab/>
        <w:t xml:space="preserve">The sum of the filtered mean power measured on each TAB connector in the TAB connector TX min cell group at the adjacent channel frequency shall be less than or equal to the </w:t>
      </w:r>
      <w:r w:rsidRPr="00E70CC4">
        <w:rPr>
          <w:sz w:val="24"/>
          <w:szCs w:val="20"/>
          <w:lang w:eastAsia="zh-CN"/>
        </w:rPr>
        <w:t xml:space="preserve">CACLR </w:t>
      </w:r>
      <w:r w:rsidRPr="00E70CC4">
        <w:rPr>
          <w:sz w:val="24"/>
          <w:szCs w:val="20"/>
          <w:lang w:val="en-GB" w:eastAsia="zh-CN"/>
        </w:rPr>
        <w:t>absolute basic limit + X (where X = 10log</w:t>
      </w:r>
      <w:r w:rsidRPr="00E70CC4">
        <w:rPr>
          <w:sz w:val="24"/>
          <w:szCs w:val="20"/>
          <w:vertAlign w:val="subscript"/>
          <w:lang w:val="en-GB" w:eastAsia="zh-CN"/>
        </w:rPr>
        <w:t>10</w:t>
      </w:r>
      <w:r w:rsidRPr="00E70CC4">
        <w:rPr>
          <w:sz w:val="24"/>
          <w:szCs w:val="20"/>
          <w:lang w:val="en-GB" w:eastAsia="zh-CN"/>
        </w:rPr>
        <w:t>(N</w:t>
      </w:r>
      <w:r w:rsidRPr="00E70CC4">
        <w:rPr>
          <w:sz w:val="24"/>
          <w:szCs w:val="20"/>
          <w:vertAlign w:val="subscript"/>
          <w:lang w:val="en-GB" w:eastAsia="zh-CN"/>
        </w:rPr>
        <w:t>TXU,countedpercell</w:t>
      </w:r>
      <w:r w:rsidRPr="00E70CC4">
        <w:rPr>
          <w:sz w:val="24"/>
          <w:szCs w:val="20"/>
          <w:lang w:val="en-GB" w:eastAsia="zh-CN"/>
        </w:rPr>
        <w:t>)) of the BS. This shall apply to each TAB connector TX min cell group.</w:t>
      </w:r>
    </w:p>
    <w:p w14:paraId="10CDA850"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Or</w:t>
      </w:r>
    </w:p>
    <w:p w14:paraId="3CBED144"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80" w:after="160" w:line="256" w:lineRule="auto"/>
        <w:ind w:left="1191" w:hanging="397"/>
        <w:rPr>
          <w:sz w:val="24"/>
          <w:szCs w:val="20"/>
          <w:lang w:val="en-GB" w:eastAsia="zh-CN"/>
        </w:rPr>
      </w:pPr>
      <w:r w:rsidRPr="00E70CC4">
        <w:rPr>
          <w:sz w:val="24"/>
          <w:szCs w:val="20"/>
          <w:lang w:val="en-GB" w:eastAsia="zh-CN"/>
        </w:rPr>
        <w:t>2)</w:t>
      </w:r>
      <w:r w:rsidRPr="00E70CC4">
        <w:rPr>
          <w:sz w:val="24"/>
          <w:szCs w:val="20"/>
          <w:lang w:val="en-GB" w:eastAsia="zh-CN"/>
        </w:rPr>
        <w:tab/>
        <w:t xml:space="preserve">The filtered mean power at each TAB connector centred on the adjacent channel frequency shall be less than or equal to the </w:t>
      </w:r>
      <w:r w:rsidRPr="00E70CC4">
        <w:rPr>
          <w:sz w:val="24"/>
          <w:szCs w:val="20"/>
          <w:lang w:eastAsia="zh-CN"/>
        </w:rPr>
        <w:t xml:space="preserve">CACLR </w:t>
      </w:r>
      <w:r w:rsidRPr="00E70CC4">
        <w:rPr>
          <w:sz w:val="24"/>
          <w:szCs w:val="20"/>
          <w:lang w:val="en-GB" w:eastAsia="zh-CN"/>
        </w:rPr>
        <w:t>absolute basic limit of the BS scaled by X -10log</w:t>
      </w:r>
      <w:r w:rsidRPr="00E70CC4">
        <w:rPr>
          <w:sz w:val="24"/>
          <w:szCs w:val="20"/>
          <w:vertAlign w:val="subscript"/>
          <w:lang w:val="en-GB" w:eastAsia="zh-CN"/>
        </w:rPr>
        <w:t>10</w:t>
      </w:r>
      <w:r w:rsidRPr="00E70CC4">
        <w:rPr>
          <w:sz w:val="24"/>
          <w:szCs w:val="20"/>
          <w:lang w:val="en-GB" w:eastAsia="zh-CN"/>
        </w:rPr>
        <w:t>(n) for every TAB connector in the TAB connector TX min cell group, for each TAB connector TX min cell group, where n is the number of TAB connectors in the TAB connector TX min cell group.</w:t>
      </w:r>
    </w:p>
    <w:p w14:paraId="61B16D2E" w14:textId="7BE8F81D" w:rsidR="00402E26" w:rsidRPr="00E70CC4" w:rsidRDefault="00402E26" w:rsidP="00402E26">
      <w:pPr>
        <w:pStyle w:val="BodyText"/>
        <w:snapToGrid w:val="0"/>
        <w:rPr>
          <w:b/>
          <w:bCs/>
        </w:rPr>
      </w:pPr>
      <w:r w:rsidRPr="00E70CC4">
        <w:rPr>
          <w:b/>
          <w:bCs/>
        </w:rPr>
        <w:t>&lt;</w:t>
      </w:r>
      <w:r>
        <w:rPr>
          <w:b/>
          <w:bCs/>
        </w:rPr>
        <w:t>Next changed</w:t>
      </w:r>
      <w:r w:rsidRPr="00E70CC4">
        <w:rPr>
          <w:b/>
          <w:bCs/>
        </w:rPr>
        <w:t xml:space="preserve"> text&gt;</w:t>
      </w:r>
    </w:p>
    <w:p w14:paraId="7CC844D3"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240" w:after="160" w:line="256" w:lineRule="auto"/>
        <w:outlineLvl w:val="1"/>
        <w:rPr>
          <w:b/>
          <w:sz w:val="24"/>
          <w:szCs w:val="20"/>
          <w:lang w:val="en-GB"/>
        </w:rPr>
      </w:pPr>
      <w:r w:rsidRPr="00E70CC4">
        <w:rPr>
          <w:b/>
          <w:sz w:val="24"/>
          <w:szCs w:val="20"/>
          <w:lang w:val="en-GB"/>
        </w:rPr>
        <w:lastRenderedPageBreak/>
        <w:t>4.3</w:t>
      </w:r>
      <w:r w:rsidRPr="00E70CC4">
        <w:rPr>
          <w:b/>
          <w:sz w:val="24"/>
          <w:szCs w:val="20"/>
          <w:lang w:val="en-GB"/>
        </w:rPr>
        <w:tab/>
        <w:t>OTA Cumulative adjacent channel leakage ratio (CACLR)</w:t>
      </w:r>
    </w:p>
    <w:p w14:paraId="2A056058"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t>4.3.1</w:t>
      </w:r>
      <w:r w:rsidRPr="00E70CC4">
        <w:rPr>
          <w:b/>
          <w:sz w:val="24"/>
          <w:szCs w:val="20"/>
          <w:lang w:val="en-GB"/>
        </w:rPr>
        <w:tab/>
        <w:t>BS type 1-O</w:t>
      </w:r>
    </w:p>
    <w:p w14:paraId="2B4DD607"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 xml:space="preserve">The OTA CACLR limits in table 6.7.3.5.1-3 </w:t>
      </w:r>
      <w:r w:rsidRPr="00E70CC4">
        <w:rPr>
          <w:rFonts w:cs="v5.0.0"/>
          <w:sz w:val="24"/>
          <w:szCs w:val="20"/>
          <w:lang w:val="en-GB" w:eastAsia="ko-KR"/>
        </w:rPr>
        <w:t xml:space="preserve">of TS 38.141-2 [2] </w:t>
      </w:r>
      <w:r w:rsidRPr="00E70CC4">
        <w:rPr>
          <w:sz w:val="24"/>
          <w:szCs w:val="20"/>
          <w:lang w:val="en-GB"/>
        </w:rPr>
        <w:t xml:space="preserve">or the OTA CACLR absolute limits in table 6.7.3.5.1-3a </w:t>
      </w:r>
      <w:r w:rsidRPr="00E70CC4">
        <w:rPr>
          <w:rFonts w:cs="v5.0.0"/>
          <w:sz w:val="24"/>
          <w:szCs w:val="20"/>
          <w:lang w:val="en-GB" w:eastAsia="ko-KR"/>
        </w:rPr>
        <w:t xml:space="preserve">of TS 38.141-2 [2] </w:t>
      </w:r>
      <w:r w:rsidRPr="00E70CC4">
        <w:rPr>
          <w:sz w:val="24"/>
          <w:szCs w:val="20"/>
          <w:lang w:val="en-GB"/>
        </w:rPr>
        <w:t>shall apply, whichever is less stringent.</w:t>
      </w:r>
    </w:p>
    <w:p w14:paraId="64189E03"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r w:rsidRPr="00E70CC4">
        <w:rPr>
          <w:sz w:val="24"/>
          <w:szCs w:val="20"/>
          <w:lang w:val="en-GB" w:eastAsia="ko-KR"/>
        </w:rPr>
        <w:t>The CACLR in a sub-block g</w:t>
      </w:r>
      <w:r w:rsidRPr="00E70CC4">
        <w:rPr>
          <w:sz w:val="21"/>
          <w:szCs w:val="22"/>
          <w:lang w:val="en-GB" w:eastAsia="ko-KR"/>
        </w:rPr>
        <w:t>ap</w:t>
      </w:r>
      <w:r w:rsidRPr="00E70CC4">
        <w:rPr>
          <w:sz w:val="21"/>
          <w:szCs w:val="22"/>
          <w:lang w:eastAsia="zh-CN"/>
        </w:rPr>
        <w:t xml:space="preserve"> </w:t>
      </w:r>
      <w:r w:rsidRPr="00E70CC4">
        <w:rPr>
          <w:sz w:val="24"/>
          <w:szCs w:val="20"/>
          <w:lang w:eastAsia="zh-CN"/>
        </w:rPr>
        <w:t xml:space="preserve">and </w:t>
      </w:r>
      <w:r w:rsidRPr="00E70CC4">
        <w:rPr>
          <w:sz w:val="24"/>
          <w:szCs w:val="20"/>
          <w:lang w:val="en-GB" w:eastAsia="ko-KR"/>
        </w:rPr>
        <w:t xml:space="preserve">Inter RF Bandwidth gap </w:t>
      </w:r>
      <w:r w:rsidRPr="00E70CC4">
        <w:rPr>
          <w:sz w:val="21"/>
          <w:szCs w:val="22"/>
          <w:lang w:val="en-GB" w:eastAsia="ko-KR"/>
        </w:rPr>
        <w:t>is the ratio of:</w:t>
      </w:r>
    </w:p>
    <w:p w14:paraId="1F72C045" w14:textId="77777777" w:rsidR="00E70CC4" w:rsidRPr="00E70CC4" w:rsidRDefault="00E70CC4" w:rsidP="00E70CC4">
      <w:pPr>
        <w:spacing w:before="120"/>
        <w:ind w:left="568" w:hanging="284"/>
        <w:rPr>
          <w:sz w:val="24"/>
          <w:lang w:val="en-GB"/>
        </w:rPr>
      </w:pPr>
      <w:r w:rsidRPr="00E70CC4">
        <w:rPr>
          <w:sz w:val="24"/>
          <w:lang w:val="en-GB" w:eastAsia="zh-CN"/>
        </w:rPr>
        <w:t>a)</w:t>
      </w:r>
      <w:r w:rsidRPr="00E70CC4">
        <w:rPr>
          <w:sz w:val="24"/>
          <w:lang w:val="en-GB" w:eastAsia="zh-CN"/>
        </w:rPr>
        <w:tab/>
        <w:t>the sum of the filtered mean power centred on the assigned channel frequencies for the two carriers adjacent to each side of the sub-block gap or the Inter RF Bandwidth gap, and</w:t>
      </w:r>
    </w:p>
    <w:p w14:paraId="1046CF1E" w14:textId="77777777" w:rsidR="00E70CC4" w:rsidRPr="00E70CC4" w:rsidRDefault="00E70CC4" w:rsidP="00E70CC4">
      <w:pPr>
        <w:spacing w:before="120"/>
        <w:ind w:left="568" w:hanging="284"/>
        <w:rPr>
          <w:sz w:val="24"/>
          <w:lang w:val="en-GB" w:eastAsia="zh-CN"/>
        </w:rPr>
      </w:pPr>
      <w:r w:rsidRPr="00E70CC4">
        <w:rPr>
          <w:sz w:val="24"/>
          <w:lang w:val="en-GB" w:eastAsia="zh-CN"/>
        </w:rPr>
        <w:t>b)</w:t>
      </w:r>
      <w:r w:rsidRPr="00E70CC4">
        <w:rPr>
          <w:sz w:val="24"/>
          <w:lang w:val="en-GB" w:eastAsia="zh-CN"/>
        </w:rPr>
        <w:tab/>
        <w:t xml:space="preserve">the filtered mean power centred on a frequency channel adjacent to one of the respective sub-block edges or </w:t>
      </w:r>
      <w:r w:rsidRPr="00E70CC4">
        <w:rPr>
          <w:rFonts w:cs="v5.0.0"/>
          <w:sz w:val="24"/>
          <w:lang w:val="en-GB" w:eastAsia="zh-CN"/>
        </w:rPr>
        <w:t>Base Station</w:t>
      </w:r>
      <w:r w:rsidRPr="00E70CC4">
        <w:rPr>
          <w:sz w:val="24"/>
          <w:lang w:val="en-GB" w:eastAsia="zh-CN"/>
        </w:rPr>
        <w:t xml:space="preserve"> RF Bandwidth edges.</w:t>
      </w:r>
    </w:p>
    <w:p w14:paraId="07846048"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eastAsia="ko-KR"/>
        </w:rPr>
        <w:t xml:space="preserve">The assumed filter for the adjacent channel frequency is defined in table </w:t>
      </w:r>
      <w:r w:rsidRPr="00E70CC4">
        <w:rPr>
          <w:rFonts w:eastAsia="SimSun"/>
          <w:sz w:val="24"/>
          <w:szCs w:val="20"/>
          <w:lang w:val="en-GB" w:eastAsia="zh-CN"/>
        </w:rPr>
        <w:t>6.7.3.5.1-3</w:t>
      </w:r>
      <w:r w:rsidRPr="00E70CC4">
        <w:rPr>
          <w:rFonts w:cs="v5.0.0"/>
          <w:sz w:val="24"/>
          <w:szCs w:val="20"/>
          <w:lang w:val="en-GB" w:eastAsia="ko-KR"/>
        </w:rPr>
        <w:t xml:space="preserve"> of TS 38.141-2 [2] </w:t>
      </w:r>
      <w:r w:rsidRPr="00E70CC4">
        <w:rPr>
          <w:sz w:val="24"/>
          <w:szCs w:val="20"/>
          <w:lang w:val="en-GB" w:eastAsia="ko-KR"/>
        </w:rPr>
        <w:t xml:space="preserve">and the filters on the assigned channels are defined in table </w:t>
      </w:r>
      <w:r w:rsidRPr="00E70CC4">
        <w:rPr>
          <w:rFonts w:eastAsia="SimSun"/>
          <w:sz w:val="24"/>
          <w:szCs w:val="20"/>
          <w:lang w:val="en-GB" w:eastAsia="zh-CN"/>
        </w:rPr>
        <w:t>6.7.3.5.1-</w:t>
      </w:r>
      <w:r w:rsidRPr="00E70CC4">
        <w:rPr>
          <w:rFonts w:eastAsia="SimSun"/>
          <w:sz w:val="24"/>
          <w:szCs w:val="20"/>
          <w:lang w:eastAsia="zh-CN"/>
        </w:rPr>
        <w:t>4</w:t>
      </w:r>
      <w:r w:rsidRPr="00E70CC4">
        <w:rPr>
          <w:rFonts w:cs="v5.0.0"/>
          <w:sz w:val="24"/>
          <w:szCs w:val="20"/>
          <w:lang w:val="en-GB" w:eastAsia="ko-KR"/>
        </w:rPr>
        <w:t xml:space="preserve"> of TS 38.141-2 [2]</w:t>
      </w:r>
      <w:r w:rsidRPr="00E70CC4">
        <w:rPr>
          <w:sz w:val="24"/>
          <w:szCs w:val="20"/>
          <w:lang w:val="en-GB" w:eastAsia="ko-KR"/>
        </w:rPr>
        <w:t>.</w:t>
      </w:r>
    </w:p>
    <w:p w14:paraId="7C6E6E56"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The OTA CACLR measurement result shall not less than the OTA CACLR limit specified in table 6.7.3.5.1-3</w:t>
      </w:r>
      <w:r w:rsidRPr="00E70CC4">
        <w:rPr>
          <w:rFonts w:cs="v5.0.0"/>
          <w:sz w:val="24"/>
          <w:szCs w:val="20"/>
          <w:lang w:val="en-GB" w:eastAsia="ko-KR"/>
        </w:rPr>
        <w:t xml:space="preserve"> of TS 38.141-2 [2]</w:t>
      </w:r>
      <w:r w:rsidRPr="00E70CC4">
        <w:rPr>
          <w:sz w:val="24"/>
          <w:szCs w:val="20"/>
          <w:lang w:val="en-GB"/>
        </w:rPr>
        <w:t>.</w:t>
      </w:r>
    </w:p>
    <w:p w14:paraId="338BE4AF"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The absolute total power measurement shall not exceed the OTA CACLR absolute limit specified in table 6.7.3.5.1-3a</w:t>
      </w:r>
      <w:r w:rsidRPr="00E70CC4">
        <w:rPr>
          <w:rFonts w:cs="v5.0.0"/>
          <w:sz w:val="24"/>
          <w:szCs w:val="20"/>
          <w:lang w:val="en-GB" w:eastAsia="ko-KR"/>
        </w:rPr>
        <w:t xml:space="preserve"> of TS 38.141-2 [2]</w:t>
      </w:r>
      <w:r w:rsidRPr="00E70CC4">
        <w:rPr>
          <w:sz w:val="24"/>
          <w:szCs w:val="20"/>
          <w:lang w:val="en-GB"/>
        </w:rPr>
        <w:t>.</w:t>
      </w:r>
    </w:p>
    <w:p w14:paraId="18D0E8C4" w14:textId="77777777" w:rsidR="00E70CC4" w:rsidRPr="00E70CC4" w:rsidRDefault="00E70CC4" w:rsidP="00E70CC4">
      <w:pPr>
        <w:keepNext/>
        <w:keepLines/>
        <w:tabs>
          <w:tab w:val="left" w:pos="794"/>
          <w:tab w:val="left" w:pos="1191"/>
          <w:tab w:val="left" w:pos="1588"/>
          <w:tab w:val="left" w:pos="1985"/>
        </w:tabs>
        <w:overflowPunct w:val="0"/>
        <w:autoSpaceDE w:val="0"/>
        <w:autoSpaceDN w:val="0"/>
        <w:adjustRightInd w:val="0"/>
        <w:spacing w:before="160" w:after="160" w:line="256" w:lineRule="auto"/>
        <w:outlineLvl w:val="2"/>
        <w:rPr>
          <w:b/>
          <w:sz w:val="24"/>
          <w:szCs w:val="20"/>
          <w:lang w:val="en-GB"/>
        </w:rPr>
      </w:pPr>
      <w:r w:rsidRPr="00E70CC4">
        <w:rPr>
          <w:b/>
          <w:sz w:val="24"/>
          <w:szCs w:val="20"/>
          <w:lang w:val="en-GB"/>
        </w:rPr>
        <w:t>4.3.2</w:t>
      </w:r>
      <w:r w:rsidRPr="00E70CC4">
        <w:rPr>
          <w:b/>
          <w:sz w:val="24"/>
          <w:szCs w:val="20"/>
          <w:lang w:val="en-GB"/>
        </w:rPr>
        <w:tab/>
        <w:t>BS type 2-O</w:t>
      </w:r>
    </w:p>
    <w:p w14:paraId="217E5CDB"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 xml:space="preserve">The OTA CACLR limits in table 6.7.3.5.2-4 </w:t>
      </w:r>
      <w:r w:rsidRPr="00E70CC4">
        <w:rPr>
          <w:rFonts w:cs="v5.0.0"/>
          <w:sz w:val="24"/>
          <w:szCs w:val="20"/>
          <w:lang w:val="en-GB" w:eastAsia="ko-KR"/>
        </w:rPr>
        <w:t xml:space="preserve">of TS 38.141-2 [2] </w:t>
      </w:r>
      <w:r w:rsidRPr="00E70CC4">
        <w:rPr>
          <w:sz w:val="24"/>
          <w:szCs w:val="20"/>
          <w:lang w:val="en-GB"/>
        </w:rPr>
        <w:t xml:space="preserve">or the OTA CACLR absolute limits in table 6.7.3.5.2-4a </w:t>
      </w:r>
      <w:r w:rsidRPr="00E70CC4">
        <w:rPr>
          <w:rFonts w:cs="v5.0.0"/>
          <w:sz w:val="24"/>
          <w:szCs w:val="20"/>
          <w:lang w:val="en-GB" w:eastAsia="ko-KR"/>
        </w:rPr>
        <w:t xml:space="preserve">of TS 38.141-2 [2] </w:t>
      </w:r>
      <w:r w:rsidRPr="00E70CC4">
        <w:rPr>
          <w:sz w:val="24"/>
          <w:szCs w:val="20"/>
          <w:lang w:val="en-GB"/>
        </w:rPr>
        <w:t>shall apply, whichever is less stringent.</w:t>
      </w:r>
    </w:p>
    <w:p w14:paraId="07BCF323"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r w:rsidRPr="00E70CC4">
        <w:rPr>
          <w:sz w:val="24"/>
          <w:szCs w:val="20"/>
          <w:lang w:val="en-GB" w:eastAsia="ko-KR"/>
        </w:rPr>
        <w:t>The CACLR in a sub-block gap is the ratio of:</w:t>
      </w:r>
    </w:p>
    <w:p w14:paraId="76C83451" w14:textId="77777777" w:rsidR="00E70CC4" w:rsidRPr="00E70CC4" w:rsidRDefault="00E70CC4" w:rsidP="00E70CC4">
      <w:pPr>
        <w:spacing w:before="120"/>
        <w:ind w:left="568" w:hanging="284"/>
        <w:rPr>
          <w:sz w:val="24"/>
          <w:lang w:val="en-GB"/>
        </w:rPr>
      </w:pPr>
      <w:r w:rsidRPr="00E70CC4">
        <w:rPr>
          <w:sz w:val="24"/>
          <w:lang w:val="en-GB" w:eastAsia="zh-CN"/>
        </w:rPr>
        <w:t>a)</w:t>
      </w:r>
      <w:r w:rsidRPr="00E70CC4">
        <w:rPr>
          <w:sz w:val="24"/>
          <w:lang w:val="en-GB" w:eastAsia="zh-CN"/>
        </w:rPr>
        <w:tab/>
        <w:t>the sum of the filtered mean power centred on the assigned channel frequencies for the two carriers adjacent to each side of the sub-block gap, and</w:t>
      </w:r>
    </w:p>
    <w:p w14:paraId="798C06E0" w14:textId="77777777" w:rsidR="00E70CC4" w:rsidRPr="00E70CC4" w:rsidRDefault="00E70CC4" w:rsidP="00E70CC4">
      <w:pPr>
        <w:spacing w:before="120"/>
        <w:ind w:left="568" w:hanging="284"/>
        <w:rPr>
          <w:sz w:val="24"/>
          <w:lang w:val="en-GB" w:eastAsia="zh-CN"/>
        </w:rPr>
      </w:pPr>
      <w:r w:rsidRPr="00E70CC4">
        <w:rPr>
          <w:sz w:val="24"/>
          <w:lang w:val="en-GB" w:eastAsia="zh-CN"/>
        </w:rPr>
        <w:t>b)</w:t>
      </w:r>
      <w:r w:rsidRPr="00E70CC4">
        <w:rPr>
          <w:sz w:val="24"/>
          <w:lang w:val="en-GB" w:eastAsia="zh-CN"/>
        </w:rPr>
        <w:tab/>
        <w:t>the filtered mean power centred on a frequency channel adjacent to one of the respective sub-block edges.</w:t>
      </w:r>
    </w:p>
    <w:p w14:paraId="0BF0BE88"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eastAsia="ko-KR"/>
        </w:rPr>
      </w:pPr>
      <w:r w:rsidRPr="00E70CC4">
        <w:rPr>
          <w:sz w:val="24"/>
          <w:szCs w:val="20"/>
          <w:lang w:val="en-GB" w:eastAsia="ko-KR"/>
        </w:rPr>
        <w:t xml:space="preserve">The assumed filter for the adjacent channel frequency is defined in table </w:t>
      </w:r>
      <w:r w:rsidRPr="00E70CC4">
        <w:rPr>
          <w:rFonts w:cs="v5.0.0"/>
          <w:sz w:val="24"/>
          <w:szCs w:val="20"/>
          <w:lang w:val="en-GB" w:eastAsia="ko-KR"/>
        </w:rPr>
        <w:t xml:space="preserve">6.7.3.5.2-4 of TS 38.141-2 [2] </w:t>
      </w:r>
      <w:r w:rsidRPr="00E70CC4">
        <w:rPr>
          <w:sz w:val="24"/>
          <w:szCs w:val="20"/>
          <w:lang w:val="en-GB" w:eastAsia="ko-KR"/>
        </w:rPr>
        <w:t xml:space="preserve">and the filters on the assigned channels are defined in table </w:t>
      </w:r>
      <w:r w:rsidRPr="00E70CC4">
        <w:rPr>
          <w:rFonts w:cs="v5.0.0"/>
          <w:sz w:val="24"/>
          <w:szCs w:val="20"/>
          <w:lang w:val="en-GB" w:eastAsia="ko-KR"/>
        </w:rPr>
        <w:t>6.7.3.5.2</w:t>
      </w:r>
      <w:r w:rsidRPr="00E70CC4">
        <w:rPr>
          <w:sz w:val="24"/>
          <w:szCs w:val="20"/>
          <w:lang w:val="en-GB" w:eastAsia="ko-KR"/>
        </w:rPr>
        <w:t>-5</w:t>
      </w:r>
      <w:r w:rsidRPr="00E70CC4">
        <w:rPr>
          <w:rFonts w:cs="v5.0.0"/>
          <w:sz w:val="24"/>
          <w:szCs w:val="20"/>
          <w:lang w:val="en-GB" w:eastAsia="ko-KR"/>
        </w:rPr>
        <w:t xml:space="preserve"> of TS 38.141-2 [2]</w:t>
      </w:r>
      <w:r w:rsidRPr="00E70CC4">
        <w:rPr>
          <w:sz w:val="24"/>
          <w:szCs w:val="20"/>
          <w:lang w:val="en-GB" w:eastAsia="ko-KR"/>
        </w:rPr>
        <w:t>.</w:t>
      </w:r>
    </w:p>
    <w:p w14:paraId="2DCA2453"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rFonts w:eastAsia="SimSun"/>
          <w:sz w:val="24"/>
          <w:szCs w:val="20"/>
          <w:lang w:val="en-GB"/>
        </w:rPr>
      </w:pPr>
      <w:r w:rsidRPr="00E70CC4">
        <w:rPr>
          <w:sz w:val="24"/>
          <w:szCs w:val="20"/>
          <w:lang w:val="en-GB" w:eastAsia="ko-KR"/>
        </w:rPr>
        <w:t>For operation in non-contiguous spectrum, the CACLR for carriers located on either side of the sub-block gap shall be less than the value specified in table 6.7.3.5.2-4</w:t>
      </w:r>
      <w:r w:rsidRPr="00E70CC4">
        <w:rPr>
          <w:rFonts w:cs="v5.0.0"/>
          <w:sz w:val="24"/>
          <w:szCs w:val="20"/>
          <w:lang w:val="en-GB" w:eastAsia="ko-KR"/>
        </w:rPr>
        <w:t xml:space="preserve"> of TS 38.141-2 [2]</w:t>
      </w:r>
      <w:r w:rsidRPr="00E70CC4">
        <w:rPr>
          <w:sz w:val="24"/>
          <w:szCs w:val="20"/>
          <w:lang w:val="en-GB" w:eastAsia="ko-KR"/>
        </w:rPr>
        <w:t>.</w:t>
      </w:r>
    </w:p>
    <w:p w14:paraId="3EE0517B" w14:textId="77777777" w:rsidR="00E70CC4" w:rsidRPr="00E70CC4" w:rsidRDefault="00E70CC4" w:rsidP="00E70CC4">
      <w:pPr>
        <w:tabs>
          <w:tab w:val="left" w:pos="794"/>
          <w:tab w:val="left" w:pos="1191"/>
          <w:tab w:val="left" w:pos="1588"/>
          <w:tab w:val="left" w:pos="1985"/>
        </w:tabs>
        <w:overflowPunct w:val="0"/>
        <w:autoSpaceDE w:val="0"/>
        <w:autoSpaceDN w:val="0"/>
        <w:adjustRightInd w:val="0"/>
        <w:spacing w:before="120" w:after="160" w:line="256" w:lineRule="auto"/>
        <w:rPr>
          <w:sz w:val="24"/>
          <w:szCs w:val="20"/>
          <w:lang w:val="en-GB"/>
        </w:rPr>
      </w:pPr>
      <w:r w:rsidRPr="00E70CC4">
        <w:rPr>
          <w:sz w:val="24"/>
          <w:szCs w:val="20"/>
          <w:lang w:val="en-GB"/>
        </w:rPr>
        <w:t>The absolute total power measurement shall not exceed the OTA CACLR absolute limit specified in table 6.7.3.5.2-4a</w:t>
      </w:r>
      <w:r w:rsidRPr="00E70CC4">
        <w:rPr>
          <w:rFonts w:cs="v5.0.0"/>
          <w:sz w:val="24"/>
          <w:szCs w:val="20"/>
          <w:lang w:val="en-GB" w:eastAsia="ko-KR"/>
        </w:rPr>
        <w:t xml:space="preserve"> of TS 38.141-2 [2]</w:t>
      </w:r>
      <w:r w:rsidRPr="00E70CC4">
        <w:rPr>
          <w:sz w:val="24"/>
          <w:szCs w:val="20"/>
          <w:lang w:val="en-GB"/>
        </w:rPr>
        <w:t>.</w:t>
      </w:r>
    </w:p>
    <w:p w14:paraId="50A7E92D" w14:textId="49B27873" w:rsidR="00E70CC4" w:rsidRPr="00E70CC4" w:rsidRDefault="00E70CC4" w:rsidP="00E70CC4">
      <w:pPr>
        <w:pStyle w:val="BodyText"/>
        <w:snapToGrid w:val="0"/>
        <w:rPr>
          <w:rFonts w:eastAsia="SimSun"/>
          <w:b/>
          <w:bCs/>
          <w:szCs w:val="20"/>
          <w:lang w:val="en-GB" w:eastAsia="zh-CN"/>
        </w:rPr>
      </w:pPr>
      <w:r w:rsidRPr="00E70CC4">
        <w:rPr>
          <w:rFonts w:eastAsia="SimSun"/>
          <w:b/>
          <w:bCs/>
          <w:szCs w:val="20"/>
          <w:lang w:val="en-GB" w:eastAsia="zh-CN"/>
        </w:rPr>
        <w:t>&lt;End of text&gt;</w:t>
      </w:r>
    </w:p>
    <w:p w14:paraId="0EA72CAA" w14:textId="77777777" w:rsidR="00E70CC4" w:rsidRPr="00440EC2" w:rsidRDefault="00E70CC4" w:rsidP="00E70CC4">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A03A40" w14:textId="17624918" w:rsidR="00595D46" w:rsidRDefault="000F1CA3" w:rsidP="00595D46">
      <w:pPr>
        <w:pStyle w:val="BodyText"/>
        <w:snapToGrid w:val="0"/>
      </w:pPr>
      <w:r>
        <w:t>This contribution has provided our input according to the work split determined offline among the interested companies.</w:t>
      </w:r>
    </w:p>
    <w:p w14:paraId="3160A76B" w14:textId="77777777" w:rsidR="000F1CA3" w:rsidRPr="00417D72" w:rsidRDefault="000F1CA3"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05897D32" w:rsidR="00030788" w:rsidRDefault="00030788" w:rsidP="009330BC">
      <w:pPr>
        <w:tabs>
          <w:tab w:val="center" w:pos="4153"/>
          <w:tab w:val="right" w:pos="8306"/>
        </w:tabs>
        <w:ind w:left="567" w:hanging="567"/>
        <w:rPr>
          <w:szCs w:val="20"/>
        </w:rPr>
      </w:pPr>
      <w:r w:rsidRPr="00030788">
        <w:rPr>
          <w:szCs w:val="20"/>
        </w:rPr>
        <w:t>[1]</w:t>
      </w:r>
      <w:r w:rsidRPr="00030788">
        <w:rPr>
          <w:szCs w:val="20"/>
        </w:rPr>
        <w:tab/>
        <w:t>R</w:t>
      </w:r>
      <w:r w:rsidR="009330BC">
        <w:rPr>
          <w:szCs w:val="20"/>
        </w:rPr>
        <w:t>4</w:t>
      </w:r>
      <w:r w:rsidRPr="00030788">
        <w:rPr>
          <w:szCs w:val="20"/>
        </w:rPr>
        <w:t>-2</w:t>
      </w:r>
      <w:r w:rsidR="009330BC">
        <w:rPr>
          <w:szCs w:val="20"/>
        </w:rPr>
        <w:t>11959</w:t>
      </w:r>
      <w:r w:rsidR="00146144">
        <w:rPr>
          <w:szCs w:val="20"/>
        </w:rPr>
        <w:t>6</w:t>
      </w:r>
      <w:r w:rsidRPr="00030788">
        <w:rPr>
          <w:szCs w:val="20"/>
        </w:rPr>
        <w:t>, “</w:t>
      </w:r>
      <w:r w:rsidR="009330BC" w:rsidRPr="009330BC">
        <w:rPr>
          <w:szCs w:val="20"/>
        </w:rPr>
        <w:t>ITU-R Working Party 5D work towards two new recommendations "Generic unwanted emission characteristics of base stations using the</w:t>
      </w:r>
      <w:r w:rsidR="009330BC">
        <w:rPr>
          <w:szCs w:val="20"/>
        </w:rPr>
        <w:t xml:space="preserve"> </w:t>
      </w:r>
      <w:r w:rsidR="009330BC" w:rsidRPr="009330BC">
        <w:rPr>
          <w:szCs w:val="20"/>
        </w:rPr>
        <w:t>terrestrial radio interfaces of IMT-2020" and "Generic unwanted emission characteristics of mobile stations using the terrestrial radio interfaces of IMT-2020"</w:t>
      </w:r>
      <w:r w:rsidRPr="00030788">
        <w:rPr>
          <w:szCs w:val="20"/>
        </w:rPr>
        <w:t xml:space="preserve">”, </w:t>
      </w:r>
      <w:r w:rsidR="00C54DEA" w:rsidRPr="00C54DEA">
        <w:rPr>
          <w:lang w:eastAsia="zh-CN"/>
        </w:rPr>
        <w:t>ITU-R Working Party 5D</w:t>
      </w:r>
      <w:r w:rsidRPr="00030788">
        <w:rPr>
          <w:szCs w:val="20"/>
        </w:rPr>
        <w:t>.</w:t>
      </w:r>
    </w:p>
    <w:p w14:paraId="0558F82A" w14:textId="0D34204E" w:rsidR="001662FA" w:rsidRDefault="001662FA" w:rsidP="001662F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C54DEA">
        <w:rPr>
          <w:szCs w:val="20"/>
        </w:rPr>
        <w:t>4</w:t>
      </w:r>
      <w:r w:rsidRPr="00030788">
        <w:rPr>
          <w:szCs w:val="20"/>
        </w:rPr>
        <w:t>-2</w:t>
      </w:r>
      <w:r w:rsidR="00C54DEA">
        <w:rPr>
          <w:szCs w:val="20"/>
        </w:rPr>
        <w:t>120769</w:t>
      </w:r>
      <w:r w:rsidRPr="00030788">
        <w:rPr>
          <w:szCs w:val="20"/>
        </w:rPr>
        <w:t>, “</w:t>
      </w:r>
      <w:r w:rsidR="00C54DEA" w:rsidRPr="00C54DEA">
        <w:rPr>
          <w:szCs w:val="20"/>
        </w:rPr>
        <w:t xml:space="preserve">LS on work towards two new recommendations "Generic unwanted emission </w:t>
      </w:r>
      <w:r w:rsidR="00C54DEA">
        <w:rPr>
          <w:szCs w:val="20"/>
        </w:rPr>
        <w:t>c</w:t>
      </w:r>
      <w:r w:rsidR="00C54DEA" w:rsidRPr="00C54DEA">
        <w:rPr>
          <w:szCs w:val="20"/>
        </w:rPr>
        <w:t>haracteristics of base / mobile stations using the terrestrial radio interfaces of IMT-2020"</w:t>
      </w:r>
      <w:r w:rsidRPr="00030788">
        <w:rPr>
          <w:szCs w:val="20"/>
        </w:rPr>
        <w:t xml:space="preserve">”, </w:t>
      </w:r>
      <w:r w:rsidR="00C54DEA">
        <w:rPr>
          <w:szCs w:val="20"/>
        </w:rPr>
        <w:t>Ericsson</w:t>
      </w:r>
      <w:r w:rsidRPr="00030788">
        <w:rPr>
          <w:szCs w:val="20"/>
        </w:rPr>
        <w:t>.</w:t>
      </w:r>
    </w:p>
    <w:p w14:paraId="5B93C947" w14:textId="12DF2779" w:rsidR="000C40A1" w:rsidRPr="00833376" w:rsidRDefault="000C40A1" w:rsidP="000C40A1">
      <w:pPr>
        <w:ind w:left="567" w:hanging="567"/>
        <w:rPr>
          <w:szCs w:val="20"/>
          <w:lang w:val="en-GB"/>
        </w:rPr>
      </w:pPr>
      <w:r>
        <w:t>[</w:t>
      </w:r>
      <w:r w:rsidR="00843A31">
        <w:t>3</w:t>
      </w:r>
      <w:r>
        <w:t>]</w:t>
      </w:r>
      <w:r>
        <w:tab/>
      </w:r>
      <w:r w:rsidRPr="00E00A26">
        <w:t>R</w:t>
      </w:r>
      <w:r>
        <w:t>4</w:t>
      </w:r>
      <w:r w:rsidRPr="00E00A26">
        <w:t>-</w:t>
      </w:r>
      <w:r>
        <w:t>2</w:t>
      </w:r>
      <w:r w:rsidR="00C642DD">
        <w:t>20</w:t>
      </w:r>
      <w:r w:rsidR="00EC7F45">
        <w:t>7262</w:t>
      </w:r>
      <w:r w:rsidRPr="00E00A26">
        <w:t xml:space="preserve">, </w:t>
      </w:r>
      <w:r w:rsidRPr="003A7779">
        <w:t>“</w:t>
      </w:r>
      <w:r w:rsidR="00EC7F45" w:rsidRPr="00EC7F45">
        <w:t>WF on LS response to ITU-R on Generic unwanted emission (IMT-2020)</w:t>
      </w:r>
      <w:r>
        <w:t xml:space="preserve">”, </w:t>
      </w:r>
      <w:r w:rsidR="00EC7F45" w:rsidRPr="00EC7F45">
        <w:rPr>
          <w:szCs w:val="20"/>
          <w:lang w:val="en-GB"/>
        </w:rPr>
        <w:t>Ericsson, Nokia, Huawei, Qualcomm, ZTE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64AC" w14:textId="77777777" w:rsidR="00681A63" w:rsidRPr="004E3B67" w:rsidRDefault="00681A63" w:rsidP="00DA44AD">
      <w:pPr>
        <w:rPr>
          <w:rFonts w:eastAsia="SimSun" w:cs="Arial"/>
          <w:color w:val="0000FF"/>
          <w:kern w:val="2"/>
          <w:lang w:eastAsia="zh-CN"/>
        </w:rPr>
      </w:pPr>
      <w:r>
        <w:separator/>
      </w:r>
    </w:p>
  </w:endnote>
  <w:endnote w:type="continuationSeparator" w:id="0">
    <w:p w14:paraId="2E7500AB" w14:textId="77777777" w:rsidR="00681A63" w:rsidRPr="004E3B67" w:rsidRDefault="00681A6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5BF9" w14:textId="77777777" w:rsidR="00681A63" w:rsidRPr="004E3B67" w:rsidRDefault="00681A63" w:rsidP="00DA44AD">
      <w:pPr>
        <w:rPr>
          <w:rFonts w:eastAsia="SimSun" w:cs="Arial"/>
          <w:color w:val="0000FF"/>
          <w:kern w:val="2"/>
          <w:lang w:eastAsia="zh-CN"/>
        </w:rPr>
      </w:pPr>
      <w:r>
        <w:separator/>
      </w:r>
    </w:p>
  </w:footnote>
  <w:footnote w:type="continuationSeparator" w:id="0">
    <w:p w14:paraId="44B448DD" w14:textId="77777777" w:rsidR="00681A63" w:rsidRPr="004E3B67" w:rsidRDefault="00681A6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FC3025"/>
    <w:multiLevelType w:val="hybridMultilevel"/>
    <w:tmpl w:val="541C4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5"/>
  </w:num>
  <w:num w:numId="3">
    <w:abstractNumId w:val="42"/>
  </w:num>
  <w:num w:numId="4">
    <w:abstractNumId w:val="17"/>
  </w:num>
  <w:num w:numId="5">
    <w:abstractNumId w:val="43"/>
  </w:num>
  <w:num w:numId="6">
    <w:abstractNumId w:val="24"/>
  </w:num>
  <w:num w:numId="7">
    <w:abstractNumId w:val="15"/>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1"/>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1"/>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0"/>
  </w:num>
  <w:num w:numId="25">
    <w:abstractNumId w:val="12"/>
  </w:num>
  <w:num w:numId="26">
    <w:abstractNumId w:val="22"/>
  </w:num>
  <w:num w:numId="27">
    <w:abstractNumId w:val="10"/>
  </w:num>
  <w:num w:numId="28">
    <w:abstractNumId w:val="14"/>
  </w:num>
  <w:num w:numId="29">
    <w:abstractNumId w:val="23"/>
  </w:num>
  <w:num w:numId="30">
    <w:abstractNumId w:val="16"/>
  </w:num>
  <w:num w:numId="31">
    <w:abstractNumId w:val="9"/>
  </w:num>
  <w:num w:numId="32">
    <w:abstractNumId w:val="33"/>
  </w:num>
  <w:num w:numId="33">
    <w:abstractNumId w:val="40"/>
  </w:num>
  <w:num w:numId="34">
    <w:abstractNumId w:val="27"/>
  </w:num>
  <w:num w:numId="35">
    <w:abstractNumId w:val="20"/>
  </w:num>
  <w:num w:numId="36">
    <w:abstractNumId w:val="44"/>
  </w:num>
  <w:num w:numId="37">
    <w:abstractNumId w:val="28"/>
  </w:num>
  <w:num w:numId="38">
    <w:abstractNumId w:val="25"/>
  </w:num>
  <w:num w:numId="39">
    <w:abstractNumId w:val="46"/>
  </w:num>
  <w:num w:numId="40">
    <w:abstractNumId w:val="38"/>
  </w:num>
  <w:num w:numId="41">
    <w:abstractNumId w:val="35"/>
  </w:num>
  <w:num w:numId="42">
    <w:abstractNumId w:val="11"/>
  </w:num>
  <w:num w:numId="43">
    <w:abstractNumId w:val="39"/>
  </w:num>
  <w:num w:numId="44">
    <w:abstractNumId w:val="26"/>
  </w:num>
  <w:num w:numId="45">
    <w:abstractNumId w:val="8"/>
  </w:num>
  <w:num w:numId="46">
    <w:abstractNumId w:val="7"/>
  </w:num>
  <w:num w:numId="47">
    <w:abstractNumId w:val="47"/>
  </w:num>
  <w:num w:numId="48">
    <w:abstractNumId w:val="2"/>
  </w:num>
  <w:num w:numId="49">
    <w:abstractNumId w:val="32"/>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407"/>
    <w:rsid w:val="00004FAF"/>
    <w:rsid w:val="00011961"/>
    <w:rsid w:val="00011C73"/>
    <w:rsid w:val="000131F1"/>
    <w:rsid w:val="00014829"/>
    <w:rsid w:val="0001518B"/>
    <w:rsid w:val="00015683"/>
    <w:rsid w:val="0001595B"/>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67E9"/>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1CA3"/>
    <w:rsid w:val="000F5053"/>
    <w:rsid w:val="000F6FCC"/>
    <w:rsid w:val="000F7673"/>
    <w:rsid w:val="000F7B8A"/>
    <w:rsid w:val="00100B8B"/>
    <w:rsid w:val="00102E64"/>
    <w:rsid w:val="00102F16"/>
    <w:rsid w:val="00103927"/>
    <w:rsid w:val="00104193"/>
    <w:rsid w:val="00104742"/>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37214"/>
    <w:rsid w:val="00140453"/>
    <w:rsid w:val="00141310"/>
    <w:rsid w:val="00143223"/>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2FA"/>
    <w:rsid w:val="001664E6"/>
    <w:rsid w:val="00170984"/>
    <w:rsid w:val="00175752"/>
    <w:rsid w:val="00177CC6"/>
    <w:rsid w:val="001804BB"/>
    <w:rsid w:val="00180596"/>
    <w:rsid w:val="001819B5"/>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D6104"/>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04440"/>
    <w:rsid w:val="002103A8"/>
    <w:rsid w:val="0022458B"/>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75F"/>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0FF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2F2"/>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2E26"/>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A83"/>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23B"/>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92"/>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C8D"/>
    <w:rsid w:val="00663DA7"/>
    <w:rsid w:val="006645B2"/>
    <w:rsid w:val="006703C1"/>
    <w:rsid w:val="00671EC7"/>
    <w:rsid w:val="006771DB"/>
    <w:rsid w:val="00677355"/>
    <w:rsid w:val="00680E4F"/>
    <w:rsid w:val="0068134B"/>
    <w:rsid w:val="00681A63"/>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1E55"/>
    <w:rsid w:val="006B272E"/>
    <w:rsid w:val="006B30C9"/>
    <w:rsid w:val="006B5C6F"/>
    <w:rsid w:val="006C13F5"/>
    <w:rsid w:val="006C3009"/>
    <w:rsid w:val="006C506C"/>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3A3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532"/>
    <w:rsid w:val="00875609"/>
    <w:rsid w:val="00875969"/>
    <w:rsid w:val="0088290C"/>
    <w:rsid w:val="00883811"/>
    <w:rsid w:val="008868B6"/>
    <w:rsid w:val="00886C8F"/>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985"/>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30BC"/>
    <w:rsid w:val="00936E44"/>
    <w:rsid w:val="00936F9A"/>
    <w:rsid w:val="00937583"/>
    <w:rsid w:val="00937936"/>
    <w:rsid w:val="00937FC2"/>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77E8C"/>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0B8"/>
    <w:rsid w:val="009F35C6"/>
    <w:rsid w:val="009F3B02"/>
    <w:rsid w:val="009F4637"/>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66D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84"/>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8B0"/>
    <w:rsid w:val="00BD3D49"/>
    <w:rsid w:val="00BD6B58"/>
    <w:rsid w:val="00BD7788"/>
    <w:rsid w:val="00BE0829"/>
    <w:rsid w:val="00BE1921"/>
    <w:rsid w:val="00BE2798"/>
    <w:rsid w:val="00BE3C4D"/>
    <w:rsid w:val="00BE4D68"/>
    <w:rsid w:val="00BE575D"/>
    <w:rsid w:val="00BE5940"/>
    <w:rsid w:val="00BF0AD1"/>
    <w:rsid w:val="00BF0C67"/>
    <w:rsid w:val="00BF0CF0"/>
    <w:rsid w:val="00BF296B"/>
    <w:rsid w:val="00BF34AD"/>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DD0"/>
    <w:rsid w:val="00C41EB7"/>
    <w:rsid w:val="00C41F6B"/>
    <w:rsid w:val="00C42598"/>
    <w:rsid w:val="00C44A86"/>
    <w:rsid w:val="00C44A8B"/>
    <w:rsid w:val="00C4551F"/>
    <w:rsid w:val="00C45E75"/>
    <w:rsid w:val="00C47100"/>
    <w:rsid w:val="00C474AE"/>
    <w:rsid w:val="00C50E5E"/>
    <w:rsid w:val="00C51A06"/>
    <w:rsid w:val="00C51DC0"/>
    <w:rsid w:val="00C53F4C"/>
    <w:rsid w:val="00C54DEA"/>
    <w:rsid w:val="00C557E7"/>
    <w:rsid w:val="00C55B60"/>
    <w:rsid w:val="00C60906"/>
    <w:rsid w:val="00C6393D"/>
    <w:rsid w:val="00C642D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AB1"/>
    <w:rsid w:val="00D35D18"/>
    <w:rsid w:val="00D35F16"/>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0CC4"/>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C7F45"/>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448"/>
    <w:rsid w:val="00F52F1E"/>
    <w:rsid w:val="00F548C8"/>
    <w:rsid w:val="00F55E9B"/>
    <w:rsid w:val="00F57C76"/>
    <w:rsid w:val="00F616DB"/>
    <w:rsid w:val="00F61FAF"/>
    <w:rsid w:val="00F62CC9"/>
    <w:rsid w:val="00F635D3"/>
    <w:rsid w:val="00F649F5"/>
    <w:rsid w:val="00F65021"/>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EC7F45"/>
    <w:rPr>
      <w:rFonts w:eastAsia="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139">
      <w:bodyDiv w:val="1"/>
      <w:marLeft w:val="0"/>
      <w:marRight w:val="0"/>
      <w:marTop w:val="0"/>
      <w:marBottom w:val="0"/>
      <w:divBdr>
        <w:top w:val="none" w:sz="0" w:space="0" w:color="auto"/>
        <w:left w:val="none" w:sz="0" w:space="0" w:color="auto"/>
        <w:bottom w:val="none" w:sz="0" w:space="0" w:color="auto"/>
        <w:right w:val="none" w:sz="0" w:space="0" w:color="auto"/>
      </w:divBdr>
    </w:div>
    <w:div w:id="9556529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0176896">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70219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56717881">
      <w:bodyDiv w:val="1"/>
      <w:marLeft w:val="0"/>
      <w:marRight w:val="0"/>
      <w:marTop w:val="0"/>
      <w:marBottom w:val="0"/>
      <w:divBdr>
        <w:top w:val="none" w:sz="0" w:space="0" w:color="auto"/>
        <w:left w:val="none" w:sz="0" w:space="0" w:color="auto"/>
        <w:bottom w:val="none" w:sz="0" w:space="0" w:color="auto"/>
        <w:right w:val="none" w:sz="0" w:space="0" w:color="auto"/>
      </w:divBdr>
    </w:div>
    <w:div w:id="287856680">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71782350">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895623059">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49263904">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363838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13427172">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98882893">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6660063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87904563">
      <w:bodyDiv w:val="1"/>
      <w:marLeft w:val="0"/>
      <w:marRight w:val="0"/>
      <w:marTop w:val="0"/>
      <w:marBottom w:val="0"/>
      <w:divBdr>
        <w:top w:val="none" w:sz="0" w:space="0" w:color="auto"/>
        <w:left w:val="none" w:sz="0" w:space="0" w:color="auto"/>
        <w:bottom w:val="none" w:sz="0" w:space="0" w:color="auto"/>
        <w:right w:val="none" w:sz="0" w:space="0" w:color="auto"/>
      </w:divBdr>
    </w:div>
    <w:div w:id="17185038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6431149">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39353777">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5</cp:revision>
  <dcterms:created xsi:type="dcterms:W3CDTF">2022-08-08T12:36:00Z</dcterms:created>
  <dcterms:modified xsi:type="dcterms:W3CDTF">2022-08-09T13:23:00Z</dcterms:modified>
</cp:coreProperties>
</file>