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117D" w14:textId="6D33A3E8" w:rsidR="00EC5512" w:rsidRPr="00A239A5" w:rsidRDefault="00EC5512" w:rsidP="00EC5512">
      <w:pPr>
        <w:widowControl w:val="0"/>
        <w:tabs>
          <w:tab w:val="right" w:pos="9630"/>
          <w:tab w:val="right" w:pos="13323"/>
        </w:tabs>
        <w:rPr>
          <w:rFonts w:ascii="Arial" w:hAnsi="Arial" w:cs="Arial"/>
          <w:b/>
          <w:noProof/>
          <w:lang w:eastAsia="ja-JP"/>
        </w:rPr>
      </w:pPr>
      <w:r w:rsidRPr="00A239A5">
        <w:rPr>
          <w:rFonts w:ascii="Arial" w:hAnsi="Arial" w:cs="Arial"/>
          <w:b/>
          <w:noProof/>
          <w:lang w:eastAsia="en-GB"/>
        </w:rPr>
        <w:t>3GPP TSG-RAN WG4 Meeting #103-e</w:t>
      </w:r>
      <w:r w:rsidRPr="00A239A5">
        <w:rPr>
          <w:rFonts w:ascii="Arial" w:hAnsi="Arial" w:cs="Arial"/>
          <w:b/>
          <w:noProof/>
          <w:lang w:eastAsia="en-GB"/>
        </w:rPr>
        <w:tab/>
      </w:r>
      <w:r w:rsidR="005D127B" w:rsidRPr="005D127B">
        <w:rPr>
          <w:rFonts w:ascii="Arial" w:hAnsi="Arial" w:cs="Arial"/>
          <w:b/>
          <w:noProof/>
          <w:color w:val="000000"/>
          <w:lang w:eastAsia="en-GB"/>
        </w:rPr>
        <w:t>R4-2211136</w:t>
      </w:r>
    </w:p>
    <w:p w14:paraId="5C0DB9A2" w14:textId="77777777" w:rsidR="00EC5512" w:rsidRPr="00A239A5" w:rsidRDefault="00EC5512" w:rsidP="00EC5512">
      <w:pPr>
        <w:widowControl w:val="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159751CC" w14:textId="77777777" w:rsidR="00EC5512" w:rsidRDefault="00EC5512" w:rsidP="00EC5512">
      <w:pPr>
        <w:tabs>
          <w:tab w:val="center" w:pos="4153"/>
          <w:tab w:val="right" w:pos="7088"/>
          <w:tab w:val="right" w:pos="9781"/>
        </w:tabs>
        <w:rPr>
          <w:rFonts w:ascii="Arial" w:hAnsi="Arial" w:cs="Arial"/>
          <w:b/>
          <w:bCs/>
        </w:rPr>
      </w:pPr>
    </w:p>
    <w:p w14:paraId="0DA4721E" w14:textId="52370134"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D5358A">
        <w:rPr>
          <w:rFonts w:ascii="Arial" w:hAnsi="Arial" w:cs="Arial"/>
          <w:b/>
          <w:bCs/>
          <w:sz w:val="24"/>
          <w:szCs w:val="24"/>
        </w:rPr>
        <w:t>9</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DF14DF">
        <w:rPr>
          <w:rFonts w:ascii="Arial" w:hAnsi="Arial" w:cs="Arial"/>
          <w:b/>
          <w:bCs/>
          <w:sz w:val="24"/>
          <w:szCs w:val="24"/>
        </w:rPr>
        <w:t>529</w:t>
      </w:r>
      <w:r w:rsidR="001F3EE7">
        <w:rPr>
          <w:rFonts w:ascii="Arial" w:hAnsi="Arial" w:cs="Arial"/>
          <w:b/>
          <w:bCs/>
          <w:sz w:val="24"/>
          <w:szCs w:val="24"/>
        </w:rPr>
        <w:t>3</w:t>
      </w:r>
    </w:p>
    <w:p w14:paraId="5B5D2702" w14:textId="51A7C0FF" w:rsidR="007E2046" w:rsidRDefault="007E2046" w:rsidP="007E2046">
      <w:pPr>
        <w:pStyle w:val="3GPPHeader"/>
      </w:pPr>
      <w:r>
        <w:t xml:space="preserve">E-meeting, </w:t>
      </w:r>
      <w:r w:rsidR="00D5358A">
        <w:t>May</w:t>
      </w:r>
      <w:r>
        <w:t xml:space="preserve"> </w:t>
      </w:r>
      <w:r w:rsidR="00D5358A">
        <w:t>9</w:t>
      </w:r>
      <w:r w:rsidR="00602E32" w:rsidRPr="009C37C5">
        <w:rPr>
          <w:vertAlign w:val="superscript"/>
        </w:rPr>
        <w:t>t</w:t>
      </w:r>
      <w:r w:rsidR="00D5358A">
        <w:rPr>
          <w:vertAlign w:val="superscript"/>
        </w:rPr>
        <w:t>h</w:t>
      </w:r>
      <w:r>
        <w:t xml:space="preserve"> – </w:t>
      </w:r>
      <w:r w:rsidR="003918F5">
        <w:t>Ma</w:t>
      </w:r>
      <w:r w:rsidR="00D5358A">
        <w:t>y</w:t>
      </w:r>
      <w:r w:rsidR="003918F5">
        <w:t xml:space="preserve"> </w:t>
      </w:r>
      <w:r w:rsidR="00BA3C35">
        <w:t>20</w:t>
      </w:r>
      <w:r w:rsidR="00BA3C35">
        <w:rPr>
          <w:vertAlign w:val="superscript"/>
        </w:rPr>
        <w:t>th</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0D6F55B7" w:rsidR="00463675" w:rsidRPr="000F4E43" w:rsidRDefault="00463675" w:rsidP="000F4E43">
      <w:pPr>
        <w:pStyle w:val="Title"/>
      </w:pPr>
      <w:r w:rsidRPr="000F4E43">
        <w:t>Title:</w:t>
      </w:r>
      <w:r w:rsidRPr="000F4E43">
        <w:tab/>
      </w:r>
      <w:r w:rsidR="005853F0">
        <w:t>Reply LS on eIAB MAC CEs</w:t>
      </w:r>
    </w:p>
    <w:p w14:paraId="51F1C868" w14:textId="597A72D3" w:rsidR="00463675" w:rsidRPr="000F4E43" w:rsidRDefault="00463675" w:rsidP="000F4E43">
      <w:pPr>
        <w:pStyle w:val="Title"/>
      </w:pPr>
      <w:r w:rsidRPr="000F4E43">
        <w:t>Response to:</w:t>
      </w:r>
      <w:r w:rsidRPr="000F4E43">
        <w:tab/>
      </w:r>
      <w:r w:rsidR="00BA3C35">
        <w:t>R1-2205250</w:t>
      </w:r>
      <w:r w:rsidR="00B47E92">
        <w:t xml:space="preserve"> (R2-2206358)</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r w:rsidR="00972F07" w:rsidRPr="00972F07">
        <w:rPr>
          <w:b w:val="0"/>
          <w:bCs w:val="0"/>
          <w:color w:val="000000"/>
        </w:rPr>
        <w:t>NR_IAB_enh</w:t>
      </w:r>
    </w:p>
    <w:p w14:paraId="73E8FBBD" w14:textId="77777777" w:rsidR="00463675" w:rsidRPr="000F4E43" w:rsidRDefault="00463675">
      <w:pPr>
        <w:spacing w:after="60"/>
        <w:ind w:left="1985" w:hanging="1985"/>
        <w:rPr>
          <w:rFonts w:ascii="Arial" w:hAnsi="Arial" w:cs="Arial"/>
          <w:b/>
        </w:rPr>
      </w:pPr>
    </w:p>
    <w:p w14:paraId="4C0E7367" w14:textId="4FBCCD4D" w:rsidR="00463675" w:rsidRPr="000051D0" w:rsidRDefault="00463675" w:rsidP="000F4E43">
      <w:pPr>
        <w:pStyle w:val="Source"/>
      </w:pPr>
      <w:r w:rsidRPr="000F4E43">
        <w:t>Source:</w:t>
      </w:r>
      <w:r w:rsidRPr="000F4E43">
        <w:tab/>
      </w:r>
      <w:r w:rsidR="00B241BB" w:rsidRPr="001F3EE7">
        <w:rPr>
          <w:b w:val="0"/>
        </w:rPr>
        <w:t xml:space="preserve">RAN </w:t>
      </w:r>
      <w:r w:rsidR="00EE055B" w:rsidRPr="001F3EE7">
        <w:rPr>
          <w:b w:val="0"/>
        </w:rPr>
        <w:t>WG1</w:t>
      </w:r>
    </w:p>
    <w:p w14:paraId="616E0611" w14:textId="10A0D3CA" w:rsidR="00463675" w:rsidRPr="000051D0" w:rsidRDefault="00463675" w:rsidP="000F4E43">
      <w:pPr>
        <w:pStyle w:val="Source"/>
      </w:pPr>
      <w:r w:rsidRPr="000051D0">
        <w:t>To:</w:t>
      </w:r>
      <w:r w:rsidRPr="000051D0">
        <w:tab/>
      </w:r>
      <w:r w:rsidR="00EE055B" w:rsidRPr="000051D0">
        <w:rPr>
          <w:b w:val="0"/>
        </w:rPr>
        <w:t>RAN WG2</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4BD2CB77" w14:textId="70A5B9E5" w:rsidR="006A3AF4" w:rsidRDefault="00B67E8E" w:rsidP="005853F0">
      <w:pPr>
        <w:spacing w:afterLines="50" w:after="120"/>
        <w:jc w:val="both"/>
        <w:rPr>
          <w:rFonts w:eastAsia="Yu Mincho"/>
          <w:bCs/>
          <w:iCs/>
          <w:lang w:val="en-US" w:eastAsia="ja-JP"/>
        </w:rPr>
      </w:pPr>
      <w:r w:rsidRPr="00182CCF">
        <w:rPr>
          <w:rFonts w:eastAsia="Yu Mincho"/>
          <w:bCs/>
          <w:iCs/>
          <w:lang w:val="en-US" w:eastAsia="ja-JP"/>
        </w:rPr>
        <w:t xml:space="preserve">RAN1 </w:t>
      </w:r>
      <w:r w:rsidR="005853F0">
        <w:rPr>
          <w:rFonts w:eastAsia="Yu Mincho"/>
          <w:bCs/>
          <w:iCs/>
          <w:lang w:val="en-US" w:eastAsia="ja-JP"/>
        </w:rPr>
        <w:t xml:space="preserve">would like to thank RAN2 for the detailed questions on eIAB MAC CEs. </w:t>
      </w:r>
      <w:r w:rsidR="00DF14DF">
        <w:rPr>
          <w:rFonts w:eastAsia="Yu Mincho"/>
          <w:bCs/>
          <w:iCs/>
          <w:lang w:val="en-US" w:eastAsia="ja-JP"/>
        </w:rPr>
        <w:t xml:space="preserve">RAN1’s answers are provided in the following, </w:t>
      </w:r>
      <w:r w:rsidR="00DF14DF" w:rsidRPr="00D41615">
        <w:rPr>
          <w:rFonts w:eastAsia="Yu Mincho"/>
          <w:bCs/>
          <w:iCs/>
          <w:color w:val="00B0F0"/>
          <w:lang w:val="en-US" w:eastAsia="ja-JP"/>
        </w:rPr>
        <w:t xml:space="preserve">inline </w:t>
      </w:r>
      <w:r w:rsidR="00DF14DF">
        <w:rPr>
          <w:rFonts w:eastAsia="Yu Mincho"/>
          <w:bCs/>
          <w:iCs/>
          <w:lang w:val="en-US" w:eastAsia="ja-JP"/>
        </w:rPr>
        <w:t>to the questions.</w:t>
      </w:r>
    </w:p>
    <w:p w14:paraId="20D969C6" w14:textId="77777777" w:rsidR="00617467" w:rsidRPr="005853F0" w:rsidRDefault="00617467" w:rsidP="005853F0">
      <w:pPr>
        <w:spacing w:afterLines="50" w:after="120"/>
        <w:jc w:val="both"/>
        <w:rPr>
          <w:rFonts w:eastAsia="Yu Mincho"/>
          <w:lang w:val="en-US" w:eastAsia="ja-JP"/>
        </w:rPr>
      </w:pPr>
    </w:p>
    <w:p w14:paraId="63AD45D5"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Q1a. RAN2 would like to ask RAN1 to clarify the meaning of the term “slot index”? In the above-quoted LS, the “slot index” seems to refer to a list of slots / range of slots / slot pattern, as opposed to the slot index of a single slot, as defined in TS 38.213 and TS 38.473 (a 13-bit identifier of a single slot).</w:t>
      </w:r>
    </w:p>
    <w:p w14:paraId="6D9D776D" w14:textId="1ADFC1F3" w:rsidR="00B511B9" w:rsidRPr="00D41615" w:rsidRDefault="00B511B9" w:rsidP="00834650">
      <w:pPr>
        <w:spacing w:afterLines="50" w:after="120"/>
        <w:jc w:val="both"/>
        <w:rPr>
          <w:color w:val="00B0F0"/>
        </w:rPr>
      </w:pPr>
      <w:r w:rsidRPr="00D41615">
        <w:rPr>
          <w:color w:val="00B0F0"/>
        </w:rPr>
        <w:t>A1a.</w:t>
      </w:r>
      <w:r w:rsidR="00D760F2" w:rsidRPr="00D41615">
        <w:rPr>
          <w:color w:val="00B0F0"/>
        </w:rPr>
        <w:t xml:space="preserve"> The term “slot index” indicates a list of slots.</w:t>
      </w:r>
    </w:p>
    <w:p w14:paraId="4CDFF2E2"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Q1b. Could RAN1 please confirm whether the range of this “slot index” is equal to periodicity? If it is smaller, could RAN1 then elaborate how to configure all the remaining slots in the range covered by the periodicity parameter?</w:t>
      </w:r>
    </w:p>
    <w:p w14:paraId="69707CD6" w14:textId="152057C1" w:rsidR="00D760F2" w:rsidRPr="00D41615" w:rsidRDefault="00D760F2" w:rsidP="00D760F2">
      <w:pPr>
        <w:rPr>
          <w:color w:val="00B0F0"/>
        </w:rPr>
      </w:pPr>
      <w:r w:rsidRPr="00D41615">
        <w:rPr>
          <w:color w:val="00B0F0"/>
        </w:rPr>
        <w:t>A1b.  RAN1 confirms the range of “slot index” is equal to the periodicity.</w:t>
      </w:r>
    </w:p>
    <w:p w14:paraId="141592C0" w14:textId="77777777" w:rsidR="00D760F2" w:rsidRDefault="00D760F2" w:rsidP="00B511B9">
      <w:pPr>
        <w:jc w:val="both"/>
        <w:rPr>
          <w:rFonts w:ascii="Arial" w:hAnsi="Arial" w:cs="Arial"/>
        </w:rPr>
      </w:pPr>
    </w:p>
    <w:p w14:paraId="2B50BB06"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Q1c. The value range is indicated as {Case-1, Case-6, Case-7} per slot, for each slot in the “slot index”. RAN2 would like to ask if the slots covered by this indication are limited to the case of consecutive slots, or the broader non-consecutive slots case also needs to be covered?</w:t>
      </w:r>
    </w:p>
    <w:p w14:paraId="5323A38E" w14:textId="1CD77BD8" w:rsidR="00B511B9" w:rsidRPr="00D41615" w:rsidRDefault="00D760F2" w:rsidP="00D760F2">
      <w:pPr>
        <w:rPr>
          <w:color w:val="00B0F0"/>
        </w:rPr>
      </w:pPr>
      <w:r w:rsidRPr="00D41615">
        <w:rPr>
          <w:color w:val="00B0F0"/>
        </w:rPr>
        <w:t>A1c.  Each slot within the periodicity can be assigned a timing case value. Case 1 is considered the default.</w:t>
      </w:r>
    </w:p>
    <w:p w14:paraId="06F43F19" w14:textId="77777777" w:rsidR="00D760F2" w:rsidRDefault="00D760F2" w:rsidP="00B511B9">
      <w:pPr>
        <w:jc w:val="both"/>
        <w:rPr>
          <w:rFonts w:ascii="Arial" w:hAnsi="Arial" w:cs="Arial"/>
        </w:rPr>
      </w:pPr>
    </w:p>
    <w:p w14:paraId="19465847"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Q1d. If the slots are consecutive, RAN2 understands that only the index of the starting slot needs to be conveyed (explicitly or implicitly), as opposed to a list of slots. Could RAN1 please confirm this understanding?</w:t>
      </w:r>
    </w:p>
    <w:p w14:paraId="3AB55F87" w14:textId="65D11B93" w:rsidR="00B511B9" w:rsidRPr="00D41615" w:rsidRDefault="00447C95" w:rsidP="00447C95">
      <w:pPr>
        <w:rPr>
          <w:color w:val="00B0F0"/>
        </w:rPr>
      </w:pPr>
      <w:r w:rsidRPr="00D41615">
        <w:rPr>
          <w:color w:val="00B0F0"/>
        </w:rPr>
        <w:t>A1d.  RAN1 confirms RAN2’s understanding that if multiple consecutive slots are to be assigned the same value some signaling optimization is possible.</w:t>
      </w:r>
    </w:p>
    <w:p w14:paraId="221BBE68" w14:textId="77777777" w:rsidR="00447C95" w:rsidRPr="00D760F2" w:rsidRDefault="00447C95" w:rsidP="00447C95"/>
    <w:p w14:paraId="5B1E9FA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Q1e. If the slots are consecutive, does RAN1 have a preference on how the starting slot is conveyed/inferred/signalled?</w:t>
      </w:r>
    </w:p>
    <w:p w14:paraId="40E07D53" w14:textId="561D47EA" w:rsidR="00B511B9" w:rsidRPr="00D41615" w:rsidRDefault="00447C95" w:rsidP="00447C95">
      <w:pPr>
        <w:rPr>
          <w:color w:val="00B0F0"/>
        </w:rPr>
      </w:pPr>
      <w:r w:rsidRPr="00D41615">
        <w:rPr>
          <w:color w:val="00B0F0"/>
        </w:rPr>
        <w:t>A1e.  RAN1 believes that the detailed signaling design is up to RAN2 and it has no preference on this matter.</w:t>
      </w:r>
    </w:p>
    <w:p w14:paraId="3C5CC7E8" w14:textId="77777777" w:rsidR="00447C95" w:rsidRPr="00D760F2" w:rsidRDefault="00447C95" w:rsidP="00447C95"/>
    <w:p w14:paraId="6A2380CF" w14:textId="77777777" w:rsidR="00617467" w:rsidRDefault="00617467" w:rsidP="00B511B9">
      <w:pPr>
        <w:jc w:val="both"/>
        <w:rPr>
          <w:rFonts w:ascii="Arial" w:hAnsi="Arial" w:cs="Arial"/>
          <w:i/>
          <w:iCs/>
          <w:color w:val="808080" w:themeColor="background1" w:themeShade="80"/>
        </w:rPr>
      </w:pPr>
    </w:p>
    <w:p w14:paraId="0D689B68" w14:textId="77777777" w:rsidR="00617467" w:rsidRDefault="00617467" w:rsidP="00B511B9">
      <w:pPr>
        <w:jc w:val="both"/>
        <w:rPr>
          <w:rFonts w:ascii="Arial" w:hAnsi="Arial" w:cs="Arial"/>
          <w:i/>
          <w:iCs/>
          <w:color w:val="808080" w:themeColor="background1" w:themeShade="80"/>
        </w:rPr>
      </w:pPr>
    </w:p>
    <w:p w14:paraId="7F34ABF2" w14:textId="6F118001"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Q1f. If the slots are consecutive, there are several possible options to signal the timing modes (equivalent options exist for the non-consecutive case), some examples of which are listed below for illustrative purposes:</w:t>
      </w:r>
    </w:p>
    <w:p w14:paraId="22B5581B"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bitmap of size 2bits x periodicity, where 2bits refer to choice between {Case-1, Case-6, Case-7}</w:t>
      </w:r>
    </w:p>
    <w:p w14:paraId="2201BA95"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periodicity is divided up into individual sections of different size and all slots in each section have the same case-value explicitly or implicitly assigned.</w:t>
      </w:r>
    </w:p>
    <w:p w14:paraId="375FB780" w14:textId="77777777" w:rsidR="00B511B9" w:rsidRPr="00D760F2" w:rsidRDefault="00B511B9" w:rsidP="00B511B9">
      <w:pPr>
        <w:jc w:val="both"/>
        <w:rPr>
          <w:rFonts w:ascii="Arial" w:hAnsi="Arial" w:cs="Arial"/>
          <w:i/>
          <w:iCs/>
          <w:color w:val="808080" w:themeColor="background1" w:themeShade="80"/>
        </w:rPr>
      </w:pPr>
    </w:p>
    <w:p w14:paraId="7239D3C8" w14:textId="77777777" w:rsidR="00447C95"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may result in lower signalling overhead if Case-6 and Case-7 apply to many slots, and/or if the changes to timing modes are very frequent. Otherwise, if many consecutive slots use the same timing mode value, Option 2 may result in lower signalling overhead. Could RAN1 clarify which of these scenarios is more likely?</w:t>
      </w:r>
    </w:p>
    <w:p w14:paraId="6E0F8D60" w14:textId="3B020519" w:rsidR="00B511B9" w:rsidRPr="00617467" w:rsidRDefault="00447C95" w:rsidP="00447C95">
      <w:pPr>
        <w:rPr>
          <w:color w:val="00B0F0"/>
        </w:rPr>
      </w:pPr>
      <w:r w:rsidRPr="00617467">
        <w:rPr>
          <w:color w:val="00B0F0"/>
        </w:rPr>
        <w:t>A1f.  RAN1 believes that in general one scenario cannot be guaranteed to be more likely than the other.</w:t>
      </w:r>
    </w:p>
    <w:p w14:paraId="65AFA0F2" w14:textId="77777777" w:rsidR="00B511B9" w:rsidRPr="00D760F2" w:rsidRDefault="00B511B9" w:rsidP="00B511B9">
      <w:pPr>
        <w:jc w:val="both"/>
        <w:rPr>
          <w:rFonts w:ascii="Arial" w:hAnsi="Arial" w:cs="Arial"/>
          <w:i/>
          <w:iCs/>
          <w:color w:val="808080" w:themeColor="background1" w:themeShade="80"/>
        </w:rPr>
      </w:pPr>
    </w:p>
    <w:p w14:paraId="476471E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Q2a. Could RAN1 please confirm that the MAC CE should signal one of the following 5 alternatives, and that these 5 alternatives comprehensively and exhaustively cover all the ways conceived by RAN1 of indicating child IAB-DU’s restricted beams: </w:t>
      </w:r>
    </w:p>
    <w:p w14:paraId="73738DB3" w14:textId="77777777" w:rsidR="00B511B9" w:rsidRPr="00D760F2" w:rsidRDefault="00B511B9" w:rsidP="00B511B9">
      <w:pPr>
        <w:jc w:val="both"/>
        <w:rPr>
          <w:rFonts w:ascii="Arial" w:hAnsi="Arial" w:cs="Arial"/>
          <w:i/>
          <w:iCs/>
          <w:color w:val="808080" w:themeColor="background1" w:themeShade="80"/>
        </w:rPr>
      </w:pPr>
    </w:p>
    <w:p w14:paraId="33100EDA"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w:t>
      </w:r>
    </w:p>
    <w:p w14:paraId="0A16A0BC"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w:t>
      </w:r>
    </w:p>
    <w:p w14:paraId="2120F01D"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CSI-RS index</w:t>
      </w:r>
    </w:p>
    <w:p w14:paraId="07A85BA2"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 + CSI-RS index</w:t>
      </w:r>
    </w:p>
    <w:p w14:paraId="60D01A2F"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 + CSI-RS index?</w:t>
      </w:r>
    </w:p>
    <w:p w14:paraId="2A897017" w14:textId="727C7EB5" w:rsidR="00B511B9" w:rsidRPr="00617467" w:rsidRDefault="00447C95" w:rsidP="00447C95">
      <w:pPr>
        <w:rPr>
          <w:color w:val="00B0F0"/>
        </w:rPr>
      </w:pPr>
      <w:r w:rsidRPr="00617467">
        <w:rPr>
          <w:color w:val="00B0F0"/>
        </w:rPr>
        <w:t>A2a.  For the child IAB-DU’s restricted beam indication, only SSB index or SSB index + STC index or CSI-RS index is used for a given beam.</w:t>
      </w:r>
    </w:p>
    <w:p w14:paraId="2D15DB05" w14:textId="77777777" w:rsidR="00447C95" w:rsidRPr="00D760F2" w:rsidRDefault="00447C95" w:rsidP="00447C95"/>
    <w:p w14:paraId="072D49D2"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Q3a. Could RAN1 please confirm whether:</w:t>
      </w:r>
    </w:p>
    <w:p w14:paraId="6F75B9C1"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the MAC CE can signal any subset of the following 4 identifiers (this assumes a combination of UL beam and DL beam restriction signalling is allowed), and that all the possible sub-sets of these 4 identifiers comprehensively and exhaustively cover all the ways conceived by RAN1 of indicating IAB-MT’s recommended beams; or</w:t>
      </w:r>
    </w:p>
    <w:p w14:paraId="1264115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the MAC CE can signal only one of the following 4 options per beam, and that signalling one of the following 4 options per IAB-MT’s recommended beam comprehensively and exhaustively covers all the ways conceived by RAN1 of indicating IAB-MT’s recommended beams:</w:t>
      </w:r>
    </w:p>
    <w:p w14:paraId="23FAADCC" w14:textId="77777777" w:rsidR="00B511B9" w:rsidRPr="00D760F2" w:rsidRDefault="00B511B9" w:rsidP="00B511B9">
      <w:pPr>
        <w:jc w:val="both"/>
        <w:rPr>
          <w:rFonts w:ascii="Arial" w:hAnsi="Arial" w:cs="Arial"/>
          <w:i/>
          <w:iCs/>
          <w:color w:val="808080" w:themeColor="background1" w:themeShade="80"/>
        </w:rPr>
      </w:pPr>
    </w:p>
    <w:p w14:paraId="62EA2780"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TCI index (7 bits) </w:t>
      </w:r>
    </w:p>
    <w:p w14:paraId="4BFA42C6"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(DL Rx beam indication) SSB index (6 bits)</w:t>
      </w:r>
    </w:p>
    <w:p w14:paraId="5AE087A3"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CSI-RS index (8 bits) </w:t>
      </w:r>
    </w:p>
    <w:p w14:paraId="72C04CA8"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(UL Tx beam indication): SRI index (6 bits)</w:t>
      </w:r>
    </w:p>
    <w:p w14:paraId="5649BE11" w14:textId="4EA4FCBB" w:rsidR="00B511B9" w:rsidRPr="00617467" w:rsidRDefault="00447C95" w:rsidP="00447C95">
      <w:pPr>
        <w:rPr>
          <w:color w:val="00B0F0"/>
        </w:rPr>
      </w:pPr>
      <w:r w:rsidRPr="00617467">
        <w:rPr>
          <w:color w:val="00B0F0"/>
        </w:rPr>
        <w:t>A3a.  Each recommended beam indication includes either a DL Rx beam or an UL Tx beam but not both. Each recommended beam indication for a DL Rx beam includes either a TCI index or a SSB index or a CSI-RS index.</w:t>
      </w:r>
    </w:p>
    <w:p w14:paraId="2A806D46" w14:textId="77777777" w:rsidR="00447C95" w:rsidRPr="00D760F2" w:rsidRDefault="00447C95" w:rsidP="00447C95"/>
    <w:p w14:paraId="0BE156B0"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Q4a. Could RAN1 please provide RAN2 with the endpoint values of the Desired DL TX power adjustment and DL TX power adjustment range, or provide a reference to a TS where these end point values are defined?</w:t>
      </w:r>
    </w:p>
    <w:p w14:paraId="5EC757A1" w14:textId="55D46BA6" w:rsidR="00B511B9" w:rsidRPr="00617467" w:rsidRDefault="00447C95" w:rsidP="00447C95">
      <w:pPr>
        <w:rPr>
          <w:color w:val="00B0F0"/>
        </w:rPr>
      </w:pPr>
      <w:r w:rsidRPr="00617467">
        <w:rPr>
          <w:color w:val="00B0F0"/>
        </w:rPr>
        <w:t>A4a.  RAN1 sought guidance on this matter from RAN4 via LS in R1-2202877 in TSG-RAN WG1 Meeting #108-e and is awaiting a response.</w:t>
      </w:r>
    </w:p>
    <w:p w14:paraId="51329E50" w14:textId="77777777" w:rsidR="00447C95" w:rsidRPr="00D760F2" w:rsidRDefault="00447C95" w:rsidP="00447C95"/>
    <w:p w14:paraId="1C954DF6"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Q5a. Do IAB-MT Recommended/Restricted Beam indication, Desired IAB-MT PSD range and (Desired) DL Tx Power Adjustment MAC CEs have the same periodicity? Is it necessary/beneficial to have different periodicity?</w:t>
      </w:r>
    </w:p>
    <w:p w14:paraId="0747AB7B" w14:textId="77777777" w:rsidR="00D41615" w:rsidRPr="00617467" w:rsidRDefault="00447C95" w:rsidP="00447C95">
      <w:pPr>
        <w:rPr>
          <w:color w:val="00B0F0"/>
        </w:rPr>
      </w:pPr>
      <w:r w:rsidRPr="00617467">
        <w:rPr>
          <w:color w:val="00B0F0"/>
        </w:rPr>
        <w:t>A5a.</w:t>
      </w:r>
    </w:p>
    <w:p w14:paraId="32B12E34" w14:textId="2A3D3609" w:rsidR="00D41615" w:rsidRPr="00617467" w:rsidRDefault="00D41615" w:rsidP="00447C95">
      <w:pPr>
        <w:rPr>
          <w:color w:val="00B0F0"/>
        </w:rPr>
      </w:pPr>
      <w:r w:rsidRPr="00617467">
        <w:rPr>
          <w:color w:val="00B0F0"/>
        </w:rPr>
        <w:t>The periodicity for the list of slots provided by the ‘slot index’ is not necessarily common amongst the MAC CE indications.</w:t>
      </w:r>
    </w:p>
    <w:p w14:paraId="6BE91995" w14:textId="77777777" w:rsidR="00D41615" w:rsidRPr="00617467" w:rsidRDefault="00D41615" w:rsidP="00447C95">
      <w:pPr>
        <w:rPr>
          <w:color w:val="00B0F0"/>
        </w:rPr>
      </w:pPr>
    </w:p>
    <w:p w14:paraId="26DCA292" w14:textId="52463EEE" w:rsidR="00B511B9" w:rsidRPr="00617467" w:rsidRDefault="00D41615" w:rsidP="00447C95">
      <w:pPr>
        <w:rPr>
          <w:color w:val="00B0F0"/>
        </w:rPr>
      </w:pPr>
      <w:r w:rsidRPr="00617467">
        <w:rPr>
          <w:color w:val="00B0F0"/>
        </w:rPr>
        <w:t>It is necessary to allow for different periodicities.</w:t>
      </w:r>
    </w:p>
    <w:p w14:paraId="6D40B70D" w14:textId="77777777" w:rsidR="00D41615" w:rsidRPr="00D760F2" w:rsidRDefault="00D41615" w:rsidP="00447C95"/>
    <w:p w14:paraId="0C317FC2" w14:textId="77777777" w:rsidR="00617467" w:rsidRDefault="00617467" w:rsidP="00B511B9">
      <w:pPr>
        <w:jc w:val="both"/>
        <w:rPr>
          <w:rFonts w:ascii="Arial" w:hAnsi="Arial" w:cs="Arial"/>
          <w:i/>
          <w:iCs/>
          <w:color w:val="808080" w:themeColor="background1" w:themeShade="80"/>
        </w:rPr>
      </w:pPr>
    </w:p>
    <w:p w14:paraId="0B63F402" w14:textId="77777777" w:rsidR="00617467" w:rsidRDefault="00617467" w:rsidP="00B511B9">
      <w:pPr>
        <w:jc w:val="both"/>
        <w:rPr>
          <w:rFonts w:ascii="Arial" w:hAnsi="Arial" w:cs="Arial"/>
          <w:i/>
          <w:iCs/>
          <w:color w:val="808080" w:themeColor="background1" w:themeShade="80"/>
        </w:rPr>
      </w:pPr>
    </w:p>
    <w:p w14:paraId="24A5D97D" w14:textId="77777777" w:rsidR="00617467" w:rsidRDefault="00617467" w:rsidP="00B511B9">
      <w:pPr>
        <w:jc w:val="both"/>
        <w:rPr>
          <w:rFonts w:ascii="Arial" w:hAnsi="Arial" w:cs="Arial"/>
          <w:i/>
          <w:iCs/>
          <w:color w:val="808080" w:themeColor="background1" w:themeShade="80"/>
        </w:rPr>
      </w:pPr>
    </w:p>
    <w:p w14:paraId="40A772A0" w14:textId="77777777" w:rsidR="00617467" w:rsidRDefault="00617467" w:rsidP="00B511B9">
      <w:pPr>
        <w:jc w:val="both"/>
        <w:rPr>
          <w:rFonts w:ascii="Arial" w:hAnsi="Arial" w:cs="Arial"/>
          <w:i/>
          <w:iCs/>
          <w:color w:val="808080" w:themeColor="background1" w:themeShade="80"/>
        </w:rPr>
      </w:pPr>
    </w:p>
    <w:p w14:paraId="5F562099" w14:textId="77777777" w:rsidR="00617467" w:rsidRDefault="00617467" w:rsidP="00B511B9">
      <w:pPr>
        <w:jc w:val="both"/>
        <w:rPr>
          <w:rFonts w:ascii="Arial" w:hAnsi="Arial" w:cs="Arial"/>
          <w:i/>
          <w:iCs/>
          <w:color w:val="808080" w:themeColor="background1" w:themeShade="80"/>
        </w:rPr>
      </w:pPr>
    </w:p>
    <w:p w14:paraId="1B96F5DA" w14:textId="77777777" w:rsidR="00617467" w:rsidRDefault="00617467" w:rsidP="00B511B9">
      <w:pPr>
        <w:jc w:val="both"/>
        <w:rPr>
          <w:rFonts w:ascii="Arial" w:hAnsi="Arial" w:cs="Arial"/>
          <w:i/>
          <w:iCs/>
          <w:color w:val="808080" w:themeColor="background1" w:themeShade="80"/>
        </w:rPr>
      </w:pPr>
    </w:p>
    <w:p w14:paraId="1E7B9578" w14:textId="77777777" w:rsidR="00617467" w:rsidRDefault="00617467" w:rsidP="00B511B9">
      <w:pPr>
        <w:jc w:val="both"/>
        <w:rPr>
          <w:rFonts w:ascii="Arial" w:hAnsi="Arial" w:cs="Arial"/>
          <w:i/>
          <w:iCs/>
          <w:color w:val="808080" w:themeColor="background1" w:themeShade="80"/>
        </w:rPr>
      </w:pPr>
    </w:p>
    <w:p w14:paraId="5BB942E1" w14:textId="77777777" w:rsidR="00617467" w:rsidRDefault="00617467" w:rsidP="00B511B9">
      <w:pPr>
        <w:jc w:val="both"/>
        <w:rPr>
          <w:rFonts w:ascii="Arial" w:hAnsi="Arial" w:cs="Arial"/>
          <w:i/>
          <w:iCs/>
          <w:color w:val="808080" w:themeColor="background1" w:themeShade="80"/>
        </w:rPr>
      </w:pPr>
    </w:p>
    <w:p w14:paraId="79558A76" w14:textId="0621DA1D"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Q5b. In RAN2’s understanding, a list of beams is associated with some specific parameter combination. For example, beam list 1 is associated with parameter combination 1, and beam list 2 is associated with parameter combination 2. Does one Child IAB-DU Restricted Beam Indication or IAB-MT Recommended Beam Indication MAC CE include only one beam list (associated with a specific parameter combination), or multiple beams/beam lists, and if multiple, how many need to be supported in a single MAC CE? Does one MAC CE include only one or multiple power adjustments/PSD ranges for (Desired) DL TX Power Adjustment and Desired IAB-MT PSD range MAC CEs, and if multiple, how many need to be supported in a single MAC CE? </w:t>
      </w:r>
    </w:p>
    <w:p w14:paraId="5FA821CA" w14:textId="77777777" w:rsidR="00D41615" w:rsidRPr="00617467" w:rsidRDefault="00D41615" w:rsidP="00D41615">
      <w:pPr>
        <w:rPr>
          <w:color w:val="00B0F0"/>
        </w:rPr>
      </w:pPr>
      <w:r w:rsidRPr="00617467">
        <w:rPr>
          <w:color w:val="00B0F0"/>
        </w:rPr>
        <w:t>A5b.</w:t>
      </w:r>
    </w:p>
    <w:p w14:paraId="463E318D" w14:textId="55C77389" w:rsidR="00D41615" w:rsidRPr="00617467" w:rsidRDefault="00D41615" w:rsidP="00D41615">
      <w:pPr>
        <w:rPr>
          <w:color w:val="00B0F0"/>
        </w:rPr>
      </w:pPr>
      <w:r w:rsidRPr="00617467">
        <w:rPr>
          <w:color w:val="00B0F0"/>
        </w:rPr>
        <w:t>Multiple beams, up to 8 per DU cell, are included in one Child IAB-DU Restricted Beam Indication MAC CE, where each beam may be associated with a different parameter combination.</w:t>
      </w:r>
    </w:p>
    <w:p w14:paraId="5AFFB960" w14:textId="77777777" w:rsidR="00D41615" w:rsidRPr="00617467" w:rsidRDefault="00D41615" w:rsidP="00D41615">
      <w:pPr>
        <w:rPr>
          <w:color w:val="00B0F0"/>
        </w:rPr>
      </w:pPr>
    </w:p>
    <w:p w14:paraId="61ADBF62" w14:textId="45635EDE" w:rsidR="00B511B9" w:rsidRPr="00617467" w:rsidRDefault="00D41615" w:rsidP="00D41615">
      <w:pPr>
        <w:rPr>
          <w:color w:val="00B0F0"/>
        </w:rPr>
      </w:pPr>
      <w:r w:rsidRPr="00617467">
        <w:rPr>
          <w:color w:val="00B0F0"/>
        </w:rPr>
        <w:t>Multiple beams, up to 8 per MT CC, are included in one IAB-MT Recommended Beam Indication MAC CE, where each beam may be associated with a different parameter combination.</w:t>
      </w:r>
    </w:p>
    <w:p w14:paraId="103B3C2C" w14:textId="77777777" w:rsidR="00D41615" w:rsidRPr="00D760F2" w:rsidRDefault="00D41615" w:rsidP="00D41615"/>
    <w:p w14:paraId="61940FC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Q5c. At the ongoing meeting (RAN2#118-e), on the issue of how to signal parameters in the fields associated with MAC CEs under discussion, RAN2 made the following agreement:</w:t>
      </w:r>
    </w:p>
    <w:p w14:paraId="082F3FAF" w14:textId="77777777" w:rsidR="00B511B9" w:rsidRPr="00D760F2" w:rsidRDefault="00B511B9" w:rsidP="00B511B9">
      <w:pPr>
        <w:jc w:val="both"/>
        <w:rPr>
          <w:rFonts w:ascii="Arial" w:hAnsi="Arial" w:cs="Arial"/>
          <w:i/>
          <w:iCs/>
          <w:color w:val="808080" w:themeColor="background1" w:themeShade="80"/>
        </w:rPr>
      </w:pPr>
    </w:p>
    <w:p w14:paraId="17AADAFE" w14:textId="77777777" w:rsidR="00B511B9" w:rsidRPr="00D760F2" w:rsidRDefault="00B511B9" w:rsidP="00B511B9">
      <w:pPr>
        <w:pStyle w:val="Agreement"/>
        <w:numPr>
          <w:ilvl w:val="0"/>
          <w:numId w:val="51"/>
        </w:numPr>
        <w:rPr>
          <w:i/>
          <w:iCs/>
          <w:color w:val="808080" w:themeColor="background1" w:themeShade="80"/>
        </w:rPr>
      </w:pPr>
      <w:r w:rsidRPr="00D760F2">
        <w:rPr>
          <w:i/>
          <w:iCs/>
          <w:color w:val="808080" w:themeColor="background1" w:themeShade="80"/>
        </w:rPr>
        <w:t>Go for a split RRC / MAC CE approach</w:t>
      </w:r>
    </w:p>
    <w:p w14:paraId="10A00184" w14:textId="77777777" w:rsidR="00B511B9" w:rsidRPr="00D760F2" w:rsidRDefault="00B511B9" w:rsidP="00B511B9">
      <w:pPr>
        <w:jc w:val="both"/>
        <w:rPr>
          <w:rFonts w:ascii="Arial" w:hAnsi="Arial" w:cs="Arial"/>
          <w:i/>
          <w:iCs/>
          <w:color w:val="808080" w:themeColor="background1" w:themeShade="80"/>
        </w:rPr>
      </w:pPr>
    </w:p>
    <w:p w14:paraId="6566E41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Does RAN1 agree that some of the fields associated with MAC CEs in previous LSs from RAN1 may be configured by RRC instead, if RAN2 decides this is beneficial (e.g. for reduction of signalling overhead), with the assumption of not changing the functionality? Does RAN1 have a view on which of the various parameters do not need to be dynamically configured?</w:t>
      </w:r>
    </w:p>
    <w:p w14:paraId="374A3175" w14:textId="365B5F2E" w:rsidR="00B511B9" w:rsidRPr="00617467" w:rsidRDefault="00D41615" w:rsidP="00D41615">
      <w:pPr>
        <w:rPr>
          <w:color w:val="00B0F0"/>
        </w:rPr>
      </w:pPr>
      <w:r w:rsidRPr="00617467">
        <w:rPr>
          <w:color w:val="00B0F0"/>
        </w:rPr>
        <w:t>A5c.</w:t>
      </w:r>
    </w:p>
    <w:p w14:paraId="6A5F3423" w14:textId="36BEC892" w:rsidR="00D41615" w:rsidRPr="00617467" w:rsidRDefault="00D41615" w:rsidP="00D41615">
      <w:pPr>
        <w:rPr>
          <w:color w:val="00B0F0"/>
        </w:rPr>
      </w:pPr>
      <w:r w:rsidRPr="00617467">
        <w:rPr>
          <w:color w:val="00B0F0"/>
        </w:rPr>
        <w:t>RAN1 agrees with RAN2’s decision.</w:t>
      </w:r>
    </w:p>
    <w:p w14:paraId="50215816" w14:textId="77777777" w:rsidR="00D41615" w:rsidRPr="00617467" w:rsidRDefault="00D41615" w:rsidP="00D41615">
      <w:pPr>
        <w:rPr>
          <w:color w:val="00B0F0"/>
        </w:rPr>
      </w:pPr>
    </w:p>
    <w:p w14:paraId="3CF63870" w14:textId="6AE93B1B" w:rsidR="00B511B9" w:rsidRPr="00617467" w:rsidRDefault="00D41615" w:rsidP="00834650">
      <w:pPr>
        <w:spacing w:afterLines="50" w:after="120"/>
        <w:jc w:val="both"/>
        <w:rPr>
          <w:color w:val="00B0F0"/>
        </w:rPr>
      </w:pPr>
      <w:r w:rsidRPr="00617467">
        <w:rPr>
          <w:color w:val="00B0F0"/>
        </w:rPr>
        <w:t>RAN1 agrees there are multiple options to split the signaling of the parameter combination associated with a given indication between RRC and MAC CE. The ‘slot index’ is an example of a suitable candidate for RRC configuration, however applicability of the same to other parameters in the associated combination is not precluded and it is up to RAN2 to decide.</w:t>
      </w: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6606674A"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to </w:t>
      </w:r>
      <w:r w:rsidR="00000F32" w:rsidRPr="00182CCF">
        <w:rPr>
          <w:rFonts w:eastAsia="Yu Mincho"/>
          <w:lang w:eastAsia="ja-JP"/>
        </w:rPr>
        <w:t>consider the</w:t>
      </w:r>
      <w:r w:rsidR="005853F0">
        <w:rPr>
          <w:rFonts w:eastAsia="Yu Mincho"/>
          <w:lang w:eastAsia="ja-JP"/>
        </w:rPr>
        <w:t xml:space="preserve"> provided input </w:t>
      </w:r>
      <w:r w:rsidR="00617467">
        <w:rPr>
          <w:rFonts w:eastAsia="Yu Mincho"/>
          <w:lang w:eastAsia="ja-JP"/>
        </w:rPr>
        <w:t>in</w:t>
      </w:r>
      <w:r w:rsidR="005853F0">
        <w:rPr>
          <w:rFonts w:eastAsia="Yu Mincho"/>
          <w:lang w:eastAsia="ja-JP"/>
        </w:rPr>
        <w:t xml:space="preserve"> the</w:t>
      </w:r>
      <w:r w:rsidR="00000F32" w:rsidRPr="00182CCF">
        <w:rPr>
          <w:rFonts w:eastAsia="Yu Mincho"/>
          <w:lang w:eastAsia="ja-JP"/>
        </w:rPr>
        <w:t xml:space="preserv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 xml:space="preserve">the corresponding </w:t>
      </w:r>
      <w:r w:rsidR="005853F0">
        <w:rPr>
          <w:rFonts w:eastAsia="Yu Mincho"/>
          <w:lang w:eastAsia="ja-JP"/>
        </w:rPr>
        <w:t>eIAB MAC CEs</w:t>
      </w:r>
      <w:r w:rsidRPr="00182CCF">
        <w:rPr>
          <w:rFonts w:eastAsia="Yu Mincho"/>
          <w:lang w:eastAsia="ja-JP"/>
        </w:rPr>
        <w:t>.</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71E0B6DF" w14:textId="69B9D67F" w:rsidR="00B47E92" w:rsidRDefault="00B47E92" w:rsidP="00B47E92">
      <w:pPr>
        <w:tabs>
          <w:tab w:val="left" w:pos="3544"/>
        </w:tabs>
        <w:ind w:left="2268" w:hanging="2268"/>
        <w:rPr>
          <w:bCs/>
          <w:lang w:eastAsia="zh-CN"/>
        </w:rPr>
      </w:pPr>
      <w:r w:rsidRPr="00182CCF">
        <w:rPr>
          <w:lang w:eastAsia="zh-CN"/>
        </w:rPr>
        <w:t>TSG RAN WG1 Meeting #1</w:t>
      </w:r>
      <w:r>
        <w:rPr>
          <w:lang w:eastAsia="zh-CN"/>
        </w:rPr>
        <w:t>10bis-e</w:t>
      </w:r>
      <w:r w:rsidRPr="00182CCF">
        <w:rPr>
          <w:lang w:eastAsia="zh-CN"/>
        </w:rPr>
        <w:tab/>
      </w:r>
      <w:r w:rsidRPr="00182CCF">
        <w:rPr>
          <w:lang w:eastAsia="zh-CN"/>
        </w:rPr>
        <w:tab/>
      </w:r>
      <w:r w:rsidRPr="00182CCF">
        <w:rPr>
          <w:lang w:eastAsia="zh-CN"/>
        </w:rPr>
        <w:tab/>
      </w:r>
      <w:r w:rsidR="000F6437">
        <w:rPr>
          <w:lang w:val="en-US" w:eastAsia="zh-CN"/>
        </w:rPr>
        <w:t>October</w:t>
      </w:r>
      <w:r>
        <w:rPr>
          <w:lang w:val="en-US" w:eastAsia="zh-CN"/>
        </w:rPr>
        <w:t xml:space="preserve"> </w:t>
      </w:r>
      <w:r w:rsidR="000F6437">
        <w:rPr>
          <w:lang w:val="en-US" w:eastAsia="zh-CN"/>
        </w:rPr>
        <w:t>10</w:t>
      </w:r>
      <w:r w:rsidR="000F6437">
        <w:rPr>
          <w:vertAlign w:val="superscript"/>
          <w:lang w:val="en-US" w:eastAsia="zh-CN"/>
        </w:rPr>
        <w:t>th</w:t>
      </w:r>
      <w:r w:rsidRPr="00182CCF">
        <w:rPr>
          <w:bCs/>
          <w:lang w:eastAsia="zh-CN"/>
        </w:rPr>
        <w:t xml:space="preserve"> </w:t>
      </w:r>
      <w:r>
        <w:rPr>
          <w:bCs/>
          <w:lang w:eastAsia="zh-CN"/>
        </w:rPr>
        <w:t>-</w:t>
      </w:r>
      <w:r w:rsidRPr="00182CCF">
        <w:rPr>
          <w:bCs/>
          <w:lang w:eastAsia="zh-CN"/>
        </w:rPr>
        <w:t xml:space="preserve"> </w:t>
      </w:r>
      <w:r w:rsidR="000F6437">
        <w:rPr>
          <w:bCs/>
          <w:lang w:eastAsia="zh-CN"/>
        </w:rPr>
        <w:t>19</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0F6437">
        <w:rPr>
          <w:bCs/>
          <w:lang w:eastAsia="zh-CN"/>
        </w:rPr>
        <w:t>online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sectPr w:rsidR="00370EAA" w:rsidSect="007179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77A6" w14:textId="77777777" w:rsidR="007D2DED" w:rsidRDefault="007D2DED">
      <w:r>
        <w:separator/>
      </w:r>
    </w:p>
  </w:endnote>
  <w:endnote w:type="continuationSeparator" w:id="0">
    <w:p w14:paraId="06FA9714" w14:textId="77777777" w:rsidR="007D2DED" w:rsidRDefault="007D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AC3F" w14:textId="77777777" w:rsidR="007D2DED" w:rsidRDefault="007D2DED">
      <w:r>
        <w:separator/>
      </w:r>
    </w:p>
  </w:footnote>
  <w:footnote w:type="continuationSeparator" w:id="0">
    <w:p w14:paraId="48EF8009" w14:textId="77777777" w:rsidR="007D2DED" w:rsidRDefault="007D2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F17667D"/>
    <w:multiLevelType w:val="multilevel"/>
    <w:tmpl w:val="4F17667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6"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DE4D26"/>
    <w:multiLevelType w:val="multilevel"/>
    <w:tmpl w:val="7FDE4D26"/>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1"/>
  </w:num>
  <w:num w:numId="4">
    <w:abstractNumId w:val="9"/>
  </w:num>
  <w:num w:numId="5">
    <w:abstractNumId w:val="25"/>
  </w:num>
  <w:num w:numId="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39"/>
  </w:num>
  <w:num w:numId="10">
    <w:abstractNumId w:val="50"/>
  </w:num>
  <w:num w:numId="11">
    <w:abstractNumId w:val="49"/>
  </w:num>
  <w:num w:numId="12">
    <w:abstractNumId w:val="17"/>
  </w:num>
  <w:num w:numId="13">
    <w:abstractNumId w:val="22"/>
  </w:num>
  <w:num w:numId="14">
    <w:abstractNumId w:val="29"/>
  </w:num>
  <w:num w:numId="15">
    <w:abstractNumId w:val="47"/>
  </w:num>
  <w:num w:numId="16">
    <w:abstractNumId w:val="18"/>
  </w:num>
  <w:num w:numId="17">
    <w:abstractNumId w:val="6"/>
  </w:num>
  <w:num w:numId="18">
    <w:abstractNumId w:val="30"/>
  </w:num>
  <w:num w:numId="19">
    <w:abstractNumId w:val="36"/>
  </w:num>
  <w:num w:numId="20">
    <w:abstractNumId w:val="35"/>
  </w:num>
  <w:num w:numId="21">
    <w:abstractNumId w:val="16"/>
  </w:num>
  <w:num w:numId="22">
    <w:abstractNumId w:val="31"/>
  </w:num>
  <w:num w:numId="23">
    <w:abstractNumId w:val="45"/>
  </w:num>
  <w:num w:numId="24">
    <w:abstractNumId w:val="12"/>
  </w:num>
  <w:num w:numId="25">
    <w:abstractNumId w:val="15"/>
  </w:num>
  <w:num w:numId="26">
    <w:abstractNumId w:val="3"/>
  </w:num>
  <w:num w:numId="27">
    <w:abstractNumId w:val="46"/>
  </w:num>
  <w:num w:numId="28">
    <w:abstractNumId w:val="48"/>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41"/>
  </w:num>
  <w:num w:numId="37">
    <w:abstractNumId w:val="1"/>
  </w:num>
  <w:num w:numId="38">
    <w:abstractNumId w:val="5"/>
  </w:num>
  <w:num w:numId="39">
    <w:abstractNumId w:val="8"/>
  </w:num>
  <w:num w:numId="40">
    <w:abstractNumId w:val="23"/>
  </w:num>
  <w:num w:numId="41">
    <w:abstractNumId w:val="33"/>
  </w:num>
  <w:num w:numId="42">
    <w:abstractNumId w:val="37"/>
  </w:num>
  <w:num w:numId="43">
    <w:abstractNumId w:val="11"/>
  </w:num>
  <w:num w:numId="44">
    <w:abstractNumId w:val="42"/>
  </w:num>
  <w:num w:numId="45">
    <w:abstractNumId w:val="43"/>
  </w:num>
  <w:num w:numId="46">
    <w:abstractNumId w:val="27"/>
  </w:num>
  <w:num w:numId="47">
    <w:abstractNumId w:val="38"/>
  </w:num>
  <w:num w:numId="48">
    <w:abstractNumId w:val="20"/>
  </w:num>
  <w:num w:numId="49">
    <w:abstractNumId w:val="7"/>
  </w:num>
  <w:num w:numId="50">
    <w:abstractNumId w:val="26"/>
  </w:num>
  <w:num w:numId="51">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34BA3"/>
    <w:rsid w:val="00070850"/>
    <w:rsid w:val="0008050B"/>
    <w:rsid w:val="00084ECE"/>
    <w:rsid w:val="00094C16"/>
    <w:rsid w:val="000C37C3"/>
    <w:rsid w:val="000E381B"/>
    <w:rsid w:val="000F3C91"/>
    <w:rsid w:val="000F4E43"/>
    <w:rsid w:val="000F6437"/>
    <w:rsid w:val="00100686"/>
    <w:rsid w:val="00136489"/>
    <w:rsid w:val="001401A5"/>
    <w:rsid w:val="001415D5"/>
    <w:rsid w:val="00151263"/>
    <w:rsid w:val="001629FD"/>
    <w:rsid w:val="00182CCF"/>
    <w:rsid w:val="00187DE2"/>
    <w:rsid w:val="0019171B"/>
    <w:rsid w:val="001A0326"/>
    <w:rsid w:val="001C131A"/>
    <w:rsid w:val="001D770A"/>
    <w:rsid w:val="001E46BE"/>
    <w:rsid w:val="001F3EE7"/>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47C95"/>
    <w:rsid w:val="00453931"/>
    <w:rsid w:val="00463675"/>
    <w:rsid w:val="00472AB6"/>
    <w:rsid w:val="004809D8"/>
    <w:rsid w:val="00486BF6"/>
    <w:rsid w:val="00490FB0"/>
    <w:rsid w:val="004B398E"/>
    <w:rsid w:val="004C638E"/>
    <w:rsid w:val="004E263D"/>
    <w:rsid w:val="004F2B6C"/>
    <w:rsid w:val="005000D6"/>
    <w:rsid w:val="00511F8D"/>
    <w:rsid w:val="00515470"/>
    <w:rsid w:val="00584B08"/>
    <w:rsid w:val="005853F0"/>
    <w:rsid w:val="00590603"/>
    <w:rsid w:val="00592847"/>
    <w:rsid w:val="0059471B"/>
    <w:rsid w:val="00594C11"/>
    <w:rsid w:val="005C03B3"/>
    <w:rsid w:val="005C49E5"/>
    <w:rsid w:val="005D127B"/>
    <w:rsid w:val="005D34C2"/>
    <w:rsid w:val="00602E32"/>
    <w:rsid w:val="00615EA5"/>
    <w:rsid w:val="00617467"/>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17911"/>
    <w:rsid w:val="00726FC3"/>
    <w:rsid w:val="007329CD"/>
    <w:rsid w:val="00766FCB"/>
    <w:rsid w:val="0078102F"/>
    <w:rsid w:val="00793818"/>
    <w:rsid w:val="007B1188"/>
    <w:rsid w:val="007B3AAF"/>
    <w:rsid w:val="007B6FEA"/>
    <w:rsid w:val="007C0C12"/>
    <w:rsid w:val="007C7C70"/>
    <w:rsid w:val="007D1B2C"/>
    <w:rsid w:val="007D2DED"/>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C2BFC"/>
    <w:rsid w:val="00AD63D2"/>
    <w:rsid w:val="00AF3CB8"/>
    <w:rsid w:val="00B12FD7"/>
    <w:rsid w:val="00B241BB"/>
    <w:rsid w:val="00B47E92"/>
    <w:rsid w:val="00B511B9"/>
    <w:rsid w:val="00B67E8E"/>
    <w:rsid w:val="00B754A2"/>
    <w:rsid w:val="00B76288"/>
    <w:rsid w:val="00BA033C"/>
    <w:rsid w:val="00BA3C35"/>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41615"/>
    <w:rsid w:val="00D50E7D"/>
    <w:rsid w:val="00D5358A"/>
    <w:rsid w:val="00D550CE"/>
    <w:rsid w:val="00D66D4B"/>
    <w:rsid w:val="00D7134D"/>
    <w:rsid w:val="00D74410"/>
    <w:rsid w:val="00D760F2"/>
    <w:rsid w:val="00D87CB8"/>
    <w:rsid w:val="00DA462A"/>
    <w:rsid w:val="00DC1B0F"/>
    <w:rsid w:val="00DC2297"/>
    <w:rsid w:val="00DC3EDA"/>
    <w:rsid w:val="00DF14DF"/>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C5512"/>
    <w:rsid w:val="00EE055B"/>
    <w:rsid w:val="00EE75C9"/>
    <w:rsid w:val="00F0074D"/>
    <w:rsid w:val="00F12232"/>
    <w:rsid w:val="00F26973"/>
    <w:rsid w:val="00F32701"/>
    <w:rsid w:val="00F474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Agreement">
    <w:name w:val="Agreement"/>
    <w:basedOn w:val="Normal"/>
    <w:next w:val="Normal"/>
    <w:qFormat/>
    <w:rsid w:val="00B511B9"/>
    <w:pPr>
      <w:numPr>
        <w:numId w:val="10"/>
      </w:numPr>
      <w:tabs>
        <w:tab w:val="left" w:pos="1619"/>
      </w:tabs>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3</Pages>
  <Words>1320</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41</cp:revision>
  <cp:lastPrinted>2002-04-23T07:10:00Z</cp:lastPrinted>
  <dcterms:created xsi:type="dcterms:W3CDTF">2022-02-28T04:23:00Z</dcterms:created>
  <dcterms:modified xsi:type="dcterms:W3CDTF">2022-05-17T09:06:00Z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