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9D1" w:rsidRPr="006E1AAB" w:rsidRDefault="000909D1" w:rsidP="000909D1">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10</w:t>
      </w:r>
      <w:r w:rsidR="003A37E8">
        <w:rPr>
          <w:rFonts w:cs="Arial"/>
          <w:b/>
          <w:sz w:val="24"/>
          <w:lang w:val="en-US" w:eastAsia="zh-CN"/>
        </w:rPr>
        <w:t>3</w:t>
      </w:r>
      <w:r w:rsidR="00176CAF">
        <w:rPr>
          <w:rFonts w:cs="Arial"/>
          <w:b/>
          <w:sz w:val="24"/>
          <w:lang w:val="en-US" w:eastAsia="zh-CN"/>
        </w:rPr>
        <w:t>-e</w:t>
      </w:r>
      <w:r>
        <w:rPr>
          <w:b/>
          <w:i/>
          <w:noProof/>
          <w:sz w:val="28"/>
        </w:rPr>
        <w:tab/>
      </w:r>
      <w:r w:rsidR="00ED3C18" w:rsidRPr="00ED3C18">
        <w:rPr>
          <w:rFonts w:eastAsia="宋体" w:cs="Arial"/>
          <w:b/>
          <w:sz w:val="24"/>
          <w:lang w:val="en-US" w:eastAsia="zh-CN"/>
        </w:rPr>
        <w:t>R4-220</w:t>
      </w:r>
      <w:r w:rsidR="003A37E8">
        <w:rPr>
          <w:rFonts w:eastAsia="宋体" w:cs="Arial"/>
          <w:b/>
          <w:sz w:val="24"/>
          <w:lang w:val="en-US" w:eastAsia="zh-CN"/>
        </w:rPr>
        <w:t>xxxx</w:t>
      </w:r>
    </w:p>
    <w:p w:rsidR="000909D1" w:rsidRPr="00D02B0E" w:rsidRDefault="000909D1" w:rsidP="000909D1">
      <w:pPr>
        <w:pStyle w:val="a3"/>
        <w:tabs>
          <w:tab w:val="left" w:pos="2160"/>
        </w:tabs>
        <w:ind w:left="2127" w:hanging="2127"/>
        <w:jc w:val="both"/>
        <w:rPr>
          <w:rFonts w:eastAsia="宋体" w:cs="Arial"/>
          <w:noProof w:val="0"/>
          <w:sz w:val="24"/>
        </w:rPr>
      </w:pPr>
      <w:r>
        <w:rPr>
          <w:sz w:val="24"/>
        </w:rPr>
        <w:t>Electronic Meeting</w:t>
      </w:r>
      <w:r w:rsidRPr="00547020">
        <w:rPr>
          <w:sz w:val="24"/>
        </w:rPr>
        <w:t xml:space="preserve">, </w:t>
      </w:r>
      <w:r w:rsidR="003A37E8">
        <w:rPr>
          <w:rFonts w:cs="Arial"/>
          <w:sz w:val="24"/>
          <w:szCs w:val="24"/>
        </w:rPr>
        <w:t>May</w:t>
      </w:r>
      <w:r>
        <w:rPr>
          <w:rFonts w:cs="Arial"/>
          <w:sz w:val="24"/>
          <w:szCs w:val="24"/>
        </w:rPr>
        <w:t xml:space="preserve"> </w:t>
      </w:r>
      <w:r w:rsidR="003A37E8">
        <w:rPr>
          <w:rFonts w:cs="Arial"/>
          <w:sz w:val="24"/>
          <w:szCs w:val="24"/>
        </w:rPr>
        <w:t>09</w:t>
      </w:r>
      <w:r>
        <w:rPr>
          <w:rFonts w:cs="Arial"/>
          <w:sz w:val="24"/>
          <w:szCs w:val="24"/>
        </w:rPr>
        <w:t xml:space="preserve"> – </w:t>
      </w:r>
      <w:r w:rsidR="003A37E8">
        <w:rPr>
          <w:rFonts w:cs="Arial"/>
          <w:sz w:val="24"/>
          <w:szCs w:val="24"/>
        </w:rPr>
        <w:t>20</w:t>
      </w:r>
      <w:r w:rsidRPr="00547020">
        <w:rPr>
          <w:sz w:val="24"/>
        </w:rPr>
        <w:t xml:space="preserve">, </w:t>
      </w:r>
      <w:r w:rsidRPr="00D02B0E">
        <w:rPr>
          <w:rFonts w:cs="Arial"/>
          <w:noProof w:val="0"/>
          <w:sz w:val="24"/>
        </w:rPr>
        <w:t>20</w:t>
      </w:r>
      <w:r>
        <w:rPr>
          <w:rFonts w:cs="Arial"/>
          <w:noProof w:val="0"/>
          <w:sz w:val="24"/>
        </w:rPr>
        <w:t>22</w:t>
      </w:r>
    </w:p>
    <w:bookmarkEnd w:id="0"/>
    <w:bookmarkEnd w:id="1"/>
    <w:p w:rsidR="00070561" w:rsidRPr="000909D1"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37E8" w:rsidRPr="003A37E8">
        <w:rPr>
          <w:rFonts w:ascii="Arial" w:eastAsia="宋体" w:hAnsi="Arial"/>
          <w:b/>
          <w:sz w:val="24"/>
          <w:lang w:val="en-US" w:eastAsia="zh-CN"/>
        </w:rPr>
        <w:t>Discussion on carrier numbers for FR2 inter-band UL CA</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4C99" w:rsidRPr="007F4C99">
        <w:rPr>
          <w:rFonts w:ascii="Arial" w:eastAsia="宋体" w:hAnsi="Arial"/>
          <w:b/>
          <w:sz w:val="24"/>
          <w:lang w:val="en-US" w:eastAsia="zh-CN"/>
        </w:rPr>
        <w:t>9.4.6.2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E03946" w:rsidP="00796A73">
      <w:pPr>
        <w:adjustRightInd w:val="0"/>
        <w:snapToGrid w:val="0"/>
        <w:spacing w:before="180" w:after="120"/>
        <w:rPr>
          <w:rFonts w:eastAsia="宋体"/>
          <w:sz w:val="22"/>
          <w:lang w:eastAsia="zh-CN"/>
        </w:rPr>
      </w:pPr>
      <w:r>
        <w:rPr>
          <w:rFonts w:eastAsia="宋体"/>
          <w:sz w:val="22"/>
          <w:lang w:eastAsia="zh-CN"/>
        </w:rPr>
        <w:t>In this contribution</w:t>
      </w:r>
      <w:r w:rsidR="00934E8B">
        <w:rPr>
          <w:rFonts w:eastAsia="宋体"/>
          <w:sz w:val="22"/>
          <w:lang w:eastAsia="zh-CN"/>
        </w:rPr>
        <w:t xml:space="preserve">, we provide discussion on </w:t>
      </w:r>
      <w:r>
        <w:rPr>
          <w:rFonts w:eastAsia="宋体"/>
          <w:sz w:val="22"/>
          <w:lang w:eastAsia="zh-CN"/>
        </w:rPr>
        <w:t xml:space="preserve">the </w:t>
      </w:r>
      <w:r w:rsidR="00F51726">
        <w:rPr>
          <w:rFonts w:eastAsia="宋体"/>
          <w:sz w:val="22"/>
          <w:lang w:eastAsia="zh-CN"/>
        </w:rPr>
        <w:t>remaining</w:t>
      </w:r>
      <w:r>
        <w:rPr>
          <w:rFonts w:eastAsia="宋体"/>
          <w:sz w:val="22"/>
          <w:lang w:eastAsia="zh-CN"/>
        </w:rPr>
        <w:t xml:space="preserve"> issues </w:t>
      </w:r>
      <w:r w:rsidR="00796A73">
        <w:rPr>
          <w:rFonts w:eastAsia="宋体"/>
          <w:sz w:val="22"/>
          <w:lang w:eastAsia="zh-CN"/>
        </w:rPr>
        <w:t xml:space="preserve">for </w:t>
      </w:r>
      <w:r w:rsidR="0055016B">
        <w:rPr>
          <w:rFonts w:eastAsia="宋体"/>
          <w:sz w:val="22"/>
          <w:lang w:eastAsia="zh-CN"/>
        </w:rPr>
        <w:t xml:space="preserve">FR2 inter-band </w:t>
      </w:r>
      <w:r w:rsidR="003A37E8">
        <w:rPr>
          <w:rFonts w:eastAsia="宋体"/>
          <w:sz w:val="22"/>
          <w:lang w:eastAsia="zh-CN"/>
        </w:rPr>
        <w:t>U</w:t>
      </w:r>
      <w:r w:rsidR="0055016B">
        <w:rPr>
          <w:rFonts w:eastAsia="宋体"/>
          <w:sz w:val="22"/>
          <w:lang w:eastAsia="zh-CN"/>
        </w:rPr>
        <w:t xml:space="preserve">L CA </w:t>
      </w:r>
      <w:r w:rsidR="00796A73">
        <w:rPr>
          <w:rFonts w:eastAsia="宋体"/>
          <w:sz w:val="22"/>
          <w:lang w:eastAsia="zh-CN"/>
        </w:rPr>
        <w:t>in R17</w:t>
      </w:r>
      <w:r w:rsidR="00934E8B">
        <w:rPr>
          <w:rFonts w:eastAsia="宋体"/>
          <w:sz w:val="22"/>
          <w:lang w:eastAsia="zh-CN"/>
        </w:rPr>
        <w:t>.</w:t>
      </w:r>
    </w:p>
    <w:p w:rsidR="00754DE9" w:rsidRDefault="00C643FE" w:rsidP="00754DE9">
      <w:pPr>
        <w:pStyle w:val="1"/>
        <w:jc w:val="both"/>
        <w:rPr>
          <w:lang w:val="en-US"/>
        </w:rPr>
      </w:pPr>
      <w:r w:rsidRPr="00C643FE">
        <w:rPr>
          <w:lang w:val="en-US"/>
        </w:rPr>
        <w:t>Discussion</w:t>
      </w:r>
    </w:p>
    <w:p w:rsidR="007D794A" w:rsidRDefault="00F94E60" w:rsidP="00A51AD1">
      <w:pPr>
        <w:widowControl w:val="0"/>
        <w:adjustRightInd w:val="0"/>
        <w:snapToGrid w:val="0"/>
        <w:spacing w:before="180"/>
        <w:rPr>
          <w:rFonts w:eastAsia="宋体"/>
          <w:sz w:val="22"/>
          <w:lang w:val="en-US" w:eastAsia="zh-CN"/>
        </w:rPr>
      </w:pPr>
      <w:bookmarkStart w:id="3" w:name="OLE_LINK6"/>
      <w:bookmarkStart w:id="4" w:name="OLE_LINK232"/>
      <w:bookmarkStart w:id="5" w:name="OLE_LINK233"/>
      <w:bookmarkStart w:id="6" w:name="OLE_LINK665"/>
      <w:bookmarkStart w:id="7" w:name="OLE_LINK666"/>
      <w:bookmarkStart w:id="8" w:name="OLE_LINK667"/>
      <w:r>
        <w:rPr>
          <w:rFonts w:eastAsia="宋体"/>
          <w:sz w:val="22"/>
          <w:lang w:val="en-US" w:eastAsia="zh-CN"/>
        </w:rPr>
        <w:t>In RAN4, the open issue</w:t>
      </w:r>
      <w:r w:rsidR="0080036C">
        <w:rPr>
          <w:rFonts w:eastAsia="宋体"/>
          <w:sz w:val="22"/>
          <w:lang w:val="en-US" w:eastAsia="zh-CN"/>
        </w:rPr>
        <w:t xml:space="preserve"> on</w:t>
      </w:r>
      <w:r>
        <w:rPr>
          <w:rFonts w:eastAsia="宋体"/>
          <w:sz w:val="22"/>
          <w:lang w:val="en-US" w:eastAsia="zh-CN"/>
        </w:rPr>
        <w:t xml:space="preserve"> </w:t>
      </w:r>
      <w:r w:rsidR="007D794A">
        <w:rPr>
          <w:rFonts w:eastAsia="宋体"/>
          <w:sz w:val="22"/>
          <w:lang w:val="en-US" w:eastAsia="zh-CN"/>
        </w:rPr>
        <w:t xml:space="preserve">number of serving carriers capability </w:t>
      </w:r>
      <w:r>
        <w:rPr>
          <w:rFonts w:eastAsia="宋体"/>
          <w:sz w:val="22"/>
          <w:lang w:val="en-US" w:eastAsia="zh-CN"/>
        </w:rPr>
        <w:t xml:space="preserve">has been </w:t>
      </w:r>
      <w:r w:rsidR="007D794A">
        <w:rPr>
          <w:rFonts w:eastAsia="宋体"/>
          <w:sz w:val="22"/>
          <w:lang w:val="en-US" w:eastAsia="zh-CN"/>
        </w:rPr>
        <w:t xml:space="preserve">discussed and </w:t>
      </w:r>
      <w:r>
        <w:rPr>
          <w:rFonts w:eastAsia="宋体"/>
          <w:sz w:val="22"/>
          <w:lang w:val="en-US" w:eastAsia="zh-CN"/>
        </w:rPr>
        <w:t>captured in [</w:t>
      </w:r>
      <w:r w:rsidR="0080036C">
        <w:rPr>
          <w:rFonts w:eastAsia="宋体"/>
          <w:sz w:val="22"/>
          <w:lang w:val="en-US" w:eastAsia="zh-CN"/>
        </w:rPr>
        <w:t>1</w:t>
      </w:r>
      <w:r w:rsidR="007D794A">
        <w:rPr>
          <w:rFonts w:eastAsia="宋体"/>
          <w:sz w:val="22"/>
          <w:lang w:val="en-US" w:eastAsia="zh-CN"/>
        </w:rPr>
        <w:t>].</w:t>
      </w:r>
      <w:r w:rsidR="007D794A">
        <w:rPr>
          <w:rFonts w:eastAsia="宋体" w:hint="eastAsia"/>
          <w:sz w:val="22"/>
          <w:lang w:val="en-US" w:eastAsia="zh-CN"/>
        </w:rPr>
        <w:t>I</w:t>
      </w:r>
      <w:r w:rsidR="007D794A">
        <w:rPr>
          <w:rFonts w:eastAsia="宋体"/>
          <w:sz w:val="22"/>
          <w:lang w:val="en-US" w:eastAsia="zh-CN"/>
        </w:rPr>
        <w:t xml:space="preserve">n TS 38.133, the </w:t>
      </w:r>
      <w:r w:rsidR="00025832">
        <w:rPr>
          <w:rFonts w:eastAsia="宋体"/>
          <w:sz w:val="22"/>
          <w:lang w:val="en-US" w:eastAsia="zh-CN"/>
        </w:rPr>
        <w:t>requirements on</w:t>
      </w:r>
      <w:r w:rsidR="007D794A">
        <w:rPr>
          <w:rFonts w:eastAsia="宋体"/>
          <w:sz w:val="22"/>
          <w:lang w:val="en-US" w:eastAsia="zh-CN"/>
        </w:rPr>
        <w:t xml:space="preserve"> </w:t>
      </w:r>
      <w:r w:rsidR="008F417B">
        <w:rPr>
          <w:rFonts w:eastAsia="宋体"/>
          <w:sz w:val="22"/>
          <w:lang w:val="en-US" w:eastAsia="zh-CN"/>
        </w:rPr>
        <w:t xml:space="preserve">supporting </w:t>
      </w:r>
      <w:r w:rsidR="007D794A">
        <w:rPr>
          <w:rFonts w:eastAsia="宋体"/>
          <w:sz w:val="22"/>
          <w:lang w:val="en-US" w:eastAsia="zh-CN"/>
        </w:rPr>
        <w:t xml:space="preserve">number </w:t>
      </w:r>
      <w:r w:rsidR="008F417B">
        <w:rPr>
          <w:rFonts w:eastAsia="宋体"/>
          <w:sz w:val="22"/>
          <w:lang w:val="en-US" w:eastAsia="zh-CN"/>
        </w:rPr>
        <w:t xml:space="preserve">of serving carriers for SA </w:t>
      </w:r>
      <w:r w:rsidR="00DD1BBF">
        <w:rPr>
          <w:rFonts w:eastAsia="宋体"/>
          <w:sz w:val="22"/>
          <w:lang w:val="en-US" w:eastAsia="zh-CN"/>
        </w:rPr>
        <w:t xml:space="preserve">since R16 </w:t>
      </w:r>
      <w:r w:rsidR="008F417B">
        <w:rPr>
          <w:rFonts w:eastAsia="宋体"/>
          <w:sz w:val="22"/>
          <w:lang w:val="en-US" w:eastAsia="zh-CN"/>
        </w:rPr>
        <w:t>are defined as follows</w:t>
      </w:r>
      <w:r w:rsidR="00DD1BBF">
        <w:rPr>
          <w:rFonts w:eastAsia="宋体"/>
          <w:sz w:val="22"/>
          <w:lang w:val="en-US" w:eastAsia="zh-CN"/>
        </w:rPr>
        <w:t>:</w:t>
      </w:r>
    </w:p>
    <w:tbl>
      <w:tblPr>
        <w:tblStyle w:val="af4"/>
        <w:tblW w:w="0" w:type="auto"/>
        <w:tblLook w:val="04A0" w:firstRow="1" w:lastRow="0" w:firstColumn="1" w:lastColumn="0" w:noHBand="0" w:noVBand="1"/>
      </w:tblPr>
      <w:tblGrid>
        <w:gridCol w:w="9621"/>
      </w:tblGrid>
      <w:tr w:rsidR="00DD1BBF" w:rsidTr="00DD1BBF">
        <w:tc>
          <w:tcPr>
            <w:tcW w:w="9621" w:type="dxa"/>
          </w:tcPr>
          <w:p w:rsidR="00DD1BBF" w:rsidRPr="00DD1BBF" w:rsidRDefault="00DD1BBF" w:rsidP="00DD1BBF">
            <w:pPr>
              <w:keepNext/>
              <w:keepLines/>
              <w:spacing w:before="120"/>
              <w:outlineLvl w:val="3"/>
              <w:rPr>
                <w:rFonts w:ascii="Arial" w:eastAsia="宋体" w:hAnsi="Arial"/>
                <w:sz w:val="24"/>
                <w:lang w:val="en-US"/>
              </w:rPr>
            </w:pPr>
            <w:bookmarkStart w:id="9" w:name="_Toc5952526"/>
            <w:r w:rsidRPr="00DD1BBF">
              <w:rPr>
                <w:rFonts w:ascii="Arial" w:eastAsia="宋体" w:hAnsi="Arial"/>
                <w:sz w:val="24"/>
                <w:lang w:val="en-US"/>
              </w:rPr>
              <w:t>3.6.2.1</w:t>
            </w:r>
            <w:r w:rsidRPr="00DD1BBF">
              <w:rPr>
                <w:rFonts w:ascii="Arial" w:eastAsia="宋体" w:hAnsi="Arial"/>
                <w:sz w:val="24"/>
                <w:lang w:val="en-US"/>
              </w:rPr>
              <w:tab/>
              <w:t>Number of serving carriers for SA</w:t>
            </w:r>
            <w:bookmarkEnd w:id="9"/>
          </w:p>
          <w:p w:rsidR="00DD1BBF" w:rsidRPr="00DD1BBF" w:rsidRDefault="00DD1BBF" w:rsidP="00DD1BBF">
            <w:pPr>
              <w:rPr>
                <w:rFonts w:eastAsia="宋体"/>
              </w:rPr>
            </w:pPr>
            <w:r w:rsidRPr="00DD1BBF">
              <w:rPr>
                <w:rFonts w:eastAsia="宋体"/>
              </w:rPr>
              <w:t>Requirements for standalone NR with NR PCell are applicable for the UE configured with the following number of serving NR CCs:</w:t>
            </w:r>
          </w:p>
          <w:p w:rsidR="00DD1BBF" w:rsidRPr="00DD1BBF" w:rsidRDefault="00DD1BBF" w:rsidP="00DD1BBF">
            <w:pPr>
              <w:ind w:left="568" w:hanging="284"/>
              <w:rPr>
                <w:rFonts w:eastAsia="宋体"/>
              </w:rPr>
            </w:pPr>
            <w:r w:rsidRPr="00DD1BBF">
              <w:rPr>
                <w:rFonts w:eastAsia="宋体"/>
              </w:rPr>
              <w:t>-</w:t>
            </w:r>
            <w:r w:rsidRPr="00DD1BBF">
              <w:rPr>
                <w:rFonts w:eastAsia="宋体"/>
              </w:rPr>
              <w:tab/>
              <w:t>up to 10 NR DL CCs in total, with 1 UL (</w:t>
            </w:r>
            <w:r w:rsidRPr="00DD1BBF">
              <w:rPr>
                <w:rFonts w:eastAsia="宋体"/>
                <w:lang w:eastAsia="zh-CN"/>
              </w:rPr>
              <w:t xml:space="preserve">or 2 UL if SUL is configured) in </w:t>
            </w:r>
            <w:r w:rsidRPr="00DD1BBF">
              <w:rPr>
                <w:rFonts w:eastAsia="宋体"/>
              </w:rPr>
              <w:t>PCell and up to 8 UL</w:t>
            </w:r>
            <w:r w:rsidRPr="00DD1BBF">
              <w:rPr>
                <w:rFonts w:eastAsia="宋体"/>
                <w:lang w:eastAsia="zh-CN"/>
              </w:rPr>
              <w:t xml:space="preserve"> (or 9 UL if SUL is configured) in</w:t>
            </w:r>
            <w:r w:rsidRPr="00DD1BBF">
              <w:rPr>
                <w:rFonts w:eastAsia="宋体"/>
              </w:rPr>
              <w:t xml:space="preserve"> total for SCells.</w:t>
            </w:r>
          </w:p>
          <w:p w:rsidR="00DD1BBF" w:rsidRPr="00DD1BBF" w:rsidRDefault="00DD1BBF" w:rsidP="00DD1BBF">
            <w:pPr>
              <w:ind w:left="568" w:hanging="284"/>
              <w:rPr>
                <w:rFonts w:eastAsia="宋体"/>
              </w:rPr>
            </w:pPr>
            <w:r w:rsidRPr="00DD1BBF">
              <w:rPr>
                <w:rFonts w:eastAsia="宋体"/>
              </w:rPr>
              <w:t>-</w:t>
            </w:r>
            <w:r w:rsidRPr="00DD1BBF">
              <w:rPr>
                <w:rFonts w:eastAsia="宋体"/>
              </w:rPr>
              <w:tab/>
              <w:t>SUL may be configured together with one of the UL</w:t>
            </w:r>
          </w:p>
        </w:tc>
      </w:tr>
    </w:tbl>
    <w:p w:rsidR="005270FC" w:rsidRDefault="00DD1BBF" w:rsidP="00A51AD1">
      <w:pPr>
        <w:widowControl w:val="0"/>
        <w:adjustRightInd w:val="0"/>
        <w:snapToGrid w:val="0"/>
        <w:spacing w:before="180"/>
        <w:rPr>
          <w:rFonts w:eastAsia="宋体"/>
          <w:sz w:val="22"/>
          <w:lang w:val="en-US" w:eastAsia="zh-CN"/>
        </w:rPr>
      </w:pPr>
      <w:r>
        <w:rPr>
          <w:rFonts w:eastAsia="宋体"/>
          <w:sz w:val="22"/>
          <w:lang w:val="en-US" w:eastAsia="zh-CN"/>
        </w:rPr>
        <w:t xml:space="preserve">In R17, </w:t>
      </w:r>
      <w:r w:rsidR="002568F1">
        <w:rPr>
          <w:rFonts w:eastAsia="宋体"/>
          <w:sz w:val="22"/>
          <w:lang w:val="en-US" w:eastAsia="zh-CN"/>
        </w:rPr>
        <w:t xml:space="preserve">plenty of </w:t>
      </w:r>
      <w:r w:rsidR="00D81B32" w:rsidRPr="00D81B32">
        <w:rPr>
          <w:rFonts w:eastAsia="宋体"/>
          <w:sz w:val="22"/>
          <w:lang w:val="en-US" w:eastAsia="zh-CN"/>
        </w:rPr>
        <w:t>bandwidth combination sets</w:t>
      </w:r>
      <w:r w:rsidR="00D81B32">
        <w:rPr>
          <w:rFonts w:eastAsia="宋体"/>
          <w:sz w:val="22"/>
          <w:lang w:val="en-US" w:eastAsia="zh-CN"/>
        </w:rPr>
        <w:t xml:space="preserve"> have been introduced</w:t>
      </w:r>
      <w:r w:rsidR="00D81B32" w:rsidRPr="00D81B32">
        <w:rPr>
          <w:rFonts w:eastAsia="宋体"/>
          <w:sz w:val="22"/>
          <w:lang w:val="en-US" w:eastAsia="zh-CN"/>
        </w:rPr>
        <w:t xml:space="preserve"> for</w:t>
      </w:r>
      <w:r w:rsidR="00D81B32">
        <w:rPr>
          <w:rFonts w:eastAsia="宋体"/>
          <w:sz w:val="22"/>
          <w:lang w:val="en-US" w:eastAsia="zh-CN"/>
        </w:rPr>
        <w:t xml:space="preserve"> FR1 inter-band CA, FR2 inter-band CA and </w:t>
      </w:r>
      <w:r w:rsidR="009C5AEF">
        <w:rPr>
          <w:rFonts w:eastAsia="宋体"/>
          <w:sz w:val="22"/>
          <w:lang w:val="en-US" w:eastAsia="zh-CN"/>
        </w:rPr>
        <w:t xml:space="preserve">FR1+FR2 inter-band CA. For FR2 inter-band CA, </w:t>
      </w:r>
      <w:r w:rsidR="00037D69">
        <w:rPr>
          <w:rFonts w:eastAsia="宋体"/>
          <w:sz w:val="22"/>
          <w:lang w:val="en-US" w:eastAsia="zh-CN"/>
        </w:rPr>
        <w:t xml:space="preserve">the </w:t>
      </w:r>
      <w:r w:rsidR="00037D69" w:rsidRPr="00D81B32">
        <w:rPr>
          <w:rFonts w:eastAsia="宋体"/>
          <w:sz w:val="22"/>
          <w:lang w:val="en-US" w:eastAsia="zh-CN"/>
        </w:rPr>
        <w:t>bandwidth combination</w:t>
      </w:r>
      <w:r w:rsidR="00037D69">
        <w:rPr>
          <w:rFonts w:eastAsia="宋体"/>
          <w:sz w:val="22"/>
          <w:lang w:val="en-US" w:eastAsia="zh-CN"/>
        </w:rPr>
        <w:t xml:space="preserve"> </w:t>
      </w:r>
      <w:r w:rsidR="00037D69" w:rsidRPr="00037D69">
        <w:rPr>
          <w:rFonts w:eastAsia="宋体"/>
          <w:i/>
          <w:sz w:val="22"/>
          <w:lang w:val="en-US" w:eastAsia="zh-CN"/>
        </w:rPr>
        <w:t>CA_n260M-n261M</w:t>
      </w:r>
      <w:r w:rsidR="00037D69">
        <w:rPr>
          <w:rFonts w:eastAsia="宋体"/>
          <w:sz w:val="22"/>
          <w:lang w:val="en-US" w:eastAsia="zh-CN"/>
        </w:rPr>
        <w:t xml:space="preserve"> has been introduced into the specification TS38.101-2, which supports 16 NR </w:t>
      </w:r>
      <w:r w:rsidR="004D547E">
        <w:rPr>
          <w:rFonts w:eastAsia="宋体"/>
          <w:sz w:val="22"/>
          <w:lang w:val="en-US" w:eastAsia="zh-CN"/>
        </w:rPr>
        <w:t xml:space="preserve">DL </w:t>
      </w:r>
      <w:r w:rsidR="00037D69">
        <w:rPr>
          <w:rFonts w:eastAsia="宋体"/>
          <w:sz w:val="22"/>
          <w:lang w:val="en-US" w:eastAsia="zh-CN"/>
        </w:rPr>
        <w:t xml:space="preserve">CCs </w:t>
      </w:r>
      <w:r w:rsidR="006C7CD4">
        <w:rPr>
          <w:rFonts w:eastAsia="宋体"/>
          <w:sz w:val="22"/>
          <w:lang w:val="en-US" w:eastAsia="zh-CN"/>
        </w:rPr>
        <w:t>and up to 8 NR UL CCs in total</w:t>
      </w:r>
      <w:r w:rsidR="00037D69">
        <w:rPr>
          <w:rFonts w:eastAsia="宋体"/>
          <w:sz w:val="22"/>
          <w:lang w:val="en-US" w:eastAsia="zh-CN"/>
        </w:rPr>
        <w:t xml:space="preserve">. For FR1+FR2 inter-band CA, the </w:t>
      </w:r>
      <w:r w:rsidR="00037D69" w:rsidRPr="00D81B32">
        <w:rPr>
          <w:rFonts w:eastAsia="宋体"/>
          <w:sz w:val="22"/>
          <w:lang w:val="en-US" w:eastAsia="zh-CN"/>
        </w:rPr>
        <w:t>bandwidth combination</w:t>
      </w:r>
      <w:r w:rsidR="004D547E">
        <w:rPr>
          <w:rFonts w:eastAsia="宋体"/>
          <w:sz w:val="22"/>
          <w:lang w:val="en-US" w:eastAsia="zh-CN"/>
        </w:rPr>
        <w:t xml:space="preserve"> </w:t>
      </w:r>
      <w:r w:rsidR="004D547E" w:rsidRPr="004D547E">
        <w:rPr>
          <w:rFonts w:eastAsia="宋体"/>
          <w:i/>
          <w:sz w:val="22"/>
          <w:lang w:val="en-US" w:eastAsia="zh-CN"/>
        </w:rPr>
        <w:t>CA_n1A-n3A-n8A-n77(2A)-n257M</w:t>
      </w:r>
      <w:r w:rsidR="00037D69">
        <w:rPr>
          <w:rFonts w:eastAsia="宋体"/>
          <w:sz w:val="22"/>
          <w:lang w:val="en-US" w:eastAsia="zh-CN"/>
        </w:rPr>
        <w:t xml:space="preserve"> </w:t>
      </w:r>
      <w:r w:rsidR="004D547E">
        <w:rPr>
          <w:rFonts w:eastAsia="宋体"/>
          <w:sz w:val="22"/>
          <w:lang w:val="en-US" w:eastAsia="zh-CN"/>
        </w:rPr>
        <w:t>has been introduced into the specification TS38.101-3, which supports 13 NR DL CCs in total.</w:t>
      </w:r>
    </w:p>
    <w:p w:rsidR="005270FC" w:rsidRPr="005270FC" w:rsidRDefault="005270FC" w:rsidP="00A51AD1">
      <w:pPr>
        <w:widowControl w:val="0"/>
        <w:adjustRightInd w:val="0"/>
        <w:snapToGrid w:val="0"/>
        <w:spacing w:before="180"/>
        <w:rPr>
          <w:rFonts w:eastAsia="宋体"/>
          <w:b/>
          <w:i/>
          <w:sz w:val="22"/>
          <w:lang w:val="en-US" w:eastAsia="zh-CN"/>
        </w:rPr>
      </w:pPr>
      <w:r w:rsidRPr="005270FC">
        <w:rPr>
          <w:rFonts w:eastAsia="宋体" w:hint="eastAsia"/>
          <w:b/>
          <w:i/>
          <w:sz w:val="22"/>
          <w:lang w:val="en-US" w:eastAsia="zh-CN"/>
        </w:rPr>
        <w:t>O</w:t>
      </w:r>
      <w:r w:rsidRPr="005270FC">
        <w:rPr>
          <w:rFonts w:eastAsia="宋体"/>
          <w:b/>
          <w:i/>
          <w:sz w:val="22"/>
          <w:lang w:val="en-US" w:eastAsia="zh-CN"/>
        </w:rPr>
        <w:t xml:space="preserve">bservation 1: The maximum number of </w:t>
      </w:r>
      <w:r>
        <w:rPr>
          <w:rFonts w:eastAsia="宋体"/>
          <w:b/>
          <w:i/>
          <w:sz w:val="22"/>
          <w:lang w:val="en-US" w:eastAsia="zh-CN"/>
        </w:rPr>
        <w:t xml:space="preserve">NR serving CCs is increased for NR inter-band CA in R17 </w:t>
      </w:r>
      <w:r w:rsidR="007F4C99">
        <w:rPr>
          <w:rFonts w:eastAsia="宋体"/>
          <w:b/>
          <w:i/>
          <w:sz w:val="22"/>
          <w:lang w:val="en-US" w:eastAsia="zh-CN"/>
        </w:rPr>
        <w:t>since</w:t>
      </w:r>
      <w:r>
        <w:rPr>
          <w:rFonts w:eastAsia="宋体"/>
          <w:b/>
          <w:i/>
          <w:sz w:val="22"/>
          <w:lang w:val="en-US" w:eastAsia="zh-CN"/>
        </w:rPr>
        <w:t xml:space="preserve"> new NR bandwidth combination sets are introduced into TS38.101-1/2/3.</w:t>
      </w:r>
    </w:p>
    <w:p w:rsidR="005270FC" w:rsidRDefault="00170C0B" w:rsidP="00A51AD1">
      <w:pPr>
        <w:widowControl w:val="0"/>
        <w:adjustRightInd w:val="0"/>
        <w:snapToGrid w:val="0"/>
        <w:spacing w:before="180"/>
        <w:rPr>
          <w:rFonts w:eastAsia="宋体"/>
          <w:sz w:val="22"/>
          <w:lang w:val="en-US" w:eastAsia="zh-CN"/>
        </w:rPr>
      </w:pPr>
      <w:r>
        <w:rPr>
          <w:rFonts w:eastAsia="宋体"/>
          <w:sz w:val="22"/>
          <w:lang w:val="en-US" w:eastAsia="zh-CN"/>
        </w:rPr>
        <w:t xml:space="preserve">The existing requirements </w:t>
      </w:r>
      <w:r w:rsidR="002568F1">
        <w:rPr>
          <w:rFonts w:eastAsia="宋体"/>
          <w:sz w:val="22"/>
          <w:lang w:val="en-US" w:eastAsia="zh-CN"/>
        </w:rPr>
        <w:t>on</w:t>
      </w:r>
      <w:r>
        <w:rPr>
          <w:rFonts w:eastAsia="宋体"/>
          <w:sz w:val="22"/>
          <w:lang w:val="en-US" w:eastAsia="zh-CN"/>
        </w:rPr>
        <w:t xml:space="preserve"> supporting number of serving carriers for NR SA needs to be updated according to </w:t>
      </w:r>
      <w:r w:rsidR="002568F1">
        <w:rPr>
          <w:rFonts w:eastAsia="宋体"/>
          <w:sz w:val="22"/>
          <w:lang w:val="en-US" w:eastAsia="zh-CN"/>
        </w:rPr>
        <w:t xml:space="preserve">the CA configurations as defined in TS38.101-1/2/3. However, many new </w:t>
      </w:r>
      <w:r w:rsidR="008B37D5">
        <w:rPr>
          <w:rFonts w:eastAsia="宋体"/>
          <w:sz w:val="22"/>
          <w:lang w:val="en-US" w:eastAsia="zh-CN"/>
        </w:rPr>
        <w:t xml:space="preserve">CA </w:t>
      </w:r>
      <w:r w:rsidR="002568F1" w:rsidRPr="00D81B32">
        <w:rPr>
          <w:rFonts w:eastAsia="宋体"/>
          <w:sz w:val="22"/>
          <w:lang w:val="en-US" w:eastAsia="zh-CN"/>
        </w:rPr>
        <w:t>bandwidth combination</w:t>
      </w:r>
      <w:r w:rsidR="002568F1">
        <w:rPr>
          <w:rFonts w:eastAsia="宋体"/>
          <w:sz w:val="22"/>
          <w:lang w:val="en-US" w:eastAsia="zh-CN"/>
        </w:rPr>
        <w:t xml:space="preserve">s are </w:t>
      </w:r>
      <w:r w:rsidR="008B37D5">
        <w:rPr>
          <w:rFonts w:eastAsia="宋体"/>
          <w:sz w:val="22"/>
          <w:lang w:val="en-US" w:eastAsia="zh-CN"/>
        </w:rPr>
        <w:t xml:space="preserve">also </w:t>
      </w:r>
      <w:r w:rsidR="002568F1">
        <w:rPr>
          <w:rFonts w:eastAsia="宋体"/>
          <w:sz w:val="22"/>
          <w:lang w:val="en-US" w:eastAsia="zh-CN"/>
        </w:rPr>
        <w:t xml:space="preserve">under discussion </w:t>
      </w:r>
      <w:r w:rsidR="008B37D5">
        <w:rPr>
          <w:rFonts w:eastAsia="宋体"/>
          <w:sz w:val="22"/>
          <w:lang w:val="en-US" w:eastAsia="zh-CN"/>
        </w:rPr>
        <w:t>in RF session</w:t>
      </w:r>
      <w:r w:rsidR="002568F1">
        <w:rPr>
          <w:rFonts w:eastAsia="宋体"/>
          <w:sz w:val="22"/>
          <w:lang w:val="en-US" w:eastAsia="zh-CN"/>
        </w:rPr>
        <w:t xml:space="preserve">. </w:t>
      </w:r>
      <w:r w:rsidR="008B37D5">
        <w:rPr>
          <w:rFonts w:eastAsia="宋体"/>
          <w:sz w:val="22"/>
          <w:lang w:val="en-US" w:eastAsia="zh-CN"/>
        </w:rPr>
        <w:t xml:space="preserve">If any new CA </w:t>
      </w:r>
      <w:r w:rsidR="008B37D5" w:rsidRPr="00D81B32">
        <w:rPr>
          <w:rFonts w:eastAsia="宋体"/>
          <w:sz w:val="22"/>
          <w:lang w:val="en-US" w:eastAsia="zh-CN"/>
        </w:rPr>
        <w:t>bandwidth combination</w:t>
      </w:r>
      <w:r w:rsidR="008B37D5">
        <w:rPr>
          <w:rFonts w:eastAsia="宋体"/>
          <w:sz w:val="22"/>
          <w:lang w:val="en-US" w:eastAsia="zh-CN"/>
        </w:rPr>
        <w:t xml:space="preserve"> is introduced into TS38.101-1/2/3, then RAN4 needs to check whether the requirements on number of serving carriers for NR SA need to be updated. </w:t>
      </w:r>
      <w:r w:rsidR="008B37D5" w:rsidRPr="008B37D5">
        <w:rPr>
          <w:rFonts w:eastAsia="宋体"/>
          <w:sz w:val="22"/>
          <w:lang w:val="en-US" w:eastAsia="zh-CN"/>
        </w:rPr>
        <w:t xml:space="preserve">As a result, </w:t>
      </w:r>
      <w:r w:rsidR="008B37D5">
        <w:rPr>
          <w:rFonts w:eastAsia="宋体"/>
          <w:sz w:val="22"/>
          <w:lang w:val="en-US" w:eastAsia="zh-CN"/>
        </w:rPr>
        <w:t xml:space="preserve">the requirements on number of serving carriers defined in TS38.133 are </w:t>
      </w:r>
      <w:r w:rsidR="008B37D5" w:rsidRPr="008B37D5">
        <w:rPr>
          <w:rFonts w:eastAsia="宋体"/>
          <w:sz w:val="22"/>
          <w:lang w:val="en-US" w:eastAsia="zh-CN"/>
        </w:rPr>
        <w:t>unstable</w:t>
      </w:r>
      <w:r w:rsidR="008B37D5">
        <w:rPr>
          <w:rFonts w:eastAsia="宋体"/>
          <w:sz w:val="22"/>
          <w:lang w:val="en-US" w:eastAsia="zh-CN"/>
        </w:rPr>
        <w:t>.</w:t>
      </w:r>
    </w:p>
    <w:p w:rsidR="005270FC" w:rsidRPr="005270FC" w:rsidRDefault="005270FC" w:rsidP="005270FC">
      <w:pPr>
        <w:widowControl w:val="0"/>
        <w:adjustRightInd w:val="0"/>
        <w:snapToGrid w:val="0"/>
        <w:spacing w:before="180"/>
        <w:rPr>
          <w:rFonts w:eastAsia="宋体"/>
          <w:b/>
          <w:i/>
          <w:sz w:val="22"/>
          <w:lang w:val="en-US" w:eastAsia="zh-CN"/>
        </w:rPr>
      </w:pPr>
      <w:r w:rsidRPr="005270FC">
        <w:rPr>
          <w:rFonts w:eastAsia="宋体" w:hint="eastAsia"/>
          <w:b/>
          <w:i/>
          <w:sz w:val="22"/>
          <w:lang w:val="en-US" w:eastAsia="zh-CN"/>
        </w:rPr>
        <w:t>O</w:t>
      </w:r>
      <w:r w:rsidRPr="005270FC">
        <w:rPr>
          <w:rFonts w:eastAsia="宋体"/>
          <w:b/>
          <w:i/>
          <w:sz w:val="22"/>
          <w:lang w:val="en-US" w:eastAsia="zh-CN"/>
        </w:rPr>
        <w:t xml:space="preserve">bservation </w:t>
      </w:r>
      <w:r>
        <w:rPr>
          <w:rFonts w:eastAsia="宋体"/>
          <w:b/>
          <w:i/>
          <w:sz w:val="22"/>
          <w:lang w:val="en-US" w:eastAsia="zh-CN"/>
        </w:rPr>
        <w:t>2</w:t>
      </w:r>
      <w:r w:rsidRPr="005270FC">
        <w:rPr>
          <w:rFonts w:eastAsia="宋体"/>
          <w:b/>
          <w:i/>
          <w:sz w:val="22"/>
          <w:lang w:val="en-US" w:eastAsia="zh-CN"/>
        </w:rPr>
        <w:t xml:space="preserve">: The maximum number of </w:t>
      </w:r>
      <w:r>
        <w:rPr>
          <w:rFonts w:eastAsia="宋体"/>
          <w:b/>
          <w:i/>
          <w:sz w:val="22"/>
          <w:lang w:val="en-US" w:eastAsia="zh-CN"/>
        </w:rPr>
        <w:t xml:space="preserve">NR serving CC as specified in TS38.133 is </w:t>
      </w:r>
      <w:r w:rsidRPr="005270FC">
        <w:rPr>
          <w:rFonts w:eastAsia="宋体"/>
          <w:b/>
          <w:i/>
          <w:sz w:val="22"/>
          <w:lang w:val="en-US" w:eastAsia="zh-CN"/>
        </w:rPr>
        <w:t xml:space="preserve">largely </w:t>
      </w:r>
      <w:r>
        <w:rPr>
          <w:rFonts w:eastAsia="宋体"/>
          <w:b/>
          <w:i/>
          <w:sz w:val="22"/>
          <w:lang w:val="en-US" w:eastAsia="zh-CN"/>
        </w:rPr>
        <w:t>dependent on the NR CA bandwidth combination as defined in TS38.101-1/2/3.</w:t>
      </w:r>
    </w:p>
    <w:p w:rsidR="007D794A" w:rsidRDefault="008B37D5" w:rsidP="00A51AD1">
      <w:pPr>
        <w:widowControl w:val="0"/>
        <w:adjustRightInd w:val="0"/>
        <w:snapToGrid w:val="0"/>
        <w:spacing w:before="180"/>
        <w:rPr>
          <w:rFonts w:eastAsia="宋体"/>
          <w:sz w:val="22"/>
          <w:lang w:val="en-US" w:eastAsia="zh-CN"/>
        </w:rPr>
      </w:pPr>
      <w:r>
        <w:rPr>
          <w:rFonts w:eastAsia="宋体"/>
          <w:sz w:val="22"/>
          <w:lang w:val="en-US" w:eastAsia="zh-CN"/>
        </w:rPr>
        <w:t>Hence, we suggest that the number of NR serving carriers just refer</w:t>
      </w:r>
      <w:r w:rsidR="007257F8">
        <w:rPr>
          <w:rFonts w:eastAsia="宋体"/>
          <w:sz w:val="22"/>
          <w:lang w:val="en-US" w:eastAsia="zh-CN"/>
        </w:rPr>
        <w:t>s</w:t>
      </w:r>
      <w:r>
        <w:rPr>
          <w:rFonts w:eastAsia="宋体"/>
          <w:sz w:val="22"/>
          <w:lang w:val="en-US" w:eastAsia="zh-CN"/>
        </w:rPr>
        <w:t xml:space="preserve"> to the CA configuration defined in TS38.101-1/2/3. The</w:t>
      </w:r>
      <w:r w:rsidR="006C7CD4">
        <w:rPr>
          <w:rFonts w:eastAsia="宋体"/>
          <w:sz w:val="22"/>
          <w:lang w:val="en-US" w:eastAsia="zh-CN"/>
        </w:rPr>
        <w:t xml:space="preserve"> </w:t>
      </w:r>
      <w:r>
        <w:rPr>
          <w:rFonts w:eastAsia="宋体"/>
          <w:sz w:val="22"/>
          <w:lang w:val="en-US" w:eastAsia="zh-CN"/>
        </w:rPr>
        <w:t xml:space="preserve">exact </w:t>
      </w:r>
      <w:r w:rsidR="006C7CD4">
        <w:rPr>
          <w:rFonts w:eastAsia="宋体"/>
          <w:sz w:val="22"/>
          <w:lang w:val="en-US" w:eastAsia="zh-CN"/>
        </w:rPr>
        <w:t xml:space="preserve">number </w:t>
      </w:r>
      <w:r>
        <w:rPr>
          <w:rFonts w:eastAsia="宋体"/>
          <w:sz w:val="22"/>
          <w:lang w:val="en-US" w:eastAsia="zh-CN"/>
        </w:rPr>
        <w:t xml:space="preserve">of </w:t>
      </w:r>
      <w:r w:rsidR="006C7CD4">
        <w:rPr>
          <w:rFonts w:eastAsia="宋体"/>
          <w:sz w:val="22"/>
          <w:lang w:val="en-US" w:eastAsia="zh-CN"/>
        </w:rPr>
        <w:t xml:space="preserve">supported NR serving carriers </w:t>
      </w:r>
      <w:r w:rsidR="006C7CD4" w:rsidRPr="006C7CD4">
        <w:rPr>
          <w:rFonts w:eastAsia="宋体"/>
          <w:sz w:val="22"/>
          <w:lang w:val="en-US" w:eastAsia="zh-CN"/>
        </w:rPr>
        <w:t>does not need to be specified</w:t>
      </w:r>
      <w:r w:rsidR="007257F8">
        <w:rPr>
          <w:rFonts w:eastAsia="宋体"/>
          <w:sz w:val="22"/>
          <w:lang w:val="en-US" w:eastAsia="zh-CN"/>
        </w:rPr>
        <w:t xml:space="preserve"> in TS38.133</w:t>
      </w:r>
      <w:r w:rsidR="006C7CD4" w:rsidRPr="006C7CD4">
        <w:rPr>
          <w:rFonts w:eastAsia="宋体"/>
          <w:sz w:val="22"/>
          <w:lang w:val="en-US" w:eastAsia="zh-CN"/>
        </w:rPr>
        <w:t>.</w:t>
      </w:r>
    </w:p>
    <w:p w:rsidR="00DD1BBF" w:rsidRPr="006C7CD4" w:rsidRDefault="006C7CD4" w:rsidP="00A51AD1">
      <w:pPr>
        <w:widowControl w:val="0"/>
        <w:adjustRightInd w:val="0"/>
        <w:snapToGrid w:val="0"/>
        <w:spacing w:before="180"/>
        <w:rPr>
          <w:rFonts w:eastAsia="宋体"/>
          <w:b/>
          <w:i/>
          <w:sz w:val="22"/>
          <w:lang w:val="en-US" w:eastAsia="zh-CN"/>
        </w:rPr>
      </w:pPr>
      <w:r w:rsidRPr="006C7CD4">
        <w:rPr>
          <w:rFonts w:eastAsia="宋体" w:hint="eastAsia"/>
          <w:b/>
          <w:i/>
          <w:sz w:val="22"/>
          <w:lang w:val="en-US" w:eastAsia="zh-CN"/>
        </w:rPr>
        <w:t>P</w:t>
      </w:r>
      <w:r w:rsidRPr="006C7CD4">
        <w:rPr>
          <w:rFonts w:eastAsia="宋体"/>
          <w:b/>
          <w:i/>
          <w:sz w:val="22"/>
          <w:lang w:val="en-US" w:eastAsia="zh-CN"/>
        </w:rPr>
        <w:t>roposal 1:</w:t>
      </w:r>
      <w:r>
        <w:rPr>
          <w:rFonts w:eastAsia="宋体"/>
          <w:b/>
          <w:i/>
          <w:sz w:val="22"/>
          <w:lang w:val="en-US" w:eastAsia="zh-CN"/>
        </w:rPr>
        <w:t xml:space="preserve"> For the requirements on number of serving carriers, we suggest not to specify the exact number of NR serving carriers in TS38.133. The number of NR serving carriers</w:t>
      </w:r>
      <w:r w:rsidR="00FD3FA3">
        <w:rPr>
          <w:rFonts w:eastAsia="宋体"/>
          <w:b/>
          <w:i/>
          <w:sz w:val="22"/>
          <w:lang w:val="en-US" w:eastAsia="zh-CN"/>
        </w:rPr>
        <w:t xml:space="preserve"> for NR SA</w:t>
      </w:r>
      <w:r>
        <w:rPr>
          <w:rFonts w:eastAsia="宋体"/>
          <w:b/>
          <w:i/>
          <w:sz w:val="22"/>
          <w:lang w:val="en-US" w:eastAsia="zh-CN"/>
        </w:rPr>
        <w:t xml:space="preserve"> can refer to the configurations for</w:t>
      </w:r>
      <w:r w:rsidRPr="006C7CD4">
        <w:rPr>
          <w:rFonts w:eastAsia="宋体"/>
          <w:b/>
          <w:i/>
          <w:sz w:val="22"/>
          <w:lang w:val="en-US" w:eastAsia="zh-CN"/>
        </w:rPr>
        <w:t xml:space="preserve"> </w:t>
      </w:r>
      <w:r>
        <w:rPr>
          <w:rFonts w:eastAsia="宋体"/>
          <w:b/>
          <w:i/>
          <w:sz w:val="22"/>
          <w:lang w:val="en-US" w:eastAsia="zh-CN"/>
        </w:rPr>
        <w:t>CA as defined in TS38.101-1/2/3.</w:t>
      </w:r>
    </w:p>
    <w:p w:rsidR="006C7CD4" w:rsidRDefault="00025832" w:rsidP="00025832">
      <w:pPr>
        <w:widowControl w:val="0"/>
        <w:adjustRightInd w:val="0"/>
        <w:snapToGrid w:val="0"/>
        <w:spacing w:before="180"/>
        <w:rPr>
          <w:rFonts w:eastAsia="宋体"/>
          <w:b/>
          <w:i/>
          <w:sz w:val="22"/>
          <w:lang w:val="en-US" w:eastAsia="zh-CN"/>
        </w:rPr>
      </w:pPr>
      <w:r w:rsidRPr="006C7CD4">
        <w:rPr>
          <w:rFonts w:eastAsia="宋体" w:hint="eastAsia"/>
          <w:b/>
          <w:i/>
          <w:sz w:val="22"/>
          <w:lang w:val="en-US" w:eastAsia="zh-CN"/>
        </w:rPr>
        <w:lastRenderedPageBreak/>
        <w:t>P</w:t>
      </w:r>
      <w:r w:rsidRPr="006C7CD4">
        <w:rPr>
          <w:rFonts w:eastAsia="宋体"/>
          <w:b/>
          <w:i/>
          <w:sz w:val="22"/>
          <w:lang w:val="en-US" w:eastAsia="zh-CN"/>
        </w:rPr>
        <w:t xml:space="preserve">roposal </w:t>
      </w:r>
      <w:r>
        <w:rPr>
          <w:rFonts w:eastAsia="宋体"/>
          <w:b/>
          <w:i/>
          <w:sz w:val="22"/>
          <w:lang w:val="en-US" w:eastAsia="zh-CN"/>
        </w:rPr>
        <w:t>2</w:t>
      </w:r>
      <w:r w:rsidRPr="006C7CD4">
        <w:rPr>
          <w:rFonts w:eastAsia="宋体"/>
          <w:b/>
          <w:i/>
          <w:sz w:val="22"/>
          <w:lang w:val="en-US" w:eastAsia="zh-CN"/>
        </w:rPr>
        <w:t>:</w:t>
      </w:r>
      <w:r>
        <w:rPr>
          <w:rFonts w:eastAsia="宋体"/>
          <w:b/>
          <w:i/>
          <w:sz w:val="22"/>
          <w:lang w:val="en-US" w:eastAsia="zh-CN"/>
        </w:rPr>
        <w:t xml:space="preserve"> The requirements on number of serving carriers for NR SA can be updated as follows:</w:t>
      </w:r>
    </w:p>
    <w:tbl>
      <w:tblPr>
        <w:tblStyle w:val="af4"/>
        <w:tblW w:w="0" w:type="auto"/>
        <w:tblLook w:val="04A0" w:firstRow="1" w:lastRow="0" w:firstColumn="1" w:lastColumn="0" w:noHBand="0" w:noVBand="1"/>
      </w:tblPr>
      <w:tblGrid>
        <w:gridCol w:w="9621"/>
      </w:tblGrid>
      <w:tr w:rsidR="00025832" w:rsidTr="005270FC">
        <w:tc>
          <w:tcPr>
            <w:tcW w:w="9621" w:type="dxa"/>
          </w:tcPr>
          <w:p w:rsidR="00025832" w:rsidRPr="00DD1BBF" w:rsidRDefault="00025832" w:rsidP="00025832">
            <w:pPr>
              <w:widowControl w:val="0"/>
              <w:spacing w:before="120"/>
              <w:outlineLvl w:val="3"/>
              <w:rPr>
                <w:rFonts w:ascii="Arial" w:eastAsia="宋体" w:hAnsi="Arial"/>
                <w:sz w:val="24"/>
                <w:lang w:val="en-US"/>
              </w:rPr>
            </w:pPr>
            <w:r w:rsidRPr="00DD1BBF">
              <w:rPr>
                <w:rFonts w:ascii="Arial" w:eastAsia="宋体" w:hAnsi="Arial"/>
                <w:sz w:val="24"/>
                <w:lang w:val="en-US"/>
              </w:rPr>
              <w:t>3.6.2.1</w:t>
            </w:r>
            <w:r w:rsidRPr="00DD1BBF">
              <w:rPr>
                <w:rFonts w:ascii="Arial" w:eastAsia="宋体" w:hAnsi="Arial"/>
                <w:sz w:val="24"/>
                <w:lang w:val="en-US"/>
              </w:rPr>
              <w:tab/>
              <w:t>Number of serving carriers for SA</w:t>
            </w:r>
          </w:p>
          <w:p w:rsidR="00025832" w:rsidRPr="00DD1BBF" w:rsidRDefault="00025832" w:rsidP="00025832">
            <w:pPr>
              <w:widowControl w:val="0"/>
              <w:rPr>
                <w:rFonts w:eastAsia="宋体"/>
              </w:rPr>
            </w:pPr>
            <w:r w:rsidRPr="00DD1BBF">
              <w:rPr>
                <w:rFonts w:eastAsia="宋体"/>
              </w:rPr>
              <w:t>Requirements for standalone NR with NR PCell are applicable for the UE configured with the following number of serving NR CCs:</w:t>
            </w:r>
          </w:p>
          <w:p w:rsidR="00025832" w:rsidRDefault="00025832" w:rsidP="00025832">
            <w:pPr>
              <w:widowControl w:val="0"/>
              <w:ind w:left="568" w:hanging="284"/>
              <w:rPr>
                <w:rFonts w:eastAsia="宋体"/>
              </w:rPr>
            </w:pPr>
            <w:r w:rsidRPr="00DD1BBF">
              <w:rPr>
                <w:rFonts w:eastAsia="宋体"/>
              </w:rPr>
              <w:t>-</w:t>
            </w:r>
            <w:r w:rsidRPr="00DD1BBF">
              <w:rPr>
                <w:rFonts w:eastAsia="宋体"/>
              </w:rPr>
              <w:tab/>
            </w:r>
            <w:r w:rsidR="00362119">
              <w:rPr>
                <w:rFonts w:eastAsia="宋体"/>
              </w:rPr>
              <w:t>with the n</w:t>
            </w:r>
            <w:r>
              <w:rPr>
                <w:rFonts w:eastAsia="宋体"/>
              </w:rPr>
              <w:t>umber of</w:t>
            </w:r>
            <w:r w:rsidRPr="00DD1BBF">
              <w:rPr>
                <w:rFonts w:eastAsia="宋体"/>
              </w:rPr>
              <w:t xml:space="preserve"> NR DL CCs in total</w:t>
            </w:r>
            <w:r>
              <w:rPr>
                <w:rFonts w:eastAsia="宋体"/>
              </w:rPr>
              <w:t xml:space="preserve"> </w:t>
            </w:r>
            <w:r w:rsidRPr="009C5807">
              <w:rPr>
                <w:lang w:val="en-US"/>
              </w:rPr>
              <w:t xml:space="preserve">as specified in </w:t>
            </w:r>
            <w:r>
              <w:rPr>
                <w:rFonts w:hint="eastAsia"/>
                <w:lang w:eastAsia="zh-CN"/>
              </w:rPr>
              <w:t xml:space="preserve">clause </w:t>
            </w:r>
            <w:r w:rsidRPr="00BF5D1B">
              <w:t>5.</w:t>
            </w:r>
            <w:r>
              <w:t>5</w:t>
            </w:r>
            <w:r w:rsidR="00F43F65">
              <w:t>A</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r>
              <w:rPr>
                <w:rFonts w:cs="v4.2.0"/>
                <w:lang w:eastAsia="zh-CN"/>
              </w:rPr>
              <w:t>, TS 38.101-</w:t>
            </w:r>
            <w:r w:rsidR="00F43F65">
              <w:rPr>
                <w:rFonts w:cs="v4.2.0"/>
                <w:lang w:eastAsia="zh-CN"/>
              </w:rPr>
              <w:t>2</w:t>
            </w:r>
            <w:r>
              <w:rPr>
                <w:rFonts w:cs="v4.2.0" w:hint="eastAsia"/>
                <w:lang w:eastAsia="zh-CN"/>
              </w:rPr>
              <w:t xml:space="preserve"> </w:t>
            </w:r>
            <w:r w:rsidRPr="00CC6E8E">
              <w:rPr>
                <w:rFonts w:cs="v4.2.0"/>
                <w:lang w:eastAsia="zh-CN"/>
              </w:rPr>
              <w:t>[1</w:t>
            </w:r>
            <w:r w:rsidR="00F43F65">
              <w:rPr>
                <w:rFonts w:cs="v4.2.0"/>
                <w:lang w:eastAsia="zh-CN"/>
              </w:rPr>
              <w:t>9</w:t>
            </w:r>
            <w:r>
              <w:rPr>
                <w:rFonts w:cs="v4.2.0" w:hint="eastAsia"/>
                <w:lang w:eastAsia="zh-CN"/>
              </w:rPr>
              <w:t>]</w:t>
            </w:r>
            <w:r>
              <w:rPr>
                <w:rFonts w:cs="v4.2.0"/>
                <w:lang w:eastAsia="zh-CN"/>
              </w:rPr>
              <w:t xml:space="preserve"> </w:t>
            </w:r>
            <w:r w:rsidR="00F43F65">
              <w:rPr>
                <w:rFonts w:cs="v4.2.0"/>
                <w:lang w:eastAsia="zh-CN"/>
              </w:rPr>
              <w:t>and TS 38.101-</w:t>
            </w:r>
            <w:r w:rsidR="00362119">
              <w:rPr>
                <w:rFonts w:cs="v4.2.0"/>
                <w:lang w:eastAsia="zh-CN"/>
              </w:rPr>
              <w:t>3</w:t>
            </w:r>
            <w:r w:rsidR="00F43F65">
              <w:rPr>
                <w:rFonts w:cs="v4.2.0" w:hint="eastAsia"/>
                <w:lang w:eastAsia="zh-CN"/>
              </w:rPr>
              <w:t xml:space="preserve"> </w:t>
            </w:r>
            <w:r w:rsidR="00F43F65" w:rsidRPr="00CC6E8E">
              <w:rPr>
                <w:rFonts w:cs="v4.2.0"/>
                <w:lang w:eastAsia="zh-CN"/>
              </w:rPr>
              <w:t>[18</w:t>
            </w:r>
            <w:r w:rsidR="00F43F65">
              <w:rPr>
                <w:rFonts w:cs="v4.2.0" w:hint="eastAsia"/>
                <w:lang w:eastAsia="zh-CN"/>
              </w:rPr>
              <w:t>]</w:t>
            </w:r>
            <w:r w:rsidR="00362119">
              <w:rPr>
                <w:rFonts w:cs="v4.2.0"/>
                <w:lang w:eastAsia="zh-CN"/>
              </w:rPr>
              <w:t xml:space="preserve"> for NR CA configuration.</w:t>
            </w:r>
          </w:p>
          <w:p w:rsidR="00025832" w:rsidRPr="00DD1BBF" w:rsidRDefault="00025832" w:rsidP="00025832">
            <w:pPr>
              <w:widowControl w:val="0"/>
              <w:ind w:left="568" w:hanging="284"/>
              <w:rPr>
                <w:rFonts w:eastAsia="宋体"/>
              </w:rPr>
            </w:pPr>
            <w:r w:rsidRPr="00DD1BBF">
              <w:rPr>
                <w:rFonts w:eastAsia="宋体"/>
              </w:rPr>
              <w:t>-</w:t>
            </w:r>
            <w:r w:rsidRPr="00DD1BBF">
              <w:rPr>
                <w:rFonts w:eastAsia="宋体"/>
              </w:rPr>
              <w:tab/>
              <w:t>with 1 UL (</w:t>
            </w:r>
            <w:r w:rsidRPr="00DD1BBF">
              <w:rPr>
                <w:rFonts w:eastAsia="宋体"/>
                <w:lang w:eastAsia="zh-CN"/>
              </w:rPr>
              <w:t xml:space="preserve">or 2 UL if SUL is configured) in </w:t>
            </w:r>
            <w:r w:rsidRPr="00DD1BBF">
              <w:rPr>
                <w:rFonts w:eastAsia="宋体"/>
              </w:rPr>
              <w:t xml:space="preserve">PCell and up to </w:t>
            </w:r>
            <w:r>
              <w:rPr>
                <w:rFonts w:eastAsia="宋体"/>
              </w:rPr>
              <w:t>1</w:t>
            </w:r>
            <w:r w:rsidRPr="00DD1BBF">
              <w:rPr>
                <w:rFonts w:eastAsia="宋体"/>
              </w:rPr>
              <w:t xml:space="preserve"> UL</w:t>
            </w:r>
            <w:r w:rsidRPr="00DD1BBF">
              <w:rPr>
                <w:rFonts w:eastAsia="宋体"/>
                <w:lang w:eastAsia="zh-CN"/>
              </w:rPr>
              <w:t xml:space="preserve"> (or </w:t>
            </w:r>
            <w:r>
              <w:rPr>
                <w:rFonts w:eastAsia="宋体"/>
                <w:lang w:eastAsia="zh-CN"/>
              </w:rPr>
              <w:t>2</w:t>
            </w:r>
            <w:r w:rsidRPr="00DD1BBF">
              <w:rPr>
                <w:rFonts w:eastAsia="宋体"/>
                <w:lang w:eastAsia="zh-CN"/>
              </w:rPr>
              <w:t xml:space="preserve"> UL if SUL is configured) </w:t>
            </w:r>
            <w:r>
              <w:rPr>
                <w:rFonts w:eastAsia="宋体"/>
              </w:rPr>
              <w:t>in SCell</w:t>
            </w:r>
            <w:r w:rsidRPr="00DD1BBF">
              <w:rPr>
                <w:rFonts w:eastAsia="宋体"/>
              </w:rPr>
              <w:t>.</w:t>
            </w:r>
          </w:p>
          <w:p w:rsidR="00025832" w:rsidRPr="00DD1BBF" w:rsidRDefault="00025832" w:rsidP="00025832">
            <w:pPr>
              <w:widowControl w:val="0"/>
              <w:ind w:left="568" w:hanging="284"/>
              <w:rPr>
                <w:rFonts w:eastAsia="宋体"/>
              </w:rPr>
            </w:pPr>
            <w:r w:rsidRPr="00DD1BBF">
              <w:rPr>
                <w:rFonts w:eastAsia="宋体"/>
              </w:rPr>
              <w:t>-</w:t>
            </w:r>
            <w:r w:rsidRPr="00DD1BBF">
              <w:rPr>
                <w:rFonts w:eastAsia="宋体"/>
              </w:rPr>
              <w:tab/>
              <w:t>SUL may be configured together with one of the UL</w:t>
            </w:r>
          </w:p>
        </w:tc>
      </w:tr>
    </w:tbl>
    <w:p w:rsidR="00F94E60" w:rsidRDefault="00F94E60" w:rsidP="003604FF">
      <w:pPr>
        <w:widowControl w:val="0"/>
        <w:adjustRightInd w:val="0"/>
        <w:snapToGrid w:val="0"/>
        <w:spacing w:before="180"/>
        <w:rPr>
          <w:rFonts w:eastAsia="宋体"/>
          <w:sz w:val="22"/>
          <w:lang w:val="en-US" w:eastAsia="zh-CN"/>
        </w:rPr>
      </w:pPr>
    </w:p>
    <w:bookmarkEnd w:id="3"/>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 xml:space="preserve">FR2 inter-band </w:t>
      </w:r>
      <w:r w:rsidR="003539CC">
        <w:rPr>
          <w:rFonts w:eastAsia="宋体"/>
          <w:sz w:val="22"/>
          <w:lang w:eastAsia="zh-CN"/>
        </w:rPr>
        <w:t>U</w:t>
      </w:r>
      <w:r w:rsidR="0055016B">
        <w:rPr>
          <w:rFonts w:eastAsia="宋体"/>
          <w:sz w:val="22"/>
          <w:lang w:eastAsia="zh-CN"/>
        </w:rPr>
        <w:t xml:space="preserve">L CA </w:t>
      </w:r>
      <w:r w:rsidR="00F31468">
        <w:rPr>
          <w:rFonts w:eastAsia="宋体"/>
          <w:sz w:val="22"/>
          <w:lang w:eastAsia="zh-CN"/>
        </w:rPr>
        <w:t xml:space="preserve">with </w:t>
      </w:r>
      <w:r w:rsidR="003539CC">
        <w:rPr>
          <w:rFonts w:eastAsia="宋体"/>
          <w:sz w:val="22"/>
          <w:lang w:eastAsia="zh-CN"/>
        </w:rPr>
        <w:t>I</w:t>
      </w:r>
      <w:r w:rsidR="00F31468">
        <w:rPr>
          <w:rFonts w:eastAsia="宋体"/>
          <w:sz w:val="22"/>
          <w:lang w:eastAsia="zh-CN"/>
        </w:rPr>
        <w:t>BM</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he following</w:t>
      </w:r>
      <w:r w:rsidR="000F6FBD">
        <w:rPr>
          <w:rFonts w:eastAsia="宋体"/>
          <w:sz w:val="22"/>
          <w:lang w:eastAsia="zh-CN"/>
        </w:rPr>
        <w:t>s</w:t>
      </w:r>
      <w:r w:rsidRPr="0046206D">
        <w:rPr>
          <w:rFonts w:eastAsia="宋体" w:hint="eastAsia"/>
          <w:sz w:val="22"/>
          <w:lang w:eastAsia="zh-CN"/>
        </w:rPr>
        <w:t xml:space="preserve">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7F4C99" w:rsidRPr="005270FC" w:rsidRDefault="007F4C99" w:rsidP="007F4C99">
      <w:pPr>
        <w:widowControl w:val="0"/>
        <w:adjustRightInd w:val="0"/>
        <w:snapToGrid w:val="0"/>
        <w:spacing w:before="180"/>
        <w:rPr>
          <w:rFonts w:eastAsia="宋体"/>
          <w:b/>
          <w:i/>
          <w:sz w:val="22"/>
          <w:lang w:val="en-US" w:eastAsia="zh-CN"/>
        </w:rPr>
      </w:pPr>
      <w:bookmarkStart w:id="10" w:name="OLE_LINK168"/>
      <w:bookmarkStart w:id="11" w:name="OLE_LINK176"/>
      <w:r w:rsidRPr="005270FC">
        <w:rPr>
          <w:rFonts w:eastAsia="宋体" w:hint="eastAsia"/>
          <w:b/>
          <w:i/>
          <w:sz w:val="22"/>
          <w:lang w:val="en-US" w:eastAsia="zh-CN"/>
        </w:rPr>
        <w:t>O</w:t>
      </w:r>
      <w:r w:rsidRPr="005270FC">
        <w:rPr>
          <w:rFonts w:eastAsia="宋体"/>
          <w:b/>
          <w:i/>
          <w:sz w:val="22"/>
          <w:lang w:val="en-US" w:eastAsia="zh-CN"/>
        </w:rPr>
        <w:t xml:space="preserve">bservation 1: The maximum number of </w:t>
      </w:r>
      <w:r>
        <w:rPr>
          <w:rFonts w:eastAsia="宋体"/>
          <w:b/>
          <w:i/>
          <w:sz w:val="22"/>
          <w:lang w:val="en-US" w:eastAsia="zh-CN"/>
        </w:rPr>
        <w:t>NR serving CCs is increased for NR inter-band CA in R17 since new NR bandwidth combination sets are introduced into TS38.101-1/2/3.</w:t>
      </w:r>
    </w:p>
    <w:p w:rsidR="007257F8" w:rsidRPr="005270FC" w:rsidRDefault="007257F8" w:rsidP="007257F8">
      <w:pPr>
        <w:widowControl w:val="0"/>
        <w:adjustRightInd w:val="0"/>
        <w:snapToGrid w:val="0"/>
        <w:spacing w:before="180"/>
        <w:rPr>
          <w:rFonts w:eastAsia="宋体"/>
          <w:b/>
          <w:i/>
          <w:sz w:val="22"/>
          <w:lang w:val="en-US" w:eastAsia="zh-CN"/>
        </w:rPr>
      </w:pPr>
      <w:r w:rsidRPr="005270FC">
        <w:rPr>
          <w:rFonts w:eastAsia="宋体" w:hint="eastAsia"/>
          <w:b/>
          <w:i/>
          <w:sz w:val="22"/>
          <w:lang w:val="en-US" w:eastAsia="zh-CN"/>
        </w:rPr>
        <w:t>O</w:t>
      </w:r>
      <w:r w:rsidRPr="005270FC">
        <w:rPr>
          <w:rFonts w:eastAsia="宋体"/>
          <w:b/>
          <w:i/>
          <w:sz w:val="22"/>
          <w:lang w:val="en-US" w:eastAsia="zh-CN"/>
        </w:rPr>
        <w:t xml:space="preserve">bservation </w:t>
      </w:r>
      <w:r>
        <w:rPr>
          <w:rFonts w:eastAsia="宋体"/>
          <w:b/>
          <w:i/>
          <w:sz w:val="22"/>
          <w:lang w:val="en-US" w:eastAsia="zh-CN"/>
        </w:rPr>
        <w:t>2</w:t>
      </w:r>
      <w:r w:rsidRPr="005270FC">
        <w:rPr>
          <w:rFonts w:eastAsia="宋体"/>
          <w:b/>
          <w:i/>
          <w:sz w:val="22"/>
          <w:lang w:val="en-US" w:eastAsia="zh-CN"/>
        </w:rPr>
        <w:t xml:space="preserve">: The maximum number of </w:t>
      </w:r>
      <w:r>
        <w:rPr>
          <w:rFonts w:eastAsia="宋体"/>
          <w:b/>
          <w:i/>
          <w:sz w:val="22"/>
          <w:lang w:val="en-US" w:eastAsia="zh-CN"/>
        </w:rPr>
        <w:t xml:space="preserve">NR serving CC as specified in TS38.133 is </w:t>
      </w:r>
      <w:r w:rsidRPr="005270FC">
        <w:rPr>
          <w:rFonts w:eastAsia="宋体"/>
          <w:b/>
          <w:i/>
          <w:sz w:val="22"/>
          <w:lang w:val="en-US" w:eastAsia="zh-CN"/>
        </w:rPr>
        <w:t xml:space="preserve">largely </w:t>
      </w:r>
      <w:r>
        <w:rPr>
          <w:rFonts w:eastAsia="宋体"/>
          <w:b/>
          <w:i/>
          <w:sz w:val="22"/>
          <w:lang w:val="en-US" w:eastAsia="zh-CN"/>
        </w:rPr>
        <w:t>dependent on the NR CA bandwidth combination as defined in TS38.101-1/2/3.</w:t>
      </w:r>
    </w:p>
    <w:p w:rsidR="00FD3FA3" w:rsidRPr="006C7CD4" w:rsidRDefault="00FD3FA3" w:rsidP="00FD3FA3">
      <w:pPr>
        <w:widowControl w:val="0"/>
        <w:adjustRightInd w:val="0"/>
        <w:snapToGrid w:val="0"/>
        <w:spacing w:before="180"/>
        <w:rPr>
          <w:rFonts w:eastAsia="宋体"/>
          <w:b/>
          <w:i/>
          <w:sz w:val="22"/>
          <w:lang w:val="en-US" w:eastAsia="zh-CN"/>
        </w:rPr>
      </w:pPr>
      <w:r w:rsidRPr="006C7CD4">
        <w:rPr>
          <w:rFonts w:eastAsia="宋体" w:hint="eastAsia"/>
          <w:b/>
          <w:i/>
          <w:sz w:val="22"/>
          <w:lang w:val="en-US" w:eastAsia="zh-CN"/>
        </w:rPr>
        <w:t>P</w:t>
      </w:r>
      <w:r w:rsidRPr="006C7CD4">
        <w:rPr>
          <w:rFonts w:eastAsia="宋体"/>
          <w:b/>
          <w:i/>
          <w:sz w:val="22"/>
          <w:lang w:val="en-US" w:eastAsia="zh-CN"/>
        </w:rPr>
        <w:t>roposal 1:</w:t>
      </w:r>
      <w:r>
        <w:rPr>
          <w:rFonts w:eastAsia="宋体"/>
          <w:b/>
          <w:i/>
          <w:sz w:val="22"/>
          <w:lang w:val="en-US" w:eastAsia="zh-CN"/>
        </w:rPr>
        <w:t xml:space="preserve"> For the requirements on number of serving carriers, we suggest not to specify the exact number of NR serving carriers in TS38.133. The number of NR serving carriers for NR SA can refer to the configurations for</w:t>
      </w:r>
      <w:r w:rsidRPr="006C7CD4">
        <w:rPr>
          <w:rFonts w:eastAsia="宋体"/>
          <w:b/>
          <w:i/>
          <w:sz w:val="22"/>
          <w:lang w:val="en-US" w:eastAsia="zh-CN"/>
        </w:rPr>
        <w:t xml:space="preserve"> </w:t>
      </w:r>
      <w:r>
        <w:rPr>
          <w:rFonts w:eastAsia="宋体"/>
          <w:b/>
          <w:i/>
          <w:sz w:val="22"/>
          <w:lang w:val="en-US" w:eastAsia="zh-CN"/>
        </w:rPr>
        <w:t>CA as defined in TS38.101-1/2/3.</w:t>
      </w:r>
    </w:p>
    <w:p w:rsidR="00362119" w:rsidRDefault="00362119" w:rsidP="00362119">
      <w:pPr>
        <w:widowControl w:val="0"/>
        <w:adjustRightInd w:val="0"/>
        <w:snapToGrid w:val="0"/>
        <w:spacing w:before="180"/>
        <w:rPr>
          <w:rFonts w:eastAsia="宋体"/>
          <w:b/>
          <w:i/>
          <w:sz w:val="22"/>
          <w:lang w:val="en-US" w:eastAsia="zh-CN"/>
        </w:rPr>
      </w:pPr>
      <w:r w:rsidRPr="006C7CD4">
        <w:rPr>
          <w:rFonts w:eastAsia="宋体" w:hint="eastAsia"/>
          <w:b/>
          <w:i/>
          <w:sz w:val="22"/>
          <w:lang w:val="en-US" w:eastAsia="zh-CN"/>
        </w:rPr>
        <w:t>P</w:t>
      </w:r>
      <w:r w:rsidRPr="006C7CD4">
        <w:rPr>
          <w:rFonts w:eastAsia="宋体"/>
          <w:b/>
          <w:i/>
          <w:sz w:val="22"/>
          <w:lang w:val="en-US" w:eastAsia="zh-CN"/>
        </w:rPr>
        <w:t xml:space="preserve">roposal </w:t>
      </w:r>
      <w:r>
        <w:rPr>
          <w:rFonts w:eastAsia="宋体"/>
          <w:b/>
          <w:i/>
          <w:sz w:val="22"/>
          <w:lang w:val="en-US" w:eastAsia="zh-CN"/>
        </w:rPr>
        <w:t>2</w:t>
      </w:r>
      <w:r w:rsidRPr="006C7CD4">
        <w:rPr>
          <w:rFonts w:eastAsia="宋体"/>
          <w:b/>
          <w:i/>
          <w:sz w:val="22"/>
          <w:lang w:val="en-US" w:eastAsia="zh-CN"/>
        </w:rPr>
        <w:t>:</w:t>
      </w:r>
      <w:r>
        <w:rPr>
          <w:rFonts w:eastAsia="宋体"/>
          <w:b/>
          <w:i/>
          <w:sz w:val="22"/>
          <w:lang w:val="en-US" w:eastAsia="zh-CN"/>
        </w:rPr>
        <w:t xml:space="preserve"> The requirements on number of serving carriers for NR SA can be updated as follows:</w:t>
      </w:r>
    </w:p>
    <w:tbl>
      <w:tblPr>
        <w:tblStyle w:val="af4"/>
        <w:tblW w:w="0" w:type="auto"/>
        <w:tblLook w:val="04A0" w:firstRow="1" w:lastRow="0" w:firstColumn="1" w:lastColumn="0" w:noHBand="0" w:noVBand="1"/>
      </w:tblPr>
      <w:tblGrid>
        <w:gridCol w:w="9621"/>
      </w:tblGrid>
      <w:tr w:rsidR="00362119" w:rsidTr="005270FC">
        <w:tc>
          <w:tcPr>
            <w:tcW w:w="9621" w:type="dxa"/>
          </w:tcPr>
          <w:p w:rsidR="00362119" w:rsidRPr="00DD1BBF" w:rsidRDefault="00362119" w:rsidP="005270FC">
            <w:pPr>
              <w:widowControl w:val="0"/>
              <w:spacing w:before="120"/>
              <w:outlineLvl w:val="3"/>
              <w:rPr>
                <w:rFonts w:ascii="Arial" w:eastAsia="宋体" w:hAnsi="Arial"/>
                <w:sz w:val="24"/>
                <w:lang w:val="en-US"/>
              </w:rPr>
            </w:pPr>
            <w:r w:rsidRPr="00DD1BBF">
              <w:rPr>
                <w:rFonts w:ascii="Arial" w:eastAsia="宋体" w:hAnsi="Arial"/>
                <w:sz w:val="24"/>
                <w:lang w:val="en-US"/>
              </w:rPr>
              <w:t>3.6.2.1</w:t>
            </w:r>
            <w:r w:rsidRPr="00DD1BBF">
              <w:rPr>
                <w:rFonts w:ascii="Arial" w:eastAsia="宋体" w:hAnsi="Arial"/>
                <w:sz w:val="24"/>
                <w:lang w:val="en-US"/>
              </w:rPr>
              <w:tab/>
              <w:t>Number of serving carriers for SA</w:t>
            </w:r>
          </w:p>
          <w:p w:rsidR="00362119" w:rsidRPr="00DD1BBF" w:rsidRDefault="00362119" w:rsidP="005270FC">
            <w:pPr>
              <w:widowControl w:val="0"/>
              <w:rPr>
                <w:rFonts w:eastAsia="宋体"/>
              </w:rPr>
            </w:pPr>
            <w:r w:rsidRPr="00DD1BBF">
              <w:rPr>
                <w:rFonts w:eastAsia="宋体"/>
              </w:rPr>
              <w:t>Requirements for standalone NR with NR PCell are applicable for the UE configured with the following number of serving NR CCs:</w:t>
            </w:r>
          </w:p>
          <w:p w:rsidR="00362119" w:rsidRDefault="00362119" w:rsidP="005270FC">
            <w:pPr>
              <w:widowControl w:val="0"/>
              <w:ind w:left="568" w:hanging="284"/>
              <w:rPr>
                <w:rFonts w:eastAsia="宋体"/>
              </w:rPr>
            </w:pPr>
            <w:r w:rsidRPr="00DD1BBF">
              <w:rPr>
                <w:rFonts w:eastAsia="宋体"/>
              </w:rPr>
              <w:t>-</w:t>
            </w:r>
            <w:r w:rsidRPr="00DD1BBF">
              <w:rPr>
                <w:rFonts w:eastAsia="宋体"/>
              </w:rPr>
              <w:tab/>
            </w:r>
            <w:r>
              <w:rPr>
                <w:rFonts w:eastAsia="宋体"/>
              </w:rPr>
              <w:t>with the number of</w:t>
            </w:r>
            <w:r w:rsidRPr="00DD1BBF">
              <w:rPr>
                <w:rFonts w:eastAsia="宋体"/>
              </w:rPr>
              <w:t xml:space="preserve"> NR DL CCs in total</w:t>
            </w:r>
            <w:r>
              <w:rPr>
                <w:rFonts w:eastAsia="宋体"/>
              </w:rPr>
              <w:t xml:space="preserve"> </w:t>
            </w:r>
            <w:r w:rsidRPr="009C5807">
              <w:rPr>
                <w:lang w:val="en-US"/>
              </w:rPr>
              <w:t xml:space="preserve">as specified in </w:t>
            </w:r>
            <w:r>
              <w:rPr>
                <w:rFonts w:hint="eastAsia"/>
                <w:lang w:eastAsia="zh-CN"/>
              </w:rPr>
              <w:t xml:space="preserve">clause </w:t>
            </w:r>
            <w:r w:rsidRPr="00BF5D1B">
              <w:t>5.</w:t>
            </w:r>
            <w:r>
              <w:t>5A</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r>
              <w:rPr>
                <w:rFonts w:cs="v4.2.0"/>
                <w:lang w:eastAsia="zh-CN"/>
              </w:rPr>
              <w:t>, TS 38.101-2</w:t>
            </w:r>
            <w:r>
              <w:rPr>
                <w:rFonts w:cs="v4.2.0" w:hint="eastAsia"/>
                <w:lang w:eastAsia="zh-CN"/>
              </w:rPr>
              <w:t xml:space="preserve"> </w:t>
            </w:r>
            <w:r w:rsidRPr="00CC6E8E">
              <w:rPr>
                <w:rFonts w:cs="v4.2.0"/>
                <w:lang w:eastAsia="zh-CN"/>
              </w:rPr>
              <w:t>[1</w:t>
            </w:r>
            <w:r>
              <w:rPr>
                <w:rFonts w:cs="v4.2.0"/>
                <w:lang w:eastAsia="zh-CN"/>
              </w:rPr>
              <w:t>9</w:t>
            </w:r>
            <w:r>
              <w:rPr>
                <w:rFonts w:cs="v4.2.0" w:hint="eastAsia"/>
                <w:lang w:eastAsia="zh-CN"/>
              </w:rPr>
              <w:t>]</w:t>
            </w:r>
            <w:r>
              <w:rPr>
                <w:rFonts w:cs="v4.2.0"/>
                <w:lang w:eastAsia="zh-CN"/>
              </w:rPr>
              <w:t xml:space="preserve"> and TS 38.101-3</w:t>
            </w:r>
            <w:r>
              <w:rPr>
                <w:rFonts w:cs="v4.2.0" w:hint="eastAsia"/>
                <w:lang w:eastAsia="zh-CN"/>
              </w:rPr>
              <w:t xml:space="preserve"> </w:t>
            </w:r>
            <w:r w:rsidRPr="00CC6E8E">
              <w:rPr>
                <w:rFonts w:cs="v4.2.0"/>
                <w:lang w:eastAsia="zh-CN"/>
              </w:rPr>
              <w:t>[18</w:t>
            </w:r>
            <w:r>
              <w:rPr>
                <w:rFonts w:cs="v4.2.0" w:hint="eastAsia"/>
                <w:lang w:eastAsia="zh-CN"/>
              </w:rPr>
              <w:t>]</w:t>
            </w:r>
            <w:r>
              <w:rPr>
                <w:rFonts w:cs="v4.2.0"/>
                <w:lang w:eastAsia="zh-CN"/>
              </w:rPr>
              <w:t xml:space="preserve"> for NR CA configuration.</w:t>
            </w:r>
          </w:p>
          <w:p w:rsidR="00362119" w:rsidRPr="00DD1BBF" w:rsidRDefault="00362119" w:rsidP="005270FC">
            <w:pPr>
              <w:widowControl w:val="0"/>
              <w:ind w:left="568" w:hanging="284"/>
              <w:rPr>
                <w:rFonts w:eastAsia="宋体"/>
              </w:rPr>
            </w:pPr>
            <w:r w:rsidRPr="00DD1BBF">
              <w:rPr>
                <w:rFonts w:eastAsia="宋体"/>
              </w:rPr>
              <w:t>-</w:t>
            </w:r>
            <w:r w:rsidRPr="00DD1BBF">
              <w:rPr>
                <w:rFonts w:eastAsia="宋体"/>
              </w:rPr>
              <w:tab/>
              <w:t>with 1 UL (</w:t>
            </w:r>
            <w:r w:rsidRPr="00DD1BBF">
              <w:rPr>
                <w:rFonts w:eastAsia="宋体"/>
                <w:lang w:eastAsia="zh-CN"/>
              </w:rPr>
              <w:t xml:space="preserve">or 2 UL if SUL is configured) in </w:t>
            </w:r>
            <w:r w:rsidRPr="00DD1BBF">
              <w:rPr>
                <w:rFonts w:eastAsia="宋体"/>
              </w:rPr>
              <w:t xml:space="preserve">PCell and up to </w:t>
            </w:r>
            <w:r>
              <w:rPr>
                <w:rFonts w:eastAsia="宋体"/>
              </w:rPr>
              <w:t>1</w:t>
            </w:r>
            <w:r w:rsidRPr="00DD1BBF">
              <w:rPr>
                <w:rFonts w:eastAsia="宋体"/>
              </w:rPr>
              <w:t xml:space="preserve"> UL</w:t>
            </w:r>
            <w:r w:rsidRPr="00DD1BBF">
              <w:rPr>
                <w:rFonts w:eastAsia="宋体"/>
                <w:lang w:eastAsia="zh-CN"/>
              </w:rPr>
              <w:t xml:space="preserve"> (or </w:t>
            </w:r>
            <w:r>
              <w:rPr>
                <w:rFonts w:eastAsia="宋体"/>
                <w:lang w:eastAsia="zh-CN"/>
              </w:rPr>
              <w:t>2</w:t>
            </w:r>
            <w:r w:rsidRPr="00DD1BBF">
              <w:rPr>
                <w:rFonts w:eastAsia="宋体"/>
                <w:lang w:eastAsia="zh-CN"/>
              </w:rPr>
              <w:t xml:space="preserve"> UL if SUL is configured) </w:t>
            </w:r>
            <w:r>
              <w:rPr>
                <w:rFonts w:eastAsia="宋体"/>
              </w:rPr>
              <w:t xml:space="preserve">in </w:t>
            </w:r>
            <w:bookmarkStart w:id="12" w:name="_GoBack"/>
            <w:bookmarkEnd w:id="12"/>
            <w:r>
              <w:rPr>
                <w:rFonts w:eastAsia="宋体"/>
              </w:rPr>
              <w:t>SCell</w:t>
            </w:r>
            <w:r w:rsidRPr="00DD1BBF">
              <w:rPr>
                <w:rFonts w:eastAsia="宋体"/>
              </w:rPr>
              <w:t>.</w:t>
            </w:r>
          </w:p>
          <w:p w:rsidR="00362119" w:rsidRPr="00DD1BBF" w:rsidRDefault="00362119" w:rsidP="005270FC">
            <w:pPr>
              <w:widowControl w:val="0"/>
              <w:ind w:left="568" w:hanging="284"/>
              <w:rPr>
                <w:rFonts w:eastAsia="宋体"/>
              </w:rPr>
            </w:pPr>
            <w:r w:rsidRPr="00DD1BBF">
              <w:rPr>
                <w:rFonts w:eastAsia="宋体"/>
              </w:rPr>
              <w:t>-</w:t>
            </w:r>
            <w:r w:rsidRPr="00DD1BBF">
              <w:rPr>
                <w:rFonts w:eastAsia="宋体"/>
              </w:rPr>
              <w:tab/>
              <w:t>SUL may be configured together with one of the UL</w:t>
            </w:r>
          </w:p>
        </w:tc>
      </w:tr>
    </w:tbl>
    <w:p w:rsidR="00AB1ED3" w:rsidRPr="00DB0282" w:rsidRDefault="00AB1ED3" w:rsidP="00032596">
      <w:pPr>
        <w:widowControl w:val="0"/>
        <w:adjustRightInd w:val="0"/>
        <w:snapToGrid w:val="0"/>
        <w:spacing w:before="180"/>
        <w:rPr>
          <w:rFonts w:eastAsia="宋体"/>
          <w:b/>
          <w:i/>
          <w:sz w:val="22"/>
          <w:lang w:val="en-US" w:eastAsia="zh-CN"/>
        </w:rPr>
      </w:pPr>
    </w:p>
    <w:bookmarkEnd w:id="10"/>
    <w:bookmarkEnd w:id="11"/>
    <w:p w:rsidR="00C0754F" w:rsidRDefault="00C0754F" w:rsidP="00C0754F">
      <w:pPr>
        <w:pStyle w:val="1"/>
        <w:jc w:val="both"/>
        <w:rPr>
          <w:lang w:val="en-US"/>
        </w:rPr>
      </w:pPr>
      <w:r w:rsidRPr="00C0754F">
        <w:rPr>
          <w:lang w:val="en-US"/>
        </w:rPr>
        <w:t>Reference</w:t>
      </w:r>
    </w:p>
    <w:p w:rsidR="00E30A4B" w:rsidRDefault="00815632" w:rsidP="000E71C8">
      <w:pPr>
        <w:widowControl w:val="0"/>
        <w:numPr>
          <w:ilvl w:val="0"/>
          <w:numId w:val="5"/>
        </w:numPr>
        <w:tabs>
          <w:tab w:val="left" w:pos="426"/>
        </w:tabs>
        <w:rPr>
          <w:rFonts w:eastAsia="宋体"/>
          <w:sz w:val="22"/>
          <w:szCs w:val="22"/>
          <w:lang w:eastAsia="zh-CN"/>
        </w:rPr>
      </w:pPr>
      <w:r>
        <w:rPr>
          <w:rFonts w:eastAsia="宋体"/>
          <w:sz w:val="22"/>
          <w:szCs w:val="22"/>
          <w:lang w:eastAsia="zh-CN"/>
        </w:rPr>
        <w:t>R4-2</w:t>
      </w:r>
      <w:r w:rsidR="000E71C8" w:rsidRPr="000E71C8">
        <w:rPr>
          <w:rFonts w:eastAsia="宋体"/>
          <w:sz w:val="22"/>
          <w:szCs w:val="22"/>
          <w:lang w:eastAsia="zh-CN"/>
        </w:rPr>
        <w:t>2</w:t>
      </w:r>
      <w:r w:rsidR="00E03946">
        <w:rPr>
          <w:rFonts w:eastAsia="宋体"/>
          <w:sz w:val="22"/>
          <w:szCs w:val="22"/>
          <w:lang w:eastAsia="zh-CN"/>
        </w:rPr>
        <w:t>0</w:t>
      </w:r>
      <w:r w:rsidR="00F94E60">
        <w:rPr>
          <w:rFonts w:eastAsia="宋体"/>
          <w:sz w:val="22"/>
          <w:szCs w:val="22"/>
          <w:lang w:eastAsia="zh-CN"/>
        </w:rPr>
        <w:t>6837</w:t>
      </w:r>
      <w:r w:rsidR="00E30A4B" w:rsidRPr="00032596">
        <w:rPr>
          <w:rFonts w:eastAsia="宋体"/>
          <w:sz w:val="22"/>
          <w:szCs w:val="22"/>
          <w:lang w:eastAsia="zh-CN"/>
        </w:rPr>
        <w:t>, “</w:t>
      </w:r>
      <w:r w:rsidR="000C70D5" w:rsidRPr="000C70D5">
        <w:rPr>
          <w:rFonts w:eastAsia="宋体"/>
          <w:sz w:val="22"/>
          <w:szCs w:val="22"/>
          <w:lang w:eastAsia="zh-CN"/>
        </w:rPr>
        <w:t>WF on RRM requirements for FR2 Inter-band DL CA and UL CA</w:t>
      </w:r>
      <w:r w:rsidR="00E30A4B" w:rsidRPr="00032596">
        <w:rPr>
          <w:rFonts w:eastAsia="宋体"/>
          <w:sz w:val="22"/>
          <w:szCs w:val="22"/>
          <w:lang w:eastAsia="zh-CN"/>
        </w:rPr>
        <w:t xml:space="preserve">”, </w:t>
      </w:r>
      <w:r w:rsidR="000C70D5" w:rsidRPr="000C70D5">
        <w:rPr>
          <w:rFonts w:eastAsia="宋体"/>
          <w:sz w:val="22"/>
          <w:szCs w:val="22"/>
          <w:lang w:eastAsia="zh-CN"/>
        </w:rPr>
        <w:t>Nokia, Nokia Shanghai Bell</w:t>
      </w:r>
    </w:p>
    <w:sectPr w:rsidR="00E30A4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0CF" w:rsidRDefault="004630CF">
      <w:r>
        <w:separator/>
      </w:r>
    </w:p>
  </w:endnote>
  <w:endnote w:type="continuationSeparator" w:id="0">
    <w:p w:rsidR="004630CF" w:rsidRDefault="0046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0FC" w:rsidRDefault="005270F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270FC" w:rsidRDefault="005270F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0FC" w:rsidRDefault="005270F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F24BB">
      <w:rPr>
        <w:rStyle w:val="af1"/>
      </w:rPr>
      <w:t>2</w:t>
    </w:r>
    <w:r>
      <w:rPr>
        <w:rStyle w:val="af1"/>
      </w:rPr>
      <w:fldChar w:fldCharType="end"/>
    </w:r>
  </w:p>
  <w:p w:rsidR="005270FC" w:rsidRDefault="005270F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0CF" w:rsidRDefault="004630CF">
      <w:r>
        <w:separator/>
      </w:r>
    </w:p>
  </w:footnote>
  <w:footnote w:type="continuationSeparator" w:id="0">
    <w:p w:rsidR="004630CF" w:rsidRDefault="00463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51CF0"/>
    <w:multiLevelType w:val="hybridMultilevel"/>
    <w:tmpl w:val="1D582176"/>
    <w:lvl w:ilvl="0" w:tplc="5F8AB6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9" w15:restartNumberingAfterBreak="0">
    <w:nsid w:val="294876D6"/>
    <w:multiLevelType w:val="hybridMultilevel"/>
    <w:tmpl w:val="81122B2A"/>
    <w:lvl w:ilvl="0" w:tplc="607866F6">
      <w:start w:val="1"/>
      <w:numFmt w:val="bullet"/>
      <w:lvlText w:val="•"/>
      <w:lvlJc w:val="left"/>
      <w:pPr>
        <w:tabs>
          <w:tab w:val="num" w:pos="360"/>
        </w:tabs>
        <w:ind w:left="360" w:hanging="360"/>
      </w:pPr>
      <w:rPr>
        <w:rFonts w:ascii="Arial" w:hAnsi="Arial" w:hint="default"/>
      </w:rPr>
    </w:lvl>
    <w:lvl w:ilvl="1" w:tplc="722EE754">
      <w:start w:val="1"/>
      <w:numFmt w:val="bullet"/>
      <w:lvlText w:val="•"/>
      <w:lvlJc w:val="left"/>
      <w:pPr>
        <w:tabs>
          <w:tab w:val="num" w:pos="1080"/>
        </w:tabs>
        <w:ind w:left="1080" w:hanging="360"/>
      </w:pPr>
      <w:rPr>
        <w:rFonts w:ascii="Arial" w:hAnsi="Arial" w:hint="default"/>
      </w:rPr>
    </w:lvl>
    <w:lvl w:ilvl="2" w:tplc="3EF227BA">
      <w:numFmt w:val="bullet"/>
      <w:lvlText w:val="•"/>
      <w:lvlJc w:val="left"/>
      <w:pPr>
        <w:tabs>
          <w:tab w:val="num" w:pos="1800"/>
        </w:tabs>
        <w:ind w:left="1800" w:hanging="360"/>
      </w:pPr>
      <w:rPr>
        <w:rFonts w:ascii="Arial" w:hAnsi="Arial" w:hint="default"/>
      </w:rPr>
    </w:lvl>
    <w:lvl w:ilvl="3" w:tplc="5FA25AA4">
      <w:numFmt w:val="bullet"/>
      <w:lvlText w:val="•"/>
      <w:lvlJc w:val="left"/>
      <w:pPr>
        <w:tabs>
          <w:tab w:val="num" w:pos="2520"/>
        </w:tabs>
        <w:ind w:left="2520" w:hanging="360"/>
      </w:pPr>
      <w:rPr>
        <w:rFonts w:ascii="Arial" w:hAnsi="Arial" w:hint="default"/>
      </w:rPr>
    </w:lvl>
    <w:lvl w:ilvl="4" w:tplc="A80A31AC">
      <w:numFmt w:val="bullet"/>
      <w:lvlText w:val="•"/>
      <w:lvlJc w:val="left"/>
      <w:pPr>
        <w:tabs>
          <w:tab w:val="num" w:pos="3240"/>
        </w:tabs>
        <w:ind w:left="3240" w:hanging="360"/>
      </w:pPr>
      <w:rPr>
        <w:rFonts w:ascii="Arial" w:hAnsi="Arial" w:hint="default"/>
      </w:rPr>
    </w:lvl>
    <w:lvl w:ilvl="5" w:tplc="FD9E4CC0" w:tentative="1">
      <w:start w:val="1"/>
      <w:numFmt w:val="bullet"/>
      <w:lvlText w:val="•"/>
      <w:lvlJc w:val="left"/>
      <w:pPr>
        <w:tabs>
          <w:tab w:val="num" w:pos="3960"/>
        </w:tabs>
        <w:ind w:left="3960" w:hanging="360"/>
      </w:pPr>
      <w:rPr>
        <w:rFonts w:ascii="Arial" w:hAnsi="Arial" w:hint="default"/>
      </w:rPr>
    </w:lvl>
    <w:lvl w:ilvl="6" w:tplc="F5BE14C4" w:tentative="1">
      <w:start w:val="1"/>
      <w:numFmt w:val="bullet"/>
      <w:lvlText w:val="•"/>
      <w:lvlJc w:val="left"/>
      <w:pPr>
        <w:tabs>
          <w:tab w:val="num" w:pos="4680"/>
        </w:tabs>
        <w:ind w:left="4680" w:hanging="360"/>
      </w:pPr>
      <w:rPr>
        <w:rFonts w:ascii="Arial" w:hAnsi="Arial" w:hint="default"/>
      </w:rPr>
    </w:lvl>
    <w:lvl w:ilvl="7" w:tplc="065AF05A" w:tentative="1">
      <w:start w:val="1"/>
      <w:numFmt w:val="bullet"/>
      <w:lvlText w:val="•"/>
      <w:lvlJc w:val="left"/>
      <w:pPr>
        <w:tabs>
          <w:tab w:val="num" w:pos="5400"/>
        </w:tabs>
        <w:ind w:left="5400" w:hanging="360"/>
      </w:pPr>
      <w:rPr>
        <w:rFonts w:ascii="Arial" w:hAnsi="Arial" w:hint="default"/>
      </w:rPr>
    </w:lvl>
    <w:lvl w:ilvl="8" w:tplc="3CDAE73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D64752"/>
    <w:multiLevelType w:val="hybridMultilevel"/>
    <w:tmpl w:val="0A5A7C02"/>
    <w:lvl w:ilvl="0" w:tplc="49769FD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E0163B"/>
    <w:multiLevelType w:val="hybridMultilevel"/>
    <w:tmpl w:val="C47C71B2"/>
    <w:lvl w:ilvl="0" w:tplc="F2D6C06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10768C"/>
    <w:multiLevelType w:val="hybridMultilevel"/>
    <w:tmpl w:val="47F27E86"/>
    <w:lvl w:ilvl="0" w:tplc="3ACE5630">
      <w:start w:val="1"/>
      <w:numFmt w:val="bullet"/>
      <w:lvlText w:val="•"/>
      <w:lvlJc w:val="left"/>
      <w:pPr>
        <w:tabs>
          <w:tab w:val="num" w:pos="720"/>
        </w:tabs>
        <w:ind w:left="720" w:hanging="360"/>
      </w:pPr>
      <w:rPr>
        <w:rFonts w:ascii="Arial" w:hAnsi="Arial" w:hint="default"/>
      </w:rPr>
    </w:lvl>
    <w:lvl w:ilvl="1" w:tplc="F5C8B516" w:tentative="1">
      <w:start w:val="1"/>
      <w:numFmt w:val="bullet"/>
      <w:lvlText w:val="•"/>
      <w:lvlJc w:val="left"/>
      <w:pPr>
        <w:tabs>
          <w:tab w:val="num" w:pos="1440"/>
        </w:tabs>
        <w:ind w:left="1440" w:hanging="360"/>
      </w:pPr>
      <w:rPr>
        <w:rFonts w:ascii="Arial" w:hAnsi="Arial" w:hint="default"/>
      </w:rPr>
    </w:lvl>
    <w:lvl w:ilvl="2" w:tplc="A61ABA14" w:tentative="1">
      <w:start w:val="1"/>
      <w:numFmt w:val="bullet"/>
      <w:lvlText w:val="•"/>
      <w:lvlJc w:val="left"/>
      <w:pPr>
        <w:tabs>
          <w:tab w:val="num" w:pos="2160"/>
        </w:tabs>
        <w:ind w:left="2160" w:hanging="360"/>
      </w:pPr>
      <w:rPr>
        <w:rFonts w:ascii="Arial" w:hAnsi="Arial" w:hint="default"/>
      </w:rPr>
    </w:lvl>
    <w:lvl w:ilvl="3" w:tplc="283A9578" w:tentative="1">
      <w:start w:val="1"/>
      <w:numFmt w:val="bullet"/>
      <w:lvlText w:val="•"/>
      <w:lvlJc w:val="left"/>
      <w:pPr>
        <w:tabs>
          <w:tab w:val="num" w:pos="2880"/>
        </w:tabs>
        <w:ind w:left="2880" w:hanging="360"/>
      </w:pPr>
      <w:rPr>
        <w:rFonts w:ascii="Arial" w:hAnsi="Arial" w:hint="default"/>
      </w:rPr>
    </w:lvl>
    <w:lvl w:ilvl="4" w:tplc="81982EFE" w:tentative="1">
      <w:start w:val="1"/>
      <w:numFmt w:val="bullet"/>
      <w:lvlText w:val="•"/>
      <w:lvlJc w:val="left"/>
      <w:pPr>
        <w:tabs>
          <w:tab w:val="num" w:pos="3600"/>
        </w:tabs>
        <w:ind w:left="3600" w:hanging="360"/>
      </w:pPr>
      <w:rPr>
        <w:rFonts w:ascii="Arial" w:hAnsi="Arial" w:hint="default"/>
      </w:rPr>
    </w:lvl>
    <w:lvl w:ilvl="5" w:tplc="4D8EA2C0" w:tentative="1">
      <w:start w:val="1"/>
      <w:numFmt w:val="bullet"/>
      <w:lvlText w:val="•"/>
      <w:lvlJc w:val="left"/>
      <w:pPr>
        <w:tabs>
          <w:tab w:val="num" w:pos="4320"/>
        </w:tabs>
        <w:ind w:left="4320" w:hanging="360"/>
      </w:pPr>
      <w:rPr>
        <w:rFonts w:ascii="Arial" w:hAnsi="Arial" w:hint="default"/>
      </w:rPr>
    </w:lvl>
    <w:lvl w:ilvl="6" w:tplc="26BA349A" w:tentative="1">
      <w:start w:val="1"/>
      <w:numFmt w:val="bullet"/>
      <w:lvlText w:val="•"/>
      <w:lvlJc w:val="left"/>
      <w:pPr>
        <w:tabs>
          <w:tab w:val="num" w:pos="5040"/>
        </w:tabs>
        <w:ind w:left="5040" w:hanging="360"/>
      </w:pPr>
      <w:rPr>
        <w:rFonts w:ascii="Arial" w:hAnsi="Arial" w:hint="default"/>
      </w:rPr>
    </w:lvl>
    <w:lvl w:ilvl="7" w:tplc="4432C0CC" w:tentative="1">
      <w:start w:val="1"/>
      <w:numFmt w:val="bullet"/>
      <w:lvlText w:val="•"/>
      <w:lvlJc w:val="left"/>
      <w:pPr>
        <w:tabs>
          <w:tab w:val="num" w:pos="5760"/>
        </w:tabs>
        <w:ind w:left="5760" w:hanging="360"/>
      </w:pPr>
      <w:rPr>
        <w:rFonts w:ascii="Arial" w:hAnsi="Arial" w:hint="default"/>
      </w:rPr>
    </w:lvl>
    <w:lvl w:ilvl="8" w:tplc="E25098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C25873"/>
    <w:multiLevelType w:val="hybridMultilevel"/>
    <w:tmpl w:val="E3BEA86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394616"/>
    <w:multiLevelType w:val="hybridMultilevel"/>
    <w:tmpl w:val="070A7778"/>
    <w:lvl w:ilvl="0" w:tplc="CBC27CA8">
      <w:start w:val="1"/>
      <w:numFmt w:val="bullet"/>
      <w:lvlText w:val="•"/>
      <w:lvlJc w:val="left"/>
      <w:pPr>
        <w:tabs>
          <w:tab w:val="num" w:pos="360"/>
        </w:tabs>
        <w:ind w:left="360" w:hanging="360"/>
      </w:pPr>
      <w:rPr>
        <w:rFonts w:ascii="Arial" w:hAnsi="Arial" w:hint="default"/>
      </w:rPr>
    </w:lvl>
    <w:lvl w:ilvl="1" w:tplc="9AB6BA4A">
      <w:numFmt w:val="bullet"/>
      <w:lvlText w:val="•"/>
      <w:lvlJc w:val="left"/>
      <w:pPr>
        <w:tabs>
          <w:tab w:val="num" w:pos="1080"/>
        </w:tabs>
        <w:ind w:left="1080" w:hanging="360"/>
      </w:pPr>
      <w:rPr>
        <w:rFonts w:ascii="Arial" w:hAnsi="Arial" w:hint="default"/>
      </w:rPr>
    </w:lvl>
    <w:lvl w:ilvl="2" w:tplc="55DE98E6" w:tentative="1">
      <w:start w:val="1"/>
      <w:numFmt w:val="bullet"/>
      <w:lvlText w:val="•"/>
      <w:lvlJc w:val="left"/>
      <w:pPr>
        <w:tabs>
          <w:tab w:val="num" w:pos="1800"/>
        </w:tabs>
        <w:ind w:left="1800" w:hanging="360"/>
      </w:pPr>
      <w:rPr>
        <w:rFonts w:ascii="Arial" w:hAnsi="Arial" w:hint="default"/>
      </w:rPr>
    </w:lvl>
    <w:lvl w:ilvl="3" w:tplc="2076AF22" w:tentative="1">
      <w:start w:val="1"/>
      <w:numFmt w:val="bullet"/>
      <w:lvlText w:val="•"/>
      <w:lvlJc w:val="left"/>
      <w:pPr>
        <w:tabs>
          <w:tab w:val="num" w:pos="2520"/>
        </w:tabs>
        <w:ind w:left="2520" w:hanging="360"/>
      </w:pPr>
      <w:rPr>
        <w:rFonts w:ascii="Arial" w:hAnsi="Arial" w:hint="default"/>
      </w:rPr>
    </w:lvl>
    <w:lvl w:ilvl="4" w:tplc="227AF19C" w:tentative="1">
      <w:start w:val="1"/>
      <w:numFmt w:val="bullet"/>
      <w:lvlText w:val="•"/>
      <w:lvlJc w:val="left"/>
      <w:pPr>
        <w:tabs>
          <w:tab w:val="num" w:pos="3240"/>
        </w:tabs>
        <w:ind w:left="3240" w:hanging="360"/>
      </w:pPr>
      <w:rPr>
        <w:rFonts w:ascii="Arial" w:hAnsi="Arial" w:hint="default"/>
      </w:rPr>
    </w:lvl>
    <w:lvl w:ilvl="5" w:tplc="772C6932" w:tentative="1">
      <w:start w:val="1"/>
      <w:numFmt w:val="bullet"/>
      <w:lvlText w:val="•"/>
      <w:lvlJc w:val="left"/>
      <w:pPr>
        <w:tabs>
          <w:tab w:val="num" w:pos="3960"/>
        </w:tabs>
        <w:ind w:left="3960" w:hanging="360"/>
      </w:pPr>
      <w:rPr>
        <w:rFonts w:ascii="Arial" w:hAnsi="Arial" w:hint="default"/>
      </w:rPr>
    </w:lvl>
    <w:lvl w:ilvl="6" w:tplc="0F0CBEFE" w:tentative="1">
      <w:start w:val="1"/>
      <w:numFmt w:val="bullet"/>
      <w:lvlText w:val="•"/>
      <w:lvlJc w:val="left"/>
      <w:pPr>
        <w:tabs>
          <w:tab w:val="num" w:pos="4680"/>
        </w:tabs>
        <w:ind w:left="4680" w:hanging="360"/>
      </w:pPr>
      <w:rPr>
        <w:rFonts w:ascii="Arial" w:hAnsi="Arial" w:hint="default"/>
      </w:rPr>
    </w:lvl>
    <w:lvl w:ilvl="7" w:tplc="C5BA0B8E" w:tentative="1">
      <w:start w:val="1"/>
      <w:numFmt w:val="bullet"/>
      <w:lvlText w:val="•"/>
      <w:lvlJc w:val="left"/>
      <w:pPr>
        <w:tabs>
          <w:tab w:val="num" w:pos="5400"/>
        </w:tabs>
        <w:ind w:left="5400" w:hanging="360"/>
      </w:pPr>
      <w:rPr>
        <w:rFonts w:ascii="Arial" w:hAnsi="Arial" w:hint="default"/>
      </w:rPr>
    </w:lvl>
    <w:lvl w:ilvl="8" w:tplc="A96C1D1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35" w15:restartNumberingAfterBreak="0">
    <w:nsid w:val="6B8E7C62"/>
    <w:multiLevelType w:val="hybridMultilevel"/>
    <w:tmpl w:val="3A4E4AB4"/>
    <w:lvl w:ilvl="0" w:tplc="5E22A6EE">
      <w:start w:val="1"/>
      <w:numFmt w:val="bullet"/>
      <w:lvlText w:val="•"/>
      <w:lvlJc w:val="left"/>
      <w:pPr>
        <w:tabs>
          <w:tab w:val="num" w:pos="360"/>
        </w:tabs>
        <w:ind w:left="360" w:hanging="360"/>
      </w:pPr>
      <w:rPr>
        <w:rFonts w:ascii="Arial" w:hAnsi="Arial" w:hint="default"/>
      </w:rPr>
    </w:lvl>
    <w:lvl w:ilvl="1" w:tplc="A866F7A4">
      <w:start w:val="1"/>
      <w:numFmt w:val="bullet"/>
      <w:lvlText w:val="•"/>
      <w:lvlJc w:val="left"/>
      <w:pPr>
        <w:tabs>
          <w:tab w:val="num" w:pos="1080"/>
        </w:tabs>
        <w:ind w:left="1080" w:hanging="360"/>
      </w:pPr>
      <w:rPr>
        <w:rFonts w:ascii="Arial" w:hAnsi="Arial" w:hint="default"/>
      </w:rPr>
    </w:lvl>
    <w:lvl w:ilvl="2" w:tplc="D6086C38">
      <w:numFmt w:val="bullet"/>
      <w:lvlText w:val="•"/>
      <w:lvlJc w:val="left"/>
      <w:pPr>
        <w:tabs>
          <w:tab w:val="num" w:pos="1800"/>
        </w:tabs>
        <w:ind w:left="1800" w:hanging="360"/>
      </w:pPr>
      <w:rPr>
        <w:rFonts w:ascii="Arial" w:hAnsi="Arial" w:hint="default"/>
      </w:rPr>
    </w:lvl>
    <w:lvl w:ilvl="3" w:tplc="1AE41E2E">
      <w:numFmt w:val="bullet"/>
      <w:lvlText w:val="•"/>
      <w:lvlJc w:val="left"/>
      <w:pPr>
        <w:tabs>
          <w:tab w:val="num" w:pos="2520"/>
        </w:tabs>
        <w:ind w:left="2520" w:hanging="360"/>
      </w:pPr>
      <w:rPr>
        <w:rFonts w:ascii="Arial" w:hAnsi="Arial" w:hint="default"/>
      </w:rPr>
    </w:lvl>
    <w:lvl w:ilvl="4" w:tplc="2542BB7C">
      <w:numFmt w:val="bullet"/>
      <w:lvlText w:val="•"/>
      <w:lvlJc w:val="left"/>
      <w:pPr>
        <w:tabs>
          <w:tab w:val="num" w:pos="3240"/>
        </w:tabs>
        <w:ind w:left="3240" w:hanging="360"/>
      </w:pPr>
      <w:rPr>
        <w:rFonts w:ascii="Arial" w:hAnsi="Arial" w:hint="default"/>
      </w:rPr>
    </w:lvl>
    <w:lvl w:ilvl="5" w:tplc="2DA8123E" w:tentative="1">
      <w:start w:val="1"/>
      <w:numFmt w:val="bullet"/>
      <w:lvlText w:val="•"/>
      <w:lvlJc w:val="left"/>
      <w:pPr>
        <w:tabs>
          <w:tab w:val="num" w:pos="3960"/>
        </w:tabs>
        <w:ind w:left="3960" w:hanging="360"/>
      </w:pPr>
      <w:rPr>
        <w:rFonts w:ascii="Arial" w:hAnsi="Arial" w:hint="default"/>
      </w:rPr>
    </w:lvl>
    <w:lvl w:ilvl="6" w:tplc="2454F2F6" w:tentative="1">
      <w:start w:val="1"/>
      <w:numFmt w:val="bullet"/>
      <w:lvlText w:val="•"/>
      <w:lvlJc w:val="left"/>
      <w:pPr>
        <w:tabs>
          <w:tab w:val="num" w:pos="4680"/>
        </w:tabs>
        <w:ind w:left="4680" w:hanging="360"/>
      </w:pPr>
      <w:rPr>
        <w:rFonts w:ascii="Arial" w:hAnsi="Arial" w:hint="default"/>
      </w:rPr>
    </w:lvl>
    <w:lvl w:ilvl="7" w:tplc="912E3D08" w:tentative="1">
      <w:start w:val="1"/>
      <w:numFmt w:val="bullet"/>
      <w:lvlText w:val="•"/>
      <w:lvlJc w:val="left"/>
      <w:pPr>
        <w:tabs>
          <w:tab w:val="num" w:pos="5400"/>
        </w:tabs>
        <w:ind w:left="5400" w:hanging="360"/>
      </w:pPr>
      <w:rPr>
        <w:rFonts w:ascii="Arial" w:hAnsi="Arial" w:hint="default"/>
      </w:rPr>
    </w:lvl>
    <w:lvl w:ilvl="8" w:tplc="BEB6E3E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6"/>
  </w:num>
  <w:num w:numId="3">
    <w:abstractNumId w:val="40"/>
  </w:num>
  <w:num w:numId="4">
    <w:abstractNumId w:val="10"/>
  </w:num>
  <w:num w:numId="5">
    <w:abstractNumId w:val="19"/>
  </w:num>
  <w:num w:numId="6">
    <w:abstractNumId w:val="1"/>
  </w:num>
  <w:num w:numId="7">
    <w:abstractNumId w:val="30"/>
  </w:num>
  <w:num w:numId="8">
    <w:abstractNumId w:val="21"/>
  </w:num>
  <w:num w:numId="9">
    <w:abstractNumId w:val="6"/>
  </w:num>
  <w:num w:numId="10">
    <w:abstractNumId w:val="17"/>
  </w:num>
  <w:num w:numId="11">
    <w:abstractNumId w:val="20"/>
  </w:num>
  <w:num w:numId="12">
    <w:abstractNumId w:val="0"/>
  </w:num>
  <w:num w:numId="13">
    <w:abstractNumId w:val="13"/>
  </w:num>
  <w:num w:numId="14">
    <w:abstractNumId w:val="39"/>
  </w:num>
  <w:num w:numId="15">
    <w:abstractNumId w:val="18"/>
  </w:num>
  <w:num w:numId="16">
    <w:abstractNumId w:val="4"/>
  </w:num>
  <w:num w:numId="17">
    <w:abstractNumId w:val="11"/>
  </w:num>
  <w:num w:numId="18">
    <w:abstractNumId w:val="25"/>
  </w:num>
  <w:num w:numId="19">
    <w:abstractNumId w:val="7"/>
  </w:num>
  <w:num w:numId="20">
    <w:abstractNumId w:val="3"/>
  </w:num>
  <w:num w:numId="21">
    <w:abstractNumId w:val="12"/>
  </w:num>
  <w:num w:numId="22">
    <w:abstractNumId w:val="32"/>
  </w:num>
  <w:num w:numId="23">
    <w:abstractNumId w:val="29"/>
  </w:num>
  <w:num w:numId="24">
    <w:abstractNumId w:val="27"/>
  </w:num>
  <w:num w:numId="25">
    <w:abstractNumId w:val="2"/>
  </w:num>
  <w:num w:numId="26">
    <w:abstractNumId w:val="38"/>
  </w:num>
  <w:num w:numId="27">
    <w:abstractNumId w:val="37"/>
  </w:num>
  <w:num w:numId="28">
    <w:abstractNumId w:val="15"/>
  </w:num>
  <w:num w:numId="29">
    <w:abstractNumId w:val="8"/>
  </w:num>
  <w:num w:numId="30">
    <w:abstractNumId w:val="33"/>
  </w:num>
  <w:num w:numId="31">
    <w:abstractNumId w:val="9"/>
  </w:num>
  <w:num w:numId="32">
    <w:abstractNumId w:val="28"/>
  </w:num>
  <w:num w:numId="33">
    <w:abstractNumId w:val="23"/>
  </w:num>
  <w:num w:numId="34">
    <w:abstractNumId w:val="35"/>
  </w:num>
  <w:num w:numId="35">
    <w:abstractNumId w:val="26"/>
  </w:num>
  <w:num w:numId="36">
    <w:abstractNumId w:val="31"/>
  </w:num>
  <w:num w:numId="37">
    <w:abstractNumId w:val="24"/>
  </w:num>
  <w:num w:numId="38">
    <w:abstractNumId w:val="5"/>
  </w:num>
  <w:num w:numId="39">
    <w:abstractNumId w:val="16"/>
  </w:num>
  <w:num w:numId="40">
    <w:abstractNumId w:val="14"/>
  </w:num>
  <w:num w:numId="41">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83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37D69"/>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449"/>
    <w:rsid w:val="000549BA"/>
    <w:rsid w:val="00054A3F"/>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9D1"/>
    <w:rsid w:val="00090BB8"/>
    <w:rsid w:val="00091B10"/>
    <w:rsid w:val="00091B5E"/>
    <w:rsid w:val="000926DA"/>
    <w:rsid w:val="00092919"/>
    <w:rsid w:val="00092B20"/>
    <w:rsid w:val="00092DCA"/>
    <w:rsid w:val="00092E2D"/>
    <w:rsid w:val="0009306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10A"/>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1C8"/>
    <w:rsid w:val="000E725C"/>
    <w:rsid w:val="000E7792"/>
    <w:rsid w:val="000E7E5D"/>
    <w:rsid w:val="000E7FCB"/>
    <w:rsid w:val="000F0E0B"/>
    <w:rsid w:val="000F121D"/>
    <w:rsid w:val="000F156E"/>
    <w:rsid w:val="000F1912"/>
    <w:rsid w:val="000F197F"/>
    <w:rsid w:val="000F1DA5"/>
    <w:rsid w:val="000F21A0"/>
    <w:rsid w:val="000F21BA"/>
    <w:rsid w:val="000F21CF"/>
    <w:rsid w:val="000F24BB"/>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6FBD"/>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5D"/>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5DD"/>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685"/>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0C0B"/>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6CAF"/>
    <w:rsid w:val="001771D5"/>
    <w:rsid w:val="0017780D"/>
    <w:rsid w:val="00177970"/>
    <w:rsid w:val="00180507"/>
    <w:rsid w:val="001805A3"/>
    <w:rsid w:val="001806FC"/>
    <w:rsid w:val="00180B89"/>
    <w:rsid w:val="00180E49"/>
    <w:rsid w:val="00181289"/>
    <w:rsid w:val="00181489"/>
    <w:rsid w:val="001815CE"/>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E70"/>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23"/>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1F7D88"/>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7CF"/>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8F1"/>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05C"/>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50"/>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A9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065"/>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A52"/>
    <w:rsid w:val="002C1E2C"/>
    <w:rsid w:val="002C2478"/>
    <w:rsid w:val="002C27CE"/>
    <w:rsid w:val="002C2C1D"/>
    <w:rsid w:val="002C30F6"/>
    <w:rsid w:val="002C3478"/>
    <w:rsid w:val="002C3E68"/>
    <w:rsid w:val="002C40A1"/>
    <w:rsid w:val="002C444C"/>
    <w:rsid w:val="002C44F2"/>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51"/>
    <w:rsid w:val="002F4A63"/>
    <w:rsid w:val="002F4C00"/>
    <w:rsid w:val="002F547B"/>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6C9"/>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726"/>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9CC"/>
    <w:rsid w:val="00353C20"/>
    <w:rsid w:val="00353D2B"/>
    <w:rsid w:val="0035405C"/>
    <w:rsid w:val="0035411E"/>
    <w:rsid w:val="003541DA"/>
    <w:rsid w:val="003543D5"/>
    <w:rsid w:val="0035467C"/>
    <w:rsid w:val="00354768"/>
    <w:rsid w:val="00354822"/>
    <w:rsid w:val="00355064"/>
    <w:rsid w:val="0035520C"/>
    <w:rsid w:val="003555E5"/>
    <w:rsid w:val="00355B62"/>
    <w:rsid w:val="00355F8C"/>
    <w:rsid w:val="00355FAC"/>
    <w:rsid w:val="003561C5"/>
    <w:rsid w:val="00356288"/>
    <w:rsid w:val="003567AE"/>
    <w:rsid w:val="00356E89"/>
    <w:rsid w:val="00356E93"/>
    <w:rsid w:val="00357323"/>
    <w:rsid w:val="003574B2"/>
    <w:rsid w:val="003575C2"/>
    <w:rsid w:val="003579AB"/>
    <w:rsid w:val="00357FC6"/>
    <w:rsid w:val="003604FF"/>
    <w:rsid w:val="0036109A"/>
    <w:rsid w:val="0036109C"/>
    <w:rsid w:val="0036137B"/>
    <w:rsid w:val="00361435"/>
    <w:rsid w:val="00361491"/>
    <w:rsid w:val="00361678"/>
    <w:rsid w:val="003616EF"/>
    <w:rsid w:val="00361788"/>
    <w:rsid w:val="00361A71"/>
    <w:rsid w:val="00361CE7"/>
    <w:rsid w:val="00361E79"/>
    <w:rsid w:val="0036211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781"/>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18E"/>
    <w:rsid w:val="0037724D"/>
    <w:rsid w:val="00377374"/>
    <w:rsid w:val="00377482"/>
    <w:rsid w:val="0037789B"/>
    <w:rsid w:val="003779C3"/>
    <w:rsid w:val="00377DA5"/>
    <w:rsid w:val="0038013F"/>
    <w:rsid w:val="00380234"/>
    <w:rsid w:val="00380398"/>
    <w:rsid w:val="00380411"/>
    <w:rsid w:val="00380439"/>
    <w:rsid w:val="003805AF"/>
    <w:rsid w:val="003807A0"/>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451"/>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7E8"/>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187"/>
    <w:rsid w:val="003C4B65"/>
    <w:rsid w:val="003C4B87"/>
    <w:rsid w:val="003C5982"/>
    <w:rsid w:val="003C5F4A"/>
    <w:rsid w:val="003C6410"/>
    <w:rsid w:val="003C679C"/>
    <w:rsid w:val="003C6A0E"/>
    <w:rsid w:val="003C6E75"/>
    <w:rsid w:val="003C7750"/>
    <w:rsid w:val="003C7753"/>
    <w:rsid w:val="003C7927"/>
    <w:rsid w:val="003C7B53"/>
    <w:rsid w:val="003D0B81"/>
    <w:rsid w:val="003D0E8A"/>
    <w:rsid w:val="003D128C"/>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0FC"/>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23"/>
    <w:rsid w:val="00455343"/>
    <w:rsid w:val="00455884"/>
    <w:rsid w:val="00456226"/>
    <w:rsid w:val="00456562"/>
    <w:rsid w:val="00456960"/>
    <w:rsid w:val="00457444"/>
    <w:rsid w:val="004576FE"/>
    <w:rsid w:val="00457E61"/>
    <w:rsid w:val="00457EE2"/>
    <w:rsid w:val="00460263"/>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0CF"/>
    <w:rsid w:val="0046324E"/>
    <w:rsid w:val="0046327A"/>
    <w:rsid w:val="004636BA"/>
    <w:rsid w:val="0046398D"/>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6FB3"/>
    <w:rsid w:val="004672D9"/>
    <w:rsid w:val="004673C9"/>
    <w:rsid w:val="00467C37"/>
    <w:rsid w:val="00467FB5"/>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1F"/>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47E"/>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98F"/>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BEB"/>
    <w:rsid w:val="00526D09"/>
    <w:rsid w:val="00526D84"/>
    <w:rsid w:val="00526DC5"/>
    <w:rsid w:val="0052707B"/>
    <w:rsid w:val="005270FC"/>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00"/>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1A1"/>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7DF"/>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CD1"/>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44"/>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83"/>
    <w:rsid w:val="005942D5"/>
    <w:rsid w:val="0059466A"/>
    <w:rsid w:val="0059467B"/>
    <w:rsid w:val="0059469B"/>
    <w:rsid w:val="00594752"/>
    <w:rsid w:val="005951A6"/>
    <w:rsid w:val="0059555D"/>
    <w:rsid w:val="0059576B"/>
    <w:rsid w:val="00595777"/>
    <w:rsid w:val="00595F68"/>
    <w:rsid w:val="005961C9"/>
    <w:rsid w:val="005964D8"/>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1C93"/>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0C91"/>
    <w:rsid w:val="00630E87"/>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23A"/>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310"/>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C7CD4"/>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3E9E"/>
    <w:rsid w:val="006E40B0"/>
    <w:rsid w:val="006E4356"/>
    <w:rsid w:val="006E46D0"/>
    <w:rsid w:val="006E4840"/>
    <w:rsid w:val="006E5090"/>
    <w:rsid w:val="006E55BC"/>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7ED"/>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056"/>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7F8"/>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5C2"/>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0BAC"/>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3FC2"/>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D794A"/>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4C99"/>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36C"/>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5632"/>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2CE"/>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FC"/>
    <w:rsid w:val="00886B5E"/>
    <w:rsid w:val="00886FCB"/>
    <w:rsid w:val="00887156"/>
    <w:rsid w:val="0088723B"/>
    <w:rsid w:val="008877C9"/>
    <w:rsid w:val="008878A6"/>
    <w:rsid w:val="00887937"/>
    <w:rsid w:val="00887975"/>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8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7D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17B"/>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73C"/>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1FC7"/>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6A6"/>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3FC"/>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3F0"/>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C7D"/>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4E0"/>
    <w:rsid w:val="009C5AEF"/>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150"/>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A20"/>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0AE8"/>
    <w:rsid w:val="009F0F2E"/>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3E0"/>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700"/>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37F"/>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8AF"/>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3DE2"/>
    <w:rsid w:val="00AF41DE"/>
    <w:rsid w:val="00AF431F"/>
    <w:rsid w:val="00AF46A5"/>
    <w:rsid w:val="00AF4AF2"/>
    <w:rsid w:val="00AF4E58"/>
    <w:rsid w:val="00AF4EB8"/>
    <w:rsid w:val="00AF4EC7"/>
    <w:rsid w:val="00AF4EE7"/>
    <w:rsid w:val="00AF56DB"/>
    <w:rsid w:val="00AF5F80"/>
    <w:rsid w:val="00AF6107"/>
    <w:rsid w:val="00AF6164"/>
    <w:rsid w:val="00AF66EB"/>
    <w:rsid w:val="00AF6B5C"/>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45"/>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9C1"/>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052"/>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5FBF"/>
    <w:rsid w:val="00B761B3"/>
    <w:rsid w:val="00B76411"/>
    <w:rsid w:val="00B76517"/>
    <w:rsid w:val="00B7658D"/>
    <w:rsid w:val="00B7702A"/>
    <w:rsid w:val="00B77413"/>
    <w:rsid w:val="00B778A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5FC5"/>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C9"/>
    <w:rsid w:val="00BF0A3D"/>
    <w:rsid w:val="00BF0A47"/>
    <w:rsid w:val="00BF0F99"/>
    <w:rsid w:val="00BF117A"/>
    <w:rsid w:val="00BF152B"/>
    <w:rsid w:val="00BF1573"/>
    <w:rsid w:val="00BF1636"/>
    <w:rsid w:val="00BF16C7"/>
    <w:rsid w:val="00BF17A5"/>
    <w:rsid w:val="00BF1AAF"/>
    <w:rsid w:val="00BF1BCA"/>
    <w:rsid w:val="00BF20D3"/>
    <w:rsid w:val="00BF23ED"/>
    <w:rsid w:val="00BF2DF8"/>
    <w:rsid w:val="00BF2F3D"/>
    <w:rsid w:val="00BF3170"/>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209"/>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2219"/>
    <w:rsid w:val="00C428E9"/>
    <w:rsid w:val="00C428EC"/>
    <w:rsid w:val="00C42A48"/>
    <w:rsid w:val="00C42AAB"/>
    <w:rsid w:val="00C42E04"/>
    <w:rsid w:val="00C42FFC"/>
    <w:rsid w:val="00C43082"/>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5D5A"/>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1F9"/>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87FAD"/>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542"/>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0EA"/>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BA"/>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65"/>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EA1"/>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B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B32"/>
    <w:rsid w:val="00D81C0B"/>
    <w:rsid w:val="00D81D35"/>
    <w:rsid w:val="00D81FE3"/>
    <w:rsid w:val="00D81FF1"/>
    <w:rsid w:val="00D81FF4"/>
    <w:rsid w:val="00D8201F"/>
    <w:rsid w:val="00D82061"/>
    <w:rsid w:val="00D8216D"/>
    <w:rsid w:val="00D82627"/>
    <w:rsid w:val="00D82889"/>
    <w:rsid w:val="00D83170"/>
    <w:rsid w:val="00D8324C"/>
    <w:rsid w:val="00D833A5"/>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3F5"/>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282"/>
    <w:rsid w:val="00DB035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BBF"/>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38F"/>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72C"/>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79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946"/>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05"/>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6C60"/>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6B1"/>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2B9"/>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A88"/>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B87"/>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779CD"/>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CF9"/>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8AB"/>
    <w:rsid w:val="00EA7A8B"/>
    <w:rsid w:val="00EA7E41"/>
    <w:rsid w:val="00EB0278"/>
    <w:rsid w:val="00EB073A"/>
    <w:rsid w:val="00EB0968"/>
    <w:rsid w:val="00EB1347"/>
    <w:rsid w:val="00EB161E"/>
    <w:rsid w:val="00EB178A"/>
    <w:rsid w:val="00EB1FD1"/>
    <w:rsid w:val="00EB2883"/>
    <w:rsid w:val="00EB29D7"/>
    <w:rsid w:val="00EB2D93"/>
    <w:rsid w:val="00EB2DE8"/>
    <w:rsid w:val="00EB30B0"/>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55"/>
    <w:rsid w:val="00ED11E8"/>
    <w:rsid w:val="00ED1282"/>
    <w:rsid w:val="00ED148B"/>
    <w:rsid w:val="00ED2295"/>
    <w:rsid w:val="00ED2D61"/>
    <w:rsid w:val="00ED3892"/>
    <w:rsid w:val="00ED38DE"/>
    <w:rsid w:val="00ED3BE4"/>
    <w:rsid w:val="00ED3C18"/>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C79"/>
    <w:rsid w:val="00EE2DA3"/>
    <w:rsid w:val="00EE2DFB"/>
    <w:rsid w:val="00EE2ED9"/>
    <w:rsid w:val="00EE2FE0"/>
    <w:rsid w:val="00EE33A3"/>
    <w:rsid w:val="00EE38E7"/>
    <w:rsid w:val="00EE3B7A"/>
    <w:rsid w:val="00EE42C9"/>
    <w:rsid w:val="00EE498F"/>
    <w:rsid w:val="00EE4D0D"/>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468"/>
    <w:rsid w:val="00F31521"/>
    <w:rsid w:val="00F31633"/>
    <w:rsid w:val="00F31692"/>
    <w:rsid w:val="00F31953"/>
    <w:rsid w:val="00F31B07"/>
    <w:rsid w:val="00F31D69"/>
    <w:rsid w:val="00F31E6A"/>
    <w:rsid w:val="00F31EB5"/>
    <w:rsid w:val="00F31F5F"/>
    <w:rsid w:val="00F326B6"/>
    <w:rsid w:val="00F32A94"/>
    <w:rsid w:val="00F32C8F"/>
    <w:rsid w:val="00F334DC"/>
    <w:rsid w:val="00F3378D"/>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3F65"/>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726"/>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DF6"/>
    <w:rsid w:val="00F84863"/>
    <w:rsid w:val="00F85696"/>
    <w:rsid w:val="00F856F0"/>
    <w:rsid w:val="00F85976"/>
    <w:rsid w:val="00F85AC5"/>
    <w:rsid w:val="00F85AE6"/>
    <w:rsid w:val="00F85E80"/>
    <w:rsid w:val="00F86263"/>
    <w:rsid w:val="00F8658B"/>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4E60"/>
    <w:rsid w:val="00F9514A"/>
    <w:rsid w:val="00F95391"/>
    <w:rsid w:val="00F955F9"/>
    <w:rsid w:val="00F958C6"/>
    <w:rsid w:val="00F95A0F"/>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605"/>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0A4F"/>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C7E6B"/>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3FA3"/>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6695"/>
    <w:rsid w:val="00FD77B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AA3"/>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列"/>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168522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4">
          <w:marLeft w:val="360"/>
          <w:marRight w:val="0"/>
          <w:marTop w:val="200"/>
          <w:marBottom w:val="0"/>
          <w:divBdr>
            <w:top w:val="none" w:sz="0" w:space="0" w:color="auto"/>
            <w:left w:val="none" w:sz="0" w:space="0" w:color="auto"/>
            <w:bottom w:val="none" w:sz="0" w:space="0" w:color="auto"/>
            <w:right w:val="none" w:sz="0" w:space="0" w:color="auto"/>
          </w:divBdr>
        </w:div>
        <w:div w:id="872571991">
          <w:marLeft w:val="108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4608963">
      <w:bodyDiv w:val="1"/>
      <w:marLeft w:val="0"/>
      <w:marRight w:val="0"/>
      <w:marTop w:val="0"/>
      <w:marBottom w:val="0"/>
      <w:divBdr>
        <w:top w:val="none" w:sz="0" w:space="0" w:color="auto"/>
        <w:left w:val="none" w:sz="0" w:space="0" w:color="auto"/>
        <w:bottom w:val="none" w:sz="0" w:space="0" w:color="auto"/>
        <w:right w:val="none" w:sz="0" w:space="0" w:color="auto"/>
      </w:divBdr>
      <w:divsChild>
        <w:div w:id="1490560015">
          <w:marLeft w:val="1080"/>
          <w:marRight w:val="0"/>
          <w:marTop w:val="100"/>
          <w:marBottom w:val="0"/>
          <w:divBdr>
            <w:top w:val="none" w:sz="0" w:space="0" w:color="auto"/>
            <w:left w:val="none" w:sz="0" w:space="0" w:color="auto"/>
            <w:bottom w:val="none" w:sz="0" w:space="0" w:color="auto"/>
            <w:right w:val="none" w:sz="0" w:space="0" w:color="auto"/>
          </w:divBdr>
        </w:div>
        <w:div w:id="1005789192">
          <w:marLeft w:val="1800"/>
          <w:marRight w:val="0"/>
          <w:marTop w:val="100"/>
          <w:marBottom w:val="0"/>
          <w:divBdr>
            <w:top w:val="none" w:sz="0" w:space="0" w:color="auto"/>
            <w:left w:val="none" w:sz="0" w:space="0" w:color="auto"/>
            <w:bottom w:val="none" w:sz="0" w:space="0" w:color="auto"/>
            <w:right w:val="none" w:sz="0" w:space="0" w:color="auto"/>
          </w:divBdr>
        </w:div>
        <w:div w:id="1264729601">
          <w:marLeft w:val="2520"/>
          <w:marRight w:val="0"/>
          <w:marTop w:val="100"/>
          <w:marBottom w:val="0"/>
          <w:divBdr>
            <w:top w:val="none" w:sz="0" w:space="0" w:color="auto"/>
            <w:left w:val="none" w:sz="0" w:space="0" w:color="auto"/>
            <w:bottom w:val="none" w:sz="0" w:space="0" w:color="auto"/>
            <w:right w:val="none" w:sz="0" w:space="0" w:color="auto"/>
          </w:divBdr>
        </w:div>
        <w:div w:id="1422337626">
          <w:marLeft w:val="3240"/>
          <w:marRight w:val="0"/>
          <w:marTop w:val="100"/>
          <w:marBottom w:val="0"/>
          <w:divBdr>
            <w:top w:val="none" w:sz="0" w:space="0" w:color="auto"/>
            <w:left w:val="none" w:sz="0" w:space="0" w:color="auto"/>
            <w:bottom w:val="none" w:sz="0" w:space="0" w:color="auto"/>
            <w:right w:val="none" w:sz="0" w:space="0" w:color="auto"/>
          </w:divBdr>
        </w:div>
        <w:div w:id="1927112711">
          <w:marLeft w:val="3240"/>
          <w:marRight w:val="0"/>
          <w:marTop w:val="100"/>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12067082">
          <w:marLeft w:val="1080"/>
          <w:marRight w:val="0"/>
          <w:marTop w:val="100"/>
          <w:marBottom w:val="0"/>
          <w:divBdr>
            <w:top w:val="none" w:sz="0" w:space="0" w:color="auto"/>
            <w:left w:val="none" w:sz="0" w:space="0" w:color="auto"/>
            <w:bottom w:val="none" w:sz="0" w:space="0" w:color="auto"/>
            <w:right w:val="none" w:sz="0" w:space="0" w:color="auto"/>
          </w:divBdr>
        </w:div>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918133106">
          <w:marLeft w:val="360"/>
          <w:marRight w:val="0"/>
          <w:marTop w:val="200"/>
          <w:marBottom w:val="0"/>
          <w:divBdr>
            <w:top w:val="none" w:sz="0" w:space="0" w:color="auto"/>
            <w:left w:val="none" w:sz="0" w:space="0" w:color="auto"/>
            <w:bottom w:val="none" w:sz="0" w:space="0" w:color="auto"/>
            <w:right w:val="none" w:sz="0" w:space="0" w:color="auto"/>
          </w:divBdr>
        </w:div>
        <w:div w:id="1250844209">
          <w:marLeft w:val="1080"/>
          <w:marRight w:val="0"/>
          <w:marTop w:val="1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20151362">
      <w:bodyDiv w:val="1"/>
      <w:marLeft w:val="0"/>
      <w:marRight w:val="0"/>
      <w:marTop w:val="0"/>
      <w:marBottom w:val="0"/>
      <w:divBdr>
        <w:top w:val="none" w:sz="0" w:space="0" w:color="auto"/>
        <w:left w:val="none" w:sz="0" w:space="0" w:color="auto"/>
        <w:bottom w:val="none" w:sz="0" w:space="0" w:color="auto"/>
        <w:right w:val="none" w:sz="0" w:space="0" w:color="auto"/>
      </w:divBdr>
      <w:divsChild>
        <w:div w:id="506674549">
          <w:marLeft w:val="1080"/>
          <w:marRight w:val="0"/>
          <w:marTop w:val="100"/>
          <w:marBottom w:val="0"/>
          <w:divBdr>
            <w:top w:val="none" w:sz="0" w:space="0" w:color="auto"/>
            <w:left w:val="none" w:sz="0" w:space="0" w:color="auto"/>
            <w:bottom w:val="none" w:sz="0" w:space="0" w:color="auto"/>
            <w:right w:val="none" w:sz="0" w:space="0" w:color="auto"/>
          </w:divBdr>
        </w:div>
        <w:div w:id="276454794">
          <w:marLeft w:val="1800"/>
          <w:marRight w:val="0"/>
          <w:marTop w:val="100"/>
          <w:marBottom w:val="0"/>
          <w:divBdr>
            <w:top w:val="none" w:sz="0" w:space="0" w:color="auto"/>
            <w:left w:val="none" w:sz="0" w:space="0" w:color="auto"/>
            <w:bottom w:val="none" w:sz="0" w:space="0" w:color="auto"/>
            <w:right w:val="none" w:sz="0" w:space="0" w:color="auto"/>
          </w:divBdr>
        </w:div>
        <w:div w:id="1920673197">
          <w:marLeft w:val="2520"/>
          <w:marRight w:val="0"/>
          <w:marTop w:val="100"/>
          <w:marBottom w:val="0"/>
          <w:divBdr>
            <w:top w:val="none" w:sz="0" w:space="0" w:color="auto"/>
            <w:left w:val="none" w:sz="0" w:space="0" w:color="auto"/>
            <w:bottom w:val="none" w:sz="0" w:space="0" w:color="auto"/>
            <w:right w:val="none" w:sz="0" w:space="0" w:color="auto"/>
          </w:divBdr>
        </w:div>
        <w:div w:id="1841965627">
          <w:marLeft w:val="3240"/>
          <w:marRight w:val="0"/>
          <w:marTop w:val="100"/>
          <w:marBottom w:val="0"/>
          <w:divBdr>
            <w:top w:val="none" w:sz="0" w:space="0" w:color="auto"/>
            <w:left w:val="none" w:sz="0" w:space="0" w:color="auto"/>
            <w:bottom w:val="none" w:sz="0" w:space="0" w:color="auto"/>
            <w:right w:val="none" w:sz="0" w:space="0" w:color="auto"/>
          </w:divBdr>
        </w:div>
        <w:div w:id="968513112">
          <w:marLeft w:val="324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2075933017">
          <w:marLeft w:val="1080"/>
          <w:marRight w:val="0"/>
          <w:marTop w:val="100"/>
          <w:marBottom w:val="0"/>
          <w:divBdr>
            <w:top w:val="none" w:sz="0" w:space="0" w:color="auto"/>
            <w:left w:val="none" w:sz="0" w:space="0" w:color="auto"/>
            <w:bottom w:val="none" w:sz="0" w:space="0" w:color="auto"/>
            <w:right w:val="none" w:sz="0" w:space="0" w:color="auto"/>
          </w:divBdr>
        </w:div>
        <w:div w:id="41906086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4568105">
      <w:bodyDiv w:val="1"/>
      <w:marLeft w:val="0"/>
      <w:marRight w:val="0"/>
      <w:marTop w:val="0"/>
      <w:marBottom w:val="0"/>
      <w:divBdr>
        <w:top w:val="none" w:sz="0" w:space="0" w:color="auto"/>
        <w:left w:val="none" w:sz="0" w:space="0" w:color="auto"/>
        <w:bottom w:val="none" w:sz="0" w:space="0" w:color="auto"/>
        <w:right w:val="none" w:sz="0" w:space="0" w:color="auto"/>
      </w:divBdr>
      <w:divsChild>
        <w:div w:id="26261661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4946070">
      <w:bodyDiv w:val="1"/>
      <w:marLeft w:val="0"/>
      <w:marRight w:val="0"/>
      <w:marTop w:val="0"/>
      <w:marBottom w:val="0"/>
      <w:divBdr>
        <w:top w:val="none" w:sz="0" w:space="0" w:color="auto"/>
        <w:left w:val="none" w:sz="0" w:space="0" w:color="auto"/>
        <w:bottom w:val="none" w:sz="0" w:space="0" w:color="auto"/>
        <w:right w:val="none" w:sz="0" w:space="0" w:color="auto"/>
      </w:divBdr>
      <w:divsChild>
        <w:div w:id="1987857351">
          <w:marLeft w:val="1080"/>
          <w:marRight w:val="0"/>
          <w:marTop w:val="100"/>
          <w:marBottom w:val="0"/>
          <w:divBdr>
            <w:top w:val="none" w:sz="0" w:space="0" w:color="auto"/>
            <w:left w:val="none" w:sz="0" w:space="0" w:color="auto"/>
            <w:bottom w:val="none" w:sz="0" w:space="0" w:color="auto"/>
            <w:right w:val="none" w:sz="0" w:space="0" w:color="auto"/>
          </w:divBdr>
        </w:div>
        <w:div w:id="1384132596">
          <w:marLeft w:val="1800"/>
          <w:marRight w:val="0"/>
          <w:marTop w:val="100"/>
          <w:marBottom w:val="0"/>
          <w:divBdr>
            <w:top w:val="none" w:sz="0" w:space="0" w:color="auto"/>
            <w:left w:val="none" w:sz="0" w:space="0" w:color="auto"/>
            <w:bottom w:val="none" w:sz="0" w:space="0" w:color="auto"/>
            <w:right w:val="none" w:sz="0" w:space="0" w:color="auto"/>
          </w:divBdr>
        </w:div>
        <w:div w:id="1684168609">
          <w:marLeft w:val="2520"/>
          <w:marRight w:val="0"/>
          <w:marTop w:val="100"/>
          <w:marBottom w:val="0"/>
          <w:divBdr>
            <w:top w:val="none" w:sz="0" w:space="0" w:color="auto"/>
            <w:left w:val="none" w:sz="0" w:space="0" w:color="auto"/>
            <w:bottom w:val="none" w:sz="0" w:space="0" w:color="auto"/>
            <w:right w:val="none" w:sz="0" w:space="0" w:color="auto"/>
          </w:divBdr>
        </w:div>
        <w:div w:id="939415472">
          <w:marLeft w:val="3240"/>
          <w:marRight w:val="0"/>
          <w:marTop w:val="100"/>
          <w:marBottom w:val="0"/>
          <w:divBdr>
            <w:top w:val="none" w:sz="0" w:space="0" w:color="auto"/>
            <w:left w:val="none" w:sz="0" w:space="0" w:color="auto"/>
            <w:bottom w:val="none" w:sz="0" w:space="0" w:color="auto"/>
            <w:right w:val="none" w:sz="0" w:space="0" w:color="auto"/>
          </w:divBdr>
        </w:div>
        <w:div w:id="2019042228">
          <w:marLeft w:val="3240"/>
          <w:marRight w:val="0"/>
          <w:marTop w:val="100"/>
          <w:marBottom w:val="0"/>
          <w:divBdr>
            <w:top w:val="none" w:sz="0" w:space="0" w:color="auto"/>
            <w:left w:val="none" w:sz="0" w:space="0" w:color="auto"/>
            <w:bottom w:val="none" w:sz="0" w:space="0" w:color="auto"/>
            <w:right w:val="none" w:sz="0" w:space="0" w:color="auto"/>
          </w:divBdr>
        </w:div>
        <w:div w:id="423066184">
          <w:marLeft w:val="2520"/>
          <w:marRight w:val="0"/>
          <w:marTop w:val="100"/>
          <w:marBottom w:val="0"/>
          <w:divBdr>
            <w:top w:val="none" w:sz="0" w:space="0" w:color="auto"/>
            <w:left w:val="none" w:sz="0" w:space="0" w:color="auto"/>
            <w:bottom w:val="none" w:sz="0" w:space="0" w:color="auto"/>
            <w:right w:val="none" w:sz="0" w:space="0" w:color="auto"/>
          </w:divBdr>
        </w:div>
        <w:div w:id="454105975">
          <w:marLeft w:val="3240"/>
          <w:marRight w:val="0"/>
          <w:marTop w:val="100"/>
          <w:marBottom w:val="0"/>
          <w:divBdr>
            <w:top w:val="none" w:sz="0" w:space="0" w:color="auto"/>
            <w:left w:val="none" w:sz="0" w:space="0" w:color="auto"/>
            <w:bottom w:val="none" w:sz="0" w:space="0" w:color="auto"/>
            <w:right w:val="none" w:sz="0" w:space="0" w:color="auto"/>
          </w:divBdr>
        </w:div>
        <w:div w:id="1389457673">
          <w:marLeft w:val="2520"/>
          <w:marRight w:val="0"/>
          <w:marTop w:val="100"/>
          <w:marBottom w:val="0"/>
          <w:divBdr>
            <w:top w:val="none" w:sz="0" w:space="0" w:color="auto"/>
            <w:left w:val="none" w:sz="0" w:space="0" w:color="auto"/>
            <w:bottom w:val="none" w:sz="0" w:space="0" w:color="auto"/>
            <w:right w:val="none" w:sz="0" w:space="0" w:color="auto"/>
          </w:divBdr>
        </w:div>
        <w:div w:id="1613705391">
          <w:marLeft w:val="3240"/>
          <w:marRight w:val="0"/>
          <w:marTop w:val="100"/>
          <w:marBottom w:val="0"/>
          <w:divBdr>
            <w:top w:val="none" w:sz="0" w:space="0" w:color="auto"/>
            <w:left w:val="none" w:sz="0" w:space="0" w:color="auto"/>
            <w:bottom w:val="none" w:sz="0" w:space="0" w:color="auto"/>
            <w:right w:val="none" w:sz="0" w:space="0" w:color="auto"/>
          </w:divBdr>
        </w:div>
        <w:div w:id="13583934">
          <w:marLeft w:val="3240"/>
          <w:marRight w:val="0"/>
          <w:marTop w:val="100"/>
          <w:marBottom w:val="0"/>
          <w:divBdr>
            <w:top w:val="none" w:sz="0" w:space="0" w:color="auto"/>
            <w:left w:val="none" w:sz="0" w:space="0" w:color="auto"/>
            <w:bottom w:val="none" w:sz="0" w:space="0" w:color="auto"/>
            <w:right w:val="none" w:sz="0" w:space="0" w:color="auto"/>
          </w:divBdr>
        </w:div>
        <w:div w:id="1973751054">
          <w:marLeft w:val="3240"/>
          <w:marRight w:val="0"/>
          <w:marTop w:val="100"/>
          <w:marBottom w:val="0"/>
          <w:divBdr>
            <w:top w:val="none" w:sz="0" w:space="0" w:color="auto"/>
            <w:left w:val="none" w:sz="0" w:space="0" w:color="auto"/>
            <w:bottom w:val="none" w:sz="0" w:space="0" w:color="auto"/>
            <w:right w:val="none" w:sz="0" w:space="0" w:color="auto"/>
          </w:divBdr>
        </w:div>
        <w:div w:id="127747157">
          <w:marLeft w:val="2520"/>
          <w:marRight w:val="0"/>
          <w:marTop w:val="100"/>
          <w:marBottom w:val="0"/>
          <w:divBdr>
            <w:top w:val="none" w:sz="0" w:space="0" w:color="auto"/>
            <w:left w:val="none" w:sz="0" w:space="0" w:color="auto"/>
            <w:bottom w:val="none" w:sz="0" w:space="0" w:color="auto"/>
            <w:right w:val="none" w:sz="0" w:space="0" w:color="auto"/>
          </w:divBdr>
        </w:div>
        <w:div w:id="1936554795">
          <w:marLeft w:val="3240"/>
          <w:marRight w:val="0"/>
          <w:marTop w:val="100"/>
          <w:marBottom w:val="0"/>
          <w:divBdr>
            <w:top w:val="none" w:sz="0" w:space="0" w:color="auto"/>
            <w:left w:val="none" w:sz="0" w:space="0" w:color="auto"/>
            <w:bottom w:val="none" w:sz="0" w:space="0" w:color="auto"/>
            <w:right w:val="none" w:sz="0" w:space="0" w:color="auto"/>
          </w:divBdr>
        </w:div>
        <w:div w:id="971980802">
          <w:marLeft w:val="3240"/>
          <w:marRight w:val="0"/>
          <w:marTop w:val="1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59716531">
          <w:marLeft w:val="180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2121877217">
          <w:marLeft w:val="360"/>
          <w:marRight w:val="0"/>
          <w:marTop w:val="200"/>
          <w:marBottom w:val="0"/>
          <w:divBdr>
            <w:top w:val="none" w:sz="0" w:space="0" w:color="auto"/>
            <w:left w:val="none" w:sz="0" w:space="0" w:color="auto"/>
            <w:bottom w:val="none" w:sz="0" w:space="0" w:color="auto"/>
            <w:right w:val="none" w:sz="0" w:space="0" w:color="auto"/>
          </w:divBdr>
        </w:div>
        <w:div w:id="1566070239">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DC15018C-F0E3-4A85-ABA1-4903FE90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TotalTime>
  <Pages>2</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cp:revision>
  <cp:lastPrinted>2009-04-22T06:01:00Z</cp:lastPrinted>
  <dcterms:created xsi:type="dcterms:W3CDTF">2022-04-25T12:02:00Z</dcterms:created>
  <dcterms:modified xsi:type="dcterms:W3CDTF">2022-04-25T12:07:00Z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(3)1karT/K646yNj/BKmFI8ZJ2F1qQmeFqjc4N3okC4hFH4o7YdU7a1ZbrYnHfSSBlY+VWLtyLR
ByDZreRcrWaX5Rl5ZJWvyNmZox1LDThM3TE5i/4rqUGg96lVYrXU1yKsw1ewNcqtUh/Ut2i7
dMruzHH2UnDTX5u6oB4l1aTXmd0q2iRMIDByrg53bOYG5Oq6oU/jtkmR9YwBFMCIbBsNs5AW
fFMSXH0DZrupNRQIaa</vt:lpwstr>
  </property>
  <property fmtid="{D5CDD505-2E9C-101B-9397-08002B2CF9AE}" pid="17" name="_2015_ms_pID_725343_00">
    <vt:lpwstr>_2015_ms_pID_725343</vt:lpwstr>
  </property>
  <property fmtid="{D5CDD505-2E9C-101B-9397-08002B2CF9AE}" pid="18" name="_2015_ms_pID_7253431">
    <vt:lpwstr>UeHCiUl8dSzEkvABQZv3AhIWX6VwomkEr6Ih1tT+5ktfk0365W/exm
2/jbr22de4an8m6C3bbURcWl5IsSeT0nV13sjYtsM3OkFtCSIiiSUoWD+qo9ssUxhRj582Zd
T30KQhCddeBk0gd+6EXp4EuYki7Pty1t0JM7enpmnFxoyZeDDxN1B3JLMZCNKELYLr1Fqykx
m52hHe0js3d+BYmnkWcsO1TFcqWhltV7MVZI</vt:lpwstr>
  </property>
  <property fmtid="{D5CDD505-2E9C-101B-9397-08002B2CF9AE}" pid="19" name="_2015_ms_pID_7253431_00">
    <vt:lpwstr>_2015_ms_pID_7253431</vt:lpwstr>
  </property>
  <property fmtid="{D5CDD505-2E9C-101B-9397-08002B2CF9AE}" pid="20" name="_2015_ms_pID_7253432">
    <vt:lpwstr>Hs/i3okwKo369hd7UwTs/hPoTv6aSX5weg9b
3wYj0W+xNOdYlZiQxNuGisF4BO4U3va0DYWab4OKSlPLs7xZz2U=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