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A30E0D" w:rsidRPr="00A30E0D">
        <w:rPr>
          <w:rFonts w:cs="Arial"/>
          <w:sz w:val="24"/>
          <w:szCs w:val="24"/>
        </w:rPr>
        <w:t>R4-2208944</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D6B07">
        <w:rPr>
          <w:rFonts w:ascii="Arial" w:hAnsi="Arial"/>
          <w:sz w:val="24"/>
          <w:lang w:val="en-US"/>
        </w:rPr>
        <w:t>9.9.2.</w:t>
      </w:r>
      <w:r w:rsidR="00101EAC">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920C1"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01EAC" w:rsidRPr="00101EAC">
        <w:rPr>
          <w:rFonts w:ascii="Arial" w:hAnsi="Arial"/>
          <w:sz w:val="24"/>
          <w:lang w:val="en-US"/>
        </w:rPr>
        <w:t>Discussion on performance requirements for PUCCH SCell activation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D6B07"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w:t>
      </w:r>
      <w:r w:rsidR="000365A6">
        <w:rPr>
          <w:rFonts w:eastAsiaTheme="minorEastAsia"/>
          <w:lang w:val="en-US" w:eastAsia="zh-CN"/>
        </w:rPr>
        <w:t xml:space="preserve"> the core requirements for </w:t>
      </w:r>
      <w:r w:rsidR="004C390D">
        <w:rPr>
          <w:rFonts w:eastAsiaTheme="minorEastAsia"/>
          <w:lang w:val="en-US" w:eastAsia="zh-CN"/>
        </w:rPr>
        <w:t>PUCCH activation and deactivation</w:t>
      </w:r>
      <w:r w:rsidR="0084404F">
        <w:rPr>
          <w:rFonts w:eastAsiaTheme="minorEastAsia"/>
          <w:lang w:val="en-US" w:eastAsia="zh-CN"/>
        </w:rPr>
        <w:t xml:space="preserve"> </w:t>
      </w:r>
      <w:r w:rsidR="000365A6">
        <w:rPr>
          <w:rFonts w:eastAsiaTheme="minorEastAsia"/>
          <w:lang w:val="en-US" w:eastAsia="zh-CN"/>
        </w:rPr>
        <w:t>are completed. According to the schedule, the performance requirements shall be discussed to verify the requirements. In this paper, we provide our views on how to define test cases for the corresponding requirements.</w:t>
      </w:r>
    </w:p>
    <w:p w:rsidR="00DF0231" w:rsidRDefault="00DF0231" w:rsidP="00DF0231">
      <w:pPr>
        <w:pStyle w:val="Heading1"/>
        <w:numPr>
          <w:ilvl w:val="0"/>
          <w:numId w:val="1"/>
        </w:numPr>
        <w:rPr>
          <w:lang w:val="en-US"/>
        </w:rPr>
      </w:pPr>
      <w:r w:rsidRPr="002D2977">
        <w:rPr>
          <w:lang w:val="en-US"/>
        </w:rPr>
        <w:t>Discussion</w:t>
      </w:r>
    </w:p>
    <w:p w:rsidR="009C5288" w:rsidRDefault="004C390D" w:rsidP="001E24D0">
      <w:pPr>
        <w:rPr>
          <w:rFonts w:eastAsiaTheme="minorEastAsia"/>
          <w:lang w:eastAsia="zh-CN"/>
        </w:rPr>
      </w:pPr>
      <w:r>
        <w:rPr>
          <w:rFonts w:eastAsiaTheme="minorEastAsia" w:hint="eastAsia"/>
          <w:lang w:eastAsia="zh-CN"/>
        </w:rPr>
        <w:t>The</w:t>
      </w:r>
      <w:r>
        <w:rPr>
          <w:rFonts w:eastAsiaTheme="minorEastAsia"/>
          <w:lang w:eastAsia="zh-CN"/>
        </w:rPr>
        <w:t xml:space="preserve"> performance of PUCCH SCell activation and deactivation should be verified based on the core requirements. According to the exiting requirements for SCell activation and deactivation, both delay and interruption requirements are verified. For PUCCH SCell, it is reasonable to following the same principle. </w:t>
      </w:r>
      <w:r w:rsidR="00817DA0">
        <w:rPr>
          <w:rFonts w:eastAsiaTheme="minorEastAsia"/>
          <w:lang w:eastAsia="zh-CN"/>
        </w:rPr>
        <w:t>One different point is that in legacy test cases, the ending point is when UE transmit valid CSI via PCell, while for PUCCH SCell activation, UE should be tested whether it can transmit valid CSI via PUCCH SCell.</w:t>
      </w:r>
    </w:p>
    <w:p w:rsidR="00817DA0" w:rsidRPr="008B6BAD" w:rsidRDefault="00817DA0" w:rsidP="001E24D0">
      <w:pPr>
        <w:rPr>
          <w:rFonts w:eastAsiaTheme="minorEastAsia"/>
          <w:b/>
          <w:lang w:eastAsia="zh-CN"/>
        </w:rPr>
      </w:pPr>
      <w:r w:rsidRPr="008B6BAD">
        <w:rPr>
          <w:rFonts w:eastAsiaTheme="minorEastAsia"/>
          <w:b/>
          <w:lang w:eastAsia="zh-CN"/>
        </w:rPr>
        <w:t>Observation 1: For PUCCH SCell activation test cases, UE should be tested whether it can transmit valid CSI via PUCCH SCell.</w:t>
      </w:r>
    </w:p>
    <w:p w:rsidR="00817DA0" w:rsidRDefault="00817DA0" w:rsidP="001E24D0">
      <w:r>
        <w:rPr>
          <w:rFonts w:eastAsiaTheme="minorEastAsia"/>
          <w:lang w:eastAsia="zh-CN"/>
        </w:rPr>
        <w:t xml:space="preserve">Another different point is that there is UL preparation stage </w:t>
      </w:r>
      <w:r w:rsidR="00716995">
        <w:rPr>
          <w:rFonts w:eastAsiaTheme="minorEastAsia"/>
          <w:lang w:eastAsia="zh-CN"/>
        </w:rPr>
        <w:t xml:space="preserve">in the activation processing. For valid TA case, compared with </w:t>
      </w:r>
      <w:r w:rsidR="00BB5EE8">
        <w:rPr>
          <w:rFonts w:eastAsiaTheme="minorEastAsia"/>
          <w:lang w:eastAsia="zh-CN"/>
        </w:rPr>
        <w:t xml:space="preserve">legacy SCell activation procedure, the only difference is the PL-RS measurement time. For invalid TA case, there is TA updating process. </w:t>
      </w:r>
      <w:r w:rsidR="0095655D">
        <w:rPr>
          <w:rFonts w:eastAsiaTheme="minorEastAsia"/>
          <w:lang w:eastAsia="zh-CN"/>
        </w:rPr>
        <w:t xml:space="preserve">According to the initial discussion about test case list before the meeting, it is suggested to have both valid and invalid TA case in each test case. For invalid TA case, PUCCH SCell should be configured with sTAG, and the </w:t>
      </w:r>
      <w:r w:rsidR="0095655D" w:rsidRPr="006F4D85">
        <w:t>TimeAlignmentTimer</w:t>
      </w:r>
      <w:r w:rsidR="0095655D">
        <w:t xml:space="preserve"> should expires before UE receives the activation command.</w:t>
      </w:r>
    </w:p>
    <w:p w:rsidR="0095655D" w:rsidRPr="00D50647" w:rsidRDefault="00D50647" w:rsidP="001E24D0">
      <w:pPr>
        <w:rPr>
          <w:b/>
        </w:rPr>
      </w:pPr>
      <w:r w:rsidRPr="00D50647">
        <w:rPr>
          <w:rFonts w:eastAsiaTheme="minorEastAsia" w:hint="eastAsia"/>
          <w:b/>
          <w:lang w:val="en-US" w:eastAsia="zh-CN"/>
        </w:rPr>
        <w:t>P</w:t>
      </w:r>
      <w:r w:rsidRPr="00D50647">
        <w:rPr>
          <w:rFonts w:eastAsiaTheme="minorEastAsia"/>
          <w:b/>
          <w:lang w:val="en-US" w:eastAsia="zh-CN"/>
        </w:rPr>
        <w:t xml:space="preserve">roposal 1: Define two sub test in each test cases for valid TA and invalid TA scenarios, where PUCCH SCell is configured with sTAG. </w:t>
      </w:r>
      <w:r w:rsidRPr="00D50647">
        <w:rPr>
          <w:b/>
        </w:rPr>
        <w:t>TimeAlignmentTimer should expires before UE receives the activation command for invalid TA case, and UE needs to be provided with new Timing Advance Command MAC control element at least once during each time alignment timer period to maintain uplink time alignment for sTAG for valid TA case.</w:t>
      </w:r>
    </w:p>
    <w:p w:rsidR="00FB2809" w:rsidRDefault="00D50647" w:rsidP="001E24D0">
      <w:pPr>
        <w:rPr>
          <w:rFonts w:eastAsiaTheme="minorEastAsia"/>
          <w:lang w:val="en-US" w:eastAsia="zh-CN"/>
        </w:rPr>
      </w:pPr>
      <w:r>
        <w:rPr>
          <w:rFonts w:eastAsiaTheme="minorEastAsia" w:hint="eastAsia"/>
          <w:lang w:val="en-US" w:eastAsia="zh-CN"/>
        </w:rPr>
        <w:t>A</w:t>
      </w:r>
      <w:r>
        <w:rPr>
          <w:rFonts w:eastAsiaTheme="minorEastAsia"/>
          <w:lang w:val="en-US" w:eastAsia="zh-CN"/>
        </w:rPr>
        <w:t>nother issue is about LTE/FR1 test</w:t>
      </w:r>
      <w:r w:rsidR="00AC3B45">
        <w:rPr>
          <w:rFonts w:eastAsiaTheme="minorEastAsia"/>
          <w:lang w:val="en-US" w:eastAsia="zh-CN"/>
        </w:rPr>
        <w:t xml:space="preserve"> testability </w:t>
      </w:r>
      <w:r>
        <w:rPr>
          <w:rFonts w:eastAsiaTheme="minorEastAsia"/>
          <w:lang w:val="en-US" w:eastAsia="zh-CN"/>
        </w:rPr>
        <w:t xml:space="preserve">issue [2]. According to the test case list </w:t>
      </w:r>
      <w:r w:rsidR="00AC3B45">
        <w:rPr>
          <w:rFonts w:eastAsiaTheme="minorEastAsia"/>
          <w:lang w:val="en-US" w:eastAsia="zh-CN"/>
        </w:rPr>
        <w:t xml:space="preserve">discussed in pre-meeting email discussion, there are test cases to verify FR2 PUCCH Cell activation and deactivation requirements. According to the conclusion about testability issue, there is problem if the UE receives DL message on FR1/LTE. </w:t>
      </w:r>
      <w:r w:rsidR="00266B95">
        <w:rPr>
          <w:rFonts w:eastAsiaTheme="minorEastAsia"/>
          <w:lang w:val="en-US" w:eastAsia="zh-CN"/>
        </w:rPr>
        <w:t xml:space="preserve">For NR SA when the PCell is in FR2, there is no such problem. But when PCell is in FR1, UE may suffer the FR1/LTE + FR2 testability issue. One approach it to have another FR2 serving cell belong to primary PUCCH group before activating the FR2 PUCCH SCell, and the DL message can be transmitted via the FR2 SCell. But it should be noted that TE should make sure that the FR2 SCell is successfully activated before activating the PUCCH SCell, as the performance of FR1 PCell can also not be guaranteed when activating the this FR2 SCell. </w:t>
      </w:r>
    </w:p>
    <w:p w:rsidR="00266B95" w:rsidRDefault="00FB2809" w:rsidP="001E24D0">
      <w:pPr>
        <w:rPr>
          <w:rFonts w:eastAsiaTheme="minorEastAsia"/>
          <w:lang w:val="en-US" w:eastAsia="zh-CN"/>
        </w:rPr>
      </w:pPr>
      <w:r>
        <w:rPr>
          <w:rFonts w:eastAsiaTheme="minorEastAsia"/>
          <w:lang w:val="en-US" w:eastAsia="zh-CN"/>
        </w:rPr>
        <w:t>However, for invalid TA case, according to RAN1 spec TS38.213, UE can only monitor CSS for RACH in primary cell. Thus, anyway UE needs to receive RAR in PCell. Also, for unknown case, UE may needs to report L1-RSRP via FR1 to indicate the beam information to NW. So for the case when PCell is in FR1 and PUCCH cell is in FR2, it is suggested to only define test cases for valid TA case and the PUCCH SCell is known.</w:t>
      </w:r>
    </w:p>
    <w:p w:rsidR="00AC3B45" w:rsidRPr="00DD4A3F" w:rsidRDefault="00AC3B45" w:rsidP="001E24D0">
      <w:pPr>
        <w:rPr>
          <w:rFonts w:eastAsiaTheme="minorEastAsia"/>
          <w:b/>
          <w:lang w:val="en-US" w:eastAsia="zh-CN"/>
        </w:rPr>
      </w:pPr>
      <w:r w:rsidRPr="00DD4A3F">
        <w:rPr>
          <w:rFonts w:eastAsiaTheme="minorEastAsia"/>
          <w:b/>
          <w:lang w:val="en-US" w:eastAsia="zh-CN"/>
        </w:rPr>
        <w:t>Proposal 2: For NR SA case, when the to-be-activated PUCCH SCell is in FR2</w:t>
      </w:r>
      <w:r w:rsidR="00266B95">
        <w:rPr>
          <w:rFonts w:eastAsiaTheme="minorEastAsia"/>
          <w:b/>
          <w:lang w:val="en-US" w:eastAsia="zh-CN"/>
        </w:rPr>
        <w:t xml:space="preserve"> and</w:t>
      </w:r>
      <w:r w:rsidRPr="00DD4A3F">
        <w:rPr>
          <w:rFonts w:eastAsiaTheme="minorEastAsia"/>
          <w:b/>
          <w:lang w:val="en-US" w:eastAsia="zh-CN"/>
        </w:rPr>
        <w:t xml:space="preserve"> PCell </w:t>
      </w:r>
      <w:r w:rsidR="00266B95">
        <w:rPr>
          <w:rFonts w:eastAsiaTheme="minorEastAsia"/>
          <w:b/>
          <w:lang w:val="en-US" w:eastAsia="zh-CN"/>
        </w:rPr>
        <w:t xml:space="preserve">is </w:t>
      </w:r>
      <w:r w:rsidRPr="00DD4A3F">
        <w:rPr>
          <w:rFonts w:eastAsiaTheme="minorEastAsia"/>
          <w:b/>
          <w:lang w:val="en-US" w:eastAsia="zh-CN"/>
        </w:rPr>
        <w:t>in FR</w:t>
      </w:r>
      <w:r w:rsidR="00266B95">
        <w:rPr>
          <w:rFonts w:eastAsiaTheme="minorEastAsia"/>
          <w:b/>
          <w:lang w:val="en-US" w:eastAsia="zh-CN"/>
        </w:rPr>
        <w:t xml:space="preserve">1, </w:t>
      </w:r>
      <w:r w:rsidR="00FB2809">
        <w:rPr>
          <w:rFonts w:eastAsiaTheme="minorEastAsia"/>
          <w:b/>
          <w:lang w:val="en-US" w:eastAsia="zh-CN"/>
        </w:rPr>
        <w:t>only define test cases for known case with valid TA. A</w:t>
      </w:r>
      <w:r w:rsidR="00266B95">
        <w:rPr>
          <w:rFonts w:eastAsiaTheme="minorEastAsia"/>
          <w:b/>
          <w:lang w:val="en-US" w:eastAsia="zh-CN"/>
        </w:rPr>
        <w:t>nother FR2 serving cell should be configured in the test, and TE shall guaranteed that the FR2 serving cell is successfully activated before activation the PUCCH SCell.</w:t>
      </w:r>
    </w:p>
    <w:p w:rsidR="006B450E" w:rsidRDefault="00AC3B45" w:rsidP="001E24D0">
      <w:pPr>
        <w:rPr>
          <w:rFonts w:eastAsiaTheme="minorEastAsia"/>
          <w:lang w:val="en-US" w:eastAsia="zh-CN"/>
        </w:rPr>
      </w:pPr>
      <w:r>
        <w:rPr>
          <w:rFonts w:eastAsiaTheme="minorEastAsia"/>
          <w:lang w:val="en-US" w:eastAsia="zh-CN"/>
        </w:rPr>
        <w:t>Similarly, for EN-DC case,</w:t>
      </w:r>
      <w:r w:rsidR="006B450E">
        <w:rPr>
          <w:rFonts w:eastAsiaTheme="minorEastAsia"/>
          <w:lang w:val="en-US" w:eastAsia="zh-CN"/>
        </w:rPr>
        <w:t xml:space="preserve"> UE may have problem on receiving DL message on FR1/LTE for activation and deactivation command, and also reporting L1-RSRP via primary PUCCH group for unknown case. However, </w:t>
      </w:r>
      <w:r w:rsidR="006B450E">
        <w:rPr>
          <w:rFonts w:eastAsiaTheme="minorEastAsia"/>
          <w:lang w:val="en-US" w:eastAsia="zh-CN"/>
        </w:rPr>
        <w:lastRenderedPageBreak/>
        <w:t>according to restriction in TS38.331 as follows. For EN-DC, it means if the PSCell is in FR2, then UE cannot be configured with a PUCCH SCell in FR2.</w:t>
      </w:r>
      <w:r w:rsidR="00881F7D">
        <w:rPr>
          <w:rFonts w:eastAsiaTheme="minorEastAsia"/>
          <w:lang w:val="en-US" w:eastAsia="zh-CN"/>
        </w:rPr>
        <w:t xml:space="preserve"> Thus, some of the proposed test cases in the test case list in pre-meeting email discussion seems invalid. </w:t>
      </w:r>
    </w:p>
    <w:p w:rsidR="00881F7D" w:rsidRPr="00881F7D" w:rsidRDefault="00881F7D" w:rsidP="001E24D0">
      <w:pPr>
        <w:rPr>
          <w:rFonts w:eastAsiaTheme="minorEastAsia"/>
          <w:b/>
          <w:lang w:val="en-US" w:eastAsia="zh-CN"/>
        </w:rPr>
      </w:pPr>
      <w:r w:rsidRPr="00881F7D">
        <w:rPr>
          <w:rFonts w:eastAsiaTheme="minorEastAsia"/>
          <w:b/>
          <w:lang w:val="en-US" w:eastAsia="zh-CN"/>
        </w:rPr>
        <w:t>Observation</w:t>
      </w:r>
      <w:r w:rsidR="00F87B33">
        <w:rPr>
          <w:rFonts w:eastAsiaTheme="minorEastAsia"/>
          <w:b/>
          <w:lang w:val="en-US" w:eastAsia="zh-CN"/>
        </w:rPr>
        <w:t>2</w:t>
      </w:r>
      <w:r w:rsidRPr="00881F7D">
        <w:rPr>
          <w:rFonts w:eastAsiaTheme="minorEastAsia"/>
          <w:b/>
          <w:lang w:val="en-US" w:eastAsia="zh-CN"/>
        </w:rPr>
        <w:t>: For EN-DC, if the PSCell is in FR2, UE cannot be configured with a PUCCH SCell in FR2.</w:t>
      </w:r>
    </w:p>
    <w:p w:rsidR="00881F7D" w:rsidRDefault="00881F7D" w:rsidP="001E24D0">
      <w:pPr>
        <w:rPr>
          <w:rFonts w:eastAsiaTheme="minorEastAsia"/>
          <w:lang w:val="en-US" w:eastAsia="zh-CN"/>
        </w:rPr>
      </w:pPr>
    </w:p>
    <w:tbl>
      <w:tblPr>
        <w:tblStyle w:val="TableGrid"/>
        <w:tblW w:w="0" w:type="auto"/>
        <w:tblLook w:val="04A0" w:firstRow="1" w:lastRow="0" w:firstColumn="1" w:lastColumn="0" w:noHBand="0" w:noVBand="1"/>
      </w:tblPr>
      <w:tblGrid>
        <w:gridCol w:w="9562"/>
      </w:tblGrid>
      <w:tr w:rsidR="006B450E" w:rsidTr="006B450E">
        <w:tc>
          <w:tcPr>
            <w:tcW w:w="9562" w:type="dxa"/>
          </w:tcPr>
          <w:p w:rsidR="006B450E" w:rsidRPr="006B450E" w:rsidRDefault="006B450E" w:rsidP="006B450E">
            <w:pPr>
              <w:keepNext/>
              <w:keepLines/>
              <w:overflowPunct w:val="0"/>
              <w:autoSpaceDE w:val="0"/>
              <w:autoSpaceDN w:val="0"/>
              <w:adjustRightInd w:val="0"/>
              <w:spacing w:after="0"/>
              <w:rPr>
                <w:rFonts w:ascii="Arial" w:eastAsia="Times New Roman" w:hAnsi="Arial" w:cs="Arial"/>
                <w:kern w:val="2"/>
                <w:sz w:val="18"/>
                <w:szCs w:val="22"/>
                <w:lang w:eastAsia="sv-SE"/>
              </w:rPr>
            </w:pPr>
            <w:r w:rsidRPr="006B450E">
              <w:rPr>
                <w:rFonts w:ascii="Arial" w:eastAsia="Times New Roman" w:hAnsi="Arial" w:cs="Arial"/>
                <w:b/>
                <w:i/>
                <w:kern w:val="2"/>
                <w:sz w:val="18"/>
                <w:szCs w:val="22"/>
                <w:lang w:eastAsia="sv-SE"/>
              </w:rPr>
              <w:t>pucch-Config</w:t>
            </w:r>
          </w:p>
          <w:p w:rsidR="006B450E" w:rsidRPr="006B450E" w:rsidRDefault="006B450E" w:rsidP="006B450E">
            <w:pPr>
              <w:keepNext/>
              <w:keepLines/>
              <w:overflowPunct w:val="0"/>
              <w:autoSpaceDE w:val="0"/>
              <w:autoSpaceDN w:val="0"/>
              <w:adjustRightInd w:val="0"/>
              <w:spacing w:after="0"/>
              <w:rPr>
                <w:rFonts w:ascii="Arial" w:eastAsia="Times New Roman" w:hAnsi="Arial" w:cs="Arial"/>
                <w:kern w:val="2"/>
                <w:sz w:val="18"/>
                <w:szCs w:val="22"/>
                <w:lang w:eastAsia="sv-SE"/>
              </w:rPr>
            </w:pPr>
            <w:r w:rsidRPr="006B450E">
              <w:rPr>
                <w:rFonts w:ascii="Arial" w:eastAsia="Times New Roman" w:hAnsi="Arial" w:cs="Arial"/>
                <w:kern w:val="2"/>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6B450E">
              <w:rPr>
                <w:rFonts w:ascii="Arial" w:eastAsia="Times New Roman" w:hAnsi="Arial" w:cs="Arial"/>
                <w:i/>
                <w:kern w:val="2"/>
                <w:sz w:val="18"/>
                <w:szCs w:val="22"/>
                <w:lang w:eastAsia="sv-SE"/>
              </w:rPr>
              <w:t>PUCCH-Config</w:t>
            </w:r>
            <w:r w:rsidRPr="006B450E">
              <w:rPr>
                <w:rFonts w:ascii="Arial" w:eastAsia="Times New Roman" w:hAnsi="Arial" w:cs="Arial"/>
                <w:kern w:val="2"/>
                <w:sz w:val="18"/>
                <w:szCs w:val="22"/>
                <w:lang w:eastAsia="sv-SE"/>
              </w:rPr>
              <w:t xml:space="preserve"> at least on non-initial BWP(s) for SpCell and PUCCH SCell. If supported by the UE, the network may configure at most one additional SCell of a cell group with </w:t>
            </w:r>
            <w:r w:rsidRPr="006B450E">
              <w:rPr>
                <w:rFonts w:ascii="Arial" w:eastAsia="Times New Roman" w:hAnsi="Arial" w:cs="Arial"/>
                <w:i/>
                <w:kern w:val="2"/>
                <w:sz w:val="18"/>
                <w:szCs w:val="22"/>
                <w:lang w:eastAsia="sv-SE"/>
              </w:rPr>
              <w:t>PUCCH-Config</w:t>
            </w:r>
            <w:r w:rsidRPr="006B450E">
              <w:rPr>
                <w:rFonts w:ascii="Arial" w:eastAsia="Times New Roman" w:hAnsi="Arial" w:cs="Arial"/>
                <w:kern w:val="2"/>
                <w:sz w:val="18"/>
                <w:szCs w:val="22"/>
                <w:lang w:eastAsia="sv-SE"/>
              </w:rPr>
              <w:t xml:space="preserve"> (i.e. PUCCH SCell) ; if PUCCH cell switching is supported by the UE, the network may configure at most one additional SCell with </w:t>
            </w:r>
            <w:r w:rsidRPr="006B450E">
              <w:rPr>
                <w:rFonts w:ascii="Arial" w:eastAsia="Times New Roman" w:hAnsi="Arial" w:cs="Arial"/>
                <w:i/>
                <w:iCs/>
                <w:kern w:val="2"/>
                <w:sz w:val="18"/>
                <w:szCs w:val="22"/>
                <w:lang w:eastAsia="sv-SE"/>
              </w:rPr>
              <w:t>PUCCH-Config</w:t>
            </w:r>
            <w:r w:rsidRPr="006B450E">
              <w:rPr>
                <w:rFonts w:ascii="Arial" w:eastAsia="Times New Roman" w:hAnsi="Arial" w:cs="Arial"/>
                <w:kern w:val="2"/>
                <w:sz w:val="18"/>
                <w:szCs w:val="22"/>
                <w:lang w:eastAsia="sv-SE"/>
              </w:rPr>
              <w:t xml:space="preserve"> within each PUCCH group.</w:t>
            </w:r>
          </w:p>
          <w:p w:rsidR="006B450E" w:rsidRPr="006B450E" w:rsidRDefault="006B450E" w:rsidP="006B450E">
            <w:pPr>
              <w:keepNext/>
              <w:keepLines/>
              <w:overflowPunct w:val="0"/>
              <w:autoSpaceDE w:val="0"/>
              <w:autoSpaceDN w:val="0"/>
              <w:adjustRightInd w:val="0"/>
              <w:spacing w:after="0"/>
              <w:rPr>
                <w:rFonts w:ascii="Arial" w:eastAsia="Times New Roman" w:hAnsi="Arial" w:cs="Arial"/>
                <w:kern w:val="2"/>
                <w:sz w:val="18"/>
                <w:szCs w:val="22"/>
                <w:lang w:eastAsia="sv-SE"/>
              </w:rPr>
            </w:pPr>
            <w:r w:rsidRPr="006B450E">
              <w:rPr>
                <w:rFonts w:ascii="Arial" w:eastAsia="Times New Roman" w:hAnsi="Arial" w:cs="Arial"/>
                <w:kern w:val="2"/>
                <w:sz w:val="18"/>
                <w:szCs w:val="22"/>
                <w:lang w:eastAsia="sv-SE"/>
              </w:rPr>
              <w:t>In</w:t>
            </w:r>
            <w:r w:rsidRPr="006B450E">
              <w:rPr>
                <w:rFonts w:ascii="Arial" w:eastAsia="Times New Roman" w:hAnsi="Arial" w:cs="Arial"/>
                <w:kern w:val="2"/>
                <w:sz w:val="18"/>
                <w:szCs w:val="22"/>
                <w:lang w:eastAsia="ja-JP"/>
              </w:rPr>
              <w:t xml:space="preserve"> (NG)</w:t>
            </w:r>
            <w:r w:rsidRPr="006B450E">
              <w:rPr>
                <w:rFonts w:ascii="Arial" w:eastAsia="Times New Roman" w:hAnsi="Arial" w:cs="Arial"/>
                <w:kern w:val="2"/>
                <w:sz w:val="18"/>
                <w:szCs w:val="22"/>
                <w:lang w:eastAsia="sv-SE"/>
              </w:rPr>
              <w:t>EN-DC</w:t>
            </w:r>
            <w:r w:rsidRPr="006B450E">
              <w:rPr>
                <w:rFonts w:ascii="Arial" w:eastAsia="Times New Roman" w:hAnsi="Arial" w:cs="Arial"/>
                <w:kern w:val="2"/>
                <w:sz w:val="18"/>
                <w:szCs w:val="22"/>
                <w:lang w:eastAsia="ja-JP"/>
              </w:rPr>
              <w:t xml:space="preserve"> and NE-DC</w:t>
            </w:r>
            <w:r w:rsidRPr="006B450E">
              <w:rPr>
                <w:rFonts w:ascii="Arial" w:eastAsia="Times New Roman" w:hAnsi="Arial" w:cs="Arial"/>
                <w:kern w:val="2"/>
                <w:sz w:val="18"/>
                <w:szCs w:val="22"/>
                <w:lang w:eastAsia="sv-SE"/>
              </w:rPr>
              <w:t xml:space="preserve">, the NW configures </w:t>
            </w:r>
            <w:r w:rsidRPr="006B450E">
              <w:rPr>
                <w:rFonts w:ascii="Arial" w:eastAsia="Times New Roman" w:hAnsi="Arial" w:cs="Arial"/>
                <w:kern w:val="2"/>
                <w:sz w:val="18"/>
                <w:szCs w:val="22"/>
                <w:highlight w:val="yellow"/>
                <w:lang w:eastAsia="sv-SE"/>
              </w:rPr>
              <w:t>at most one serving cell per frequency range with PUCCH</w:t>
            </w:r>
            <w:r w:rsidRPr="006B450E">
              <w:rPr>
                <w:rFonts w:ascii="Arial" w:eastAsia="Times New Roman" w:hAnsi="Arial" w:cs="Arial"/>
                <w:kern w:val="2"/>
                <w:sz w:val="18"/>
                <w:szCs w:val="22"/>
                <w:lang w:eastAsia="sv-SE"/>
              </w:rPr>
              <w:t xml:space="preserve">. In </w:t>
            </w:r>
            <w:r w:rsidRPr="006B450E">
              <w:rPr>
                <w:rFonts w:ascii="Arial" w:eastAsia="Times New Roman" w:hAnsi="Arial" w:cs="Arial"/>
                <w:kern w:val="2"/>
                <w:sz w:val="18"/>
                <w:szCs w:val="22"/>
                <w:lang w:eastAsia="ja-JP"/>
              </w:rPr>
              <w:t>(NG)</w:t>
            </w:r>
            <w:r w:rsidRPr="006B450E">
              <w:rPr>
                <w:rFonts w:ascii="Arial" w:eastAsia="Times New Roman" w:hAnsi="Arial" w:cs="Arial"/>
                <w:kern w:val="2"/>
                <w:sz w:val="18"/>
                <w:szCs w:val="22"/>
                <w:lang w:eastAsia="sv-SE"/>
              </w:rPr>
              <w:t>EN-DC</w:t>
            </w:r>
            <w:r w:rsidRPr="006B450E">
              <w:rPr>
                <w:rFonts w:ascii="Arial" w:eastAsia="Times New Roman" w:hAnsi="Arial" w:cs="Arial"/>
                <w:kern w:val="2"/>
                <w:sz w:val="18"/>
                <w:szCs w:val="22"/>
                <w:lang w:eastAsia="ja-JP"/>
              </w:rPr>
              <w:t xml:space="preserve"> and NE-DC</w:t>
            </w:r>
            <w:r w:rsidRPr="006B450E">
              <w:rPr>
                <w:rFonts w:ascii="Arial" w:eastAsia="Times New Roman" w:hAnsi="Arial" w:cs="Arial"/>
                <w:kern w:val="2"/>
                <w:sz w:val="18"/>
                <w:szCs w:val="22"/>
                <w:lang w:eastAsia="sv-SE"/>
              </w:rPr>
              <w:t>, if two PUCCH groups are configured, the serving cells of the NR PUCCH group in FR2 use the same numerology.</w:t>
            </w:r>
            <w:r w:rsidRPr="006B450E">
              <w:rPr>
                <w:rFonts w:ascii="Arial" w:eastAsia="Times New Roman" w:hAnsi="Arial" w:cs="Arial"/>
                <w:kern w:val="2"/>
                <w:sz w:val="18"/>
                <w:szCs w:val="22"/>
                <w:lang w:eastAsia="ja-JP"/>
              </w:rPr>
              <w:t xml:space="preserve"> For NR-DC, the maximum number of PUCCH groups in each cell group is one, and only the same numerology is supported for the cell group with carriers only in FR2.</w:t>
            </w:r>
          </w:p>
          <w:p w:rsidR="006B450E" w:rsidRPr="006B450E" w:rsidRDefault="006B450E" w:rsidP="006B450E">
            <w:pPr>
              <w:keepNext/>
              <w:keepLines/>
              <w:overflowPunct w:val="0"/>
              <w:autoSpaceDE w:val="0"/>
              <w:autoSpaceDN w:val="0"/>
              <w:adjustRightInd w:val="0"/>
              <w:spacing w:after="0"/>
              <w:rPr>
                <w:rFonts w:ascii="Arial" w:eastAsia="Times New Roman" w:hAnsi="Arial" w:cs="Arial"/>
                <w:kern w:val="2"/>
                <w:sz w:val="18"/>
                <w:szCs w:val="22"/>
                <w:lang w:eastAsia="sv-SE"/>
              </w:rPr>
            </w:pPr>
            <w:r w:rsidRPr="006B450E">
              <w:rPr>
                <w:rFonts w:ascii="Arial" w:eastAsia="Times New Roman" w:hAnsi="Arial" w:cs="Arial"/>
                <w:kern w:val="2"/>
                <w:sz w:val="18"/>
                <w:szCs w:val="22"/>
                <w:lang w:eastAsia="sv-SE"/>
              </w:rPr>
              <w:t xml:space="preserve">The NW may configure PUCCH for a BWP when setting up the BWP. The network may also add/remove the </w:t>
            </w:r>
            <w:r w:rsidRPr="006B450E">
              <w:rPr>
                <w:rFonts w:ascii="Arial" w:eastAsia="Times New Roman" w:hAnsi="Arial" w:cs="Arial"/>
                <w:i/>
                <w:kern w:val="2"/>
                <w:sz w:val="18"/>
                <w:szCs w:val="22"/>
                <w:lang w:eastAsia="sv-SE"/>
              </w:rPr>
              <w:t>pucch-Config</w:t>
            </w:r>
            <w:r w:rsidRPr="006B450E">
              <w:rPr>
                <w:rFonts w:ascii="Arial" w:eastAsia="Times New Roman" w:hAnsi="Arial" w:cs="Arial"/>
                <w:kern w:val="2"/>
                <w:sz w:val="18"/>
                <w:szCs w:val="22"/>
                <w:lang w:eastAsia="sv-SE"/>
              </w:rPr>
              <w:t xml:space="preserve"> in an </w:t>
            </w:r>
            <w:r w:rsidRPr="006B450E">
              <w:rPr>
                <w:rFonts w:ascii="Arial" w:eastAsia="Times New Roman" w:hAnsi="Arial" w:cs="Arial"/>
                <w:i/>
                <w:kern w:val="2"/>
                <w:sz w:val="18"/>
                <w:szCs w:val="22"/>
                <w:lang w:eastAsia="sv-SE"/>
              </w:rPr>
              <w:t>RRCReconfiguration</w:t>
            </w:r>
            <w:r w:rsidRPr="006B450E">
              <w:rPr>
                <w:rFonts w:ascii="Arial" w:eastAsia="Times New Roman" w:hAnsi="Arial" w:cs="Arial"/>
                <w:kern w:val="2"/>
                <w:sz w:val="18"/>
                <w:szCs w:val="22"/>
                <w:lang w:eastAsia="sv-SE"/>
              </w:rPr>
              <w:t xml:space="preserve"> with </w:t>
            </w:r>
            <w:r w:rsidRPr="006B450E">
              <w:rPr>
                <w:rFonts w:ascii="Arial" w:eastAsia="Times New Roman" w:hAnsi="Arial" w:cs="Arial"/>
                <w:i/>
                <w:kern w:val="2"/>
                <w:sz w:val="18"/>
                <w:szCs w:val="22"/>
                <w:lang w:eastAsia="sv-SE"/>
              </w:rPr>
              <w:t>reconfigurationWithSync</w:t>
            </w:r>
            <w:r w:rsidRPr="006B450E">
              <w:rPr>
                <w:rFonts w:ascii="Arial" w:eastAsia="Times New Roman" w:hAnsi="Arial" w:cs="Arial"/>
                <w:kern w:val="2"/>
                <w:sz w:val="18"/>
                <w:szCs w:val="22"/>
                <w:lang w:eastAsia="sv-SE"/>
              </w:rPr>
              <w:t xml:space="preserve"> (for SpCell or </w:t>
            </w:r>
            <w:r w:rsidRPr="006B450E">
              <w:rPr>
                <w:rFonts w:ascii="Arial" w:eastAsia="Times New Roman" w:hAnsi="Arial" w:cs="Arial"/>
                <w:kern w:val="2"/>
                <w:sz w:val="18"/>
                <w:szCs w:val="22"/>
                <w:lang w:eastAsia="zh-CN"/>
              </w:rPr>
              <w:t xml:space="preserve">PUCCH </w:t>
            </w:r>
            <w:r w:rsidRPr="006B450E">
              <w:rPr>
                <w:rFonts w:ascii="Arial" w:eastAsia="Times New Roman" w:hAnsi="Arial" w:cs="Arial"/>
                <w:kern w:val="2"/>
                <w:sz w:val="18"/>
                <w:szCs w:val="22"/>
                <w:lang w:eastAsia="sv-SE"/>
              </w:rPr>
              <w:t xml:space="preserve">SCell) </w:t>
            </w:r>
            <w:r w:rsidRPr="006B450E">
              <w:rPr>
                <w:rFonts w:ascii="Arial" w:eastAsia="Times New Roman" w:hAnsi="Arial" w:cs="Arial"/>
                <w:kern w:val="2"/>
                <w:sz w:val="18"/>
                <w:szCs w:val="22"/>
                <w:lang w:eastAsia="zh-CN"/>
              </w:rPr>
              <w:t xml:space="preserve">or with SCell release and add (for PUCCH SCell) </w:t>
            </w:r>
            <w:r w:rsidRPr="006B450E">
              <w:rPr>
                <w:rFonts w:ascii="Arial" w:eastAsia="Times New Roman" w:hAnsi="Arial" w:cs="Arial"/>
                <w:kern w:val="2"/>
                <w:sz w:val="18"/>
                <w:szCs w:val="22"/>
                <w:lang w:eastAsia="sv-SE"/>
              </w:rPr>
              <w:t xml:space="preserve">to move the PUCCH between the UL and SUL carrier of one serving cell. In other cases, only modifications of a previously configured </w:t>
            </w:r>
            <w:r w:rsidRPr="006B450E">
              <w:rPr>
                <w:rFonts w:ascii="Arial" w:eastAsia="Times New Roman" w:hAnsi="Arial" w:cs="Arial"/>
                <w:i/>
                <w:kern w:val="2"/>
                <w:sz w:val="18"/>
                <w:szCs w:val="22"/>
                <w:lang w:eastAsia="sv-SE"/>
              </w:rPr>
              <w:t>pucch-Config</w:t>
            </w:r>
            <w:r w:rsidRPr="006B450E">
              <w:rPr>
                <w:rFonts w:ascii="Arial" w:eastAsia="Times New Roman" w:hAnsi="Arial" w:cs="Arial"/>
                <w:kern w:val="2"/>
                <w:sz w:val="18"/>
                <w:szCs w:val="22"/>
                <w:lang w:eastAsia="sv-SE"/>
              </w:rPr>
              <w:t xml:space="preserve"> are allowed.</w:t>
            </w:r>
          </w:p>
          <w:p w:rsidR="006B450E" w:rsidRDefault="006B450E" w:rsidP="006B450E">
            <w:pPr>
              <w:rPr>
                <w:rFonts w:eastAsiaTheme="minorEastAsia"/>
                <w:lang w:val="en-US" w:eastAsia="zh-CN"/>
              </w:rPr>
            </w:pPr>
            <w:r w:rsidRPr="006B450E">
              <w:rPr>
                <w:rFonts w:eastAsia="Times New Roman"/>
                <w:szCs w:val="22"/>
                <w:lang w:eastAsia="sv-SE"/>
              </w:rPr>
              <w:t>If one (S)UL BWP of a serving cell is configured with PUCCH, all other (S)UL BWPs must be configured with PUCCH, too.</w:t>
            </w:r>
          </w:p>
        </w:tc>
      </w:tr>
    </w:tbl>
    <w:p w:rsidR="006B450E" w:rsidRDefault="006B450E" w:rsidP="001E24D0">
      <w:pPr>
        <w:rPr>
          <w:rFonts w:eastAsiaTheme="minorEastAsia"/>
          <w:lang w:val="en-US" w:eastAsia="zh-CN"/>
        </w:rPr>
      </w:pPr>
    </w:p>
    <w:p w:rsidR="00881F7D" w:rsidRDefault="00881F7D" w:rsidP="00881F7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hus, the requirements of FR2 PUCCH SCell activation for EN-DC can only be tested when PSCell is in FR1. Another approach is to have another active SCell in FR2, then the activation and the deactivation command can be transmitted via the FR2 SCell. However, </w:t>
      </w:r>
      <w:r w:rsidR="00B25598">
        <w:rPr>
          <w:rFonts w:eastAsiaTheme="minorEastAsia"/>
          <w:lang w:val="en-US" w:eastAsia="zh-CN"/>
        </w:rPr>
        <w:t xml:space="preserve">as mentioned above for NR SA, </w:t>
      </w:r>
      <w:r>
        <w:rPr>
          <w:rFonts w:eastAsiaTheme="minorEastAsia"/>
          <w:lang w:val="en-US" w:eastAsia="zh-CN"/>
        </w:rPr>
        <w:t>the test ca</w:t>
      </w:r>
      <w:r w:rsidR="00F87B33">
        <w:rPr>
          <w:rFonts w:eastAsiaTheme="minorEastAsia"/>
          <w:lang w:val="en-US" w:eastAsia="zh-CN"/>
        </w:rPr>
        <w:t xml:space="preserve">se can only be conducted when the SCell is already established (activated), thus the FR1/LTE + FR2 issue also exists though the performance is not the goal for verification, but </w:t>
      </w:r>
      <w:r w:rsidR="00796480">
        <w:rPr>
          <w:rFonts w:eastAsiaTheme="minorEastAsia"/>
          <w:lang w:val="en-US" w:eastAsia="zh-CN"/>
        </w:rPr>
        <w:t>it</w:t>
      </w:r>
      <w:r w:rsidR="00F87B33">
        <w:rPr>
          <w:rFonts w:eastAsiaTheme="minorEastAsia"/>
          <w:lang w:val="en-US" w:eastAsia="zh-CN"/>
        </w:rPr>
        <w:t xml:space="preserve"> may lead to longer test time, and total 4 cells are needed. What’s more , </w:t>
      </w:r>
      <w:r w:rsidR="00FB2809">
        <w:rPr>
          <w:rFonts w:eastAsiaTheme="minorEastAsia"/>
          <w:lang w:val="en-US" w:eastAsia="zh-CN"/>
        </w:rPr>
        <w:t>UE also face the problem of receiving Msg2 in FR1 PSCell for invalid TAcase and L1-RSRP reporting for unknown case.</w:t>
      </w:r>
      <w:r w:rsidR="00F87B33">
        <w:rPr>
          <w:rFonts w:eastAsiaTheme="minorEastAsia"/>
          <w:lang w:val="en-US" w:eastAsia="zh-CN"/>
        </w:rPr>
        <w:t xml:space="preserve"> Thus, based on the analysis above, RAN4 should discuss whether to define test cases for FR2 PUCCH SCell activation in EN-DC.</w:t>
      </w:r>
      <w:r w:rsidR="00E3716C">
        <w:rPr>
          <w:rFonts w:eastAsiaTheme="minorEastAsia"/>
          <w:lang w:val="en-US" w:eastAsia="zh-CN"/>
        </w:rPr>
        <w:t xml:space="preserve"> One approach is similar as NR SA where only known case with valid TA is tested and another serving shall should be activated before the testing. </w:t>
      </w:r>
    </w:p>
    <w:p w:rsidR="00F87B33" w:rsidRPr="00E3716C" w:rsidRDefault="00F87B33" w:rsidP="00881F7D">
      <w:pPr>
        <w:rPr>
          <w:rFonts w:eastAsiaTheme="minorEastAsia"/>
          <w:b/>
          <w:lang w:val="en-US" w:eastAsia="zh-CN"/>
        </w:rPr>
      </w:pPr>
      <w:r w:rsidRPr="00F87B33">
        <w:rPr>
          <w:rFonts w:eastAsiaTheme="minorEastAsia"/>
          <w:b/>
          <w:lang w:val="en-US" w:eastAsia="zh-CN"/>
        </w:rPr>
        <w:t xml:space="preserve">Proposal 3: </w:t>
      </w:r>
      <w:r w:rsidR="00E3716C" w:rsidRPr="00DD4A3F">
        <w:rPr>
          <w:rFonts w:eastAsiaTheme="minorEastAsia"/>
          <w:b/>
          <w:lang w:val="en-US" w:eastAsia="zh-CN"/>
        </w:rPr>
        <w:t xml:space="preserve">For </w:t>
      </w:r>
      <w:r w:rsidR="00E3716C">
        <w:rPr>
          <w:rFonts w:eastAsiaTheme="minorEastAsia"/>
          <w:b/>
          <w:lang w:val="en-US" w:eastAsia="zh-CN"/>
        </w:rPr>
        <w:t>EN-DC</w:t>
      </w:r>
      <w:r w:rsidR="00E3716C" w:rsidRPr="00DD4A3F">
        <w:rPr>
          <w:rFonts w:eastAsiaTheme="minorEastAsia"/>
          <w:b/>
          <w:lang w:val="en-US" w:eastAsia="zh-CN"/>
        </w:rPr>
        <w:t xml:space="preserve"> case, when the to-be-activated PUCCH SCell is in FR2</w:t>
      </w:r>
      <w:r w:rsidR="00E3716C">
        <w:rPr>
          <w:rFonts w:eastAsiaTheme="minorEastAsia"/>
          <w:b/>
          <w:lang w:val="en-US" w:eastAsia="zh-CN"/>
        </w:rPr>
        <w:t>, only define test cases for known case with valid TA. Another FR2 serving cell should be configured in the test, and TE shall guaranteed that the FR2 serving cell is successfully activated before activation the PUCCH SCell.</w:t>
      </w:r>
    </w:p>
    <w:p w:rsidR="00DF0231" w:rsidRDefault="00DF0231" w:rsidP="00DF0231">
      <w:pPr>
        <w:pStyle w:val="Heading1"/>
        <w:numPr>
          <w:ilvl w:val="0"/>
          <w:numId w:val="1"/>
        </w:numPr>
        <w:rPr>
          <w:lang w:val="en-US"/>
        </w:rPr>
      </w:pPr>
      <w:r w:rsidRPr="002D2977">
        <w:rPr>
          <w:lang w:val="en-US"/>
        </w:rPr>
        <w:t>Conclusions</w:t>
      </w:r>
    </w:p>
    <w:p w:rsidR="00B46E10" w:rsidRPr="008B6BAD" w:rsidRDefault="00B46E10" w:rsidP="00B46E10">
      <w:pPr>
        <w:rPr>
          <w:rFonts w:eastAsiaTheme="minorEastAsia"/>
          <w:b/>
          <w:lang w:eastAsia="zh-CN"/>
        </w:rPr>
      </w:pPr>
      <w:r w:rsidRPr="008B6BAD">
        <w:rPr>
          <w:rFonts w:eastAsiaTheme="minorEastAsia"/>
          <w:b/>
          <w:lang w:eastAsia="zh-CN"/>
        </w:rPr>
        <w:t>Observation 1: For PUCCH SCell activation test cases, UE should be tested whether it can transmit valid CSI via PUCCH SCell.</w:t>
      </w:r>
    </w:p>
    <w:p w:rsidR="00B46E10" w:rsidRPr="00D50647" w:rsidRDefault="00B46E10" w:rsidP="00B46E10">
      <w:pPr>
        <w:rPr>
          <w:b/>
        </w:rPr>
      </w:pPr>
      <w:r w:rsidRPr="00D50647">
        <w:rPr>
          <w:rFonts w:eastAsiaTheme="minorEastAsia" w:hint="eastAsia"/>
          <w:b/>
          <w:lang w:val="en-US" w:eastAsia="zh-CN"/>
        </w:rPr>
        <w:t>P</w:t>
      </w:r>
      <w:r w:rsidRPr="00D50647">
        <w:rPr>
          <w:rFonts w:eastAsiaTheme="minorEastAsia"/>
          <w:b/>
          <w:lang w:val="en-US" w:eastAsia="zh-CN"/>
        </w:rPr>
        <w:t xml:space="preserve">roposal 1: Define two sub test in each test cases for valid TA and invalid TA scenarios, where PUCCH SCell is configured with sTAG. </w:t>
      </w:r>
      <w:r w:rsidRPr="00D50647">
        <w:rPr>
          <w:b/>
        </w:rPr>
        <w:t>TimeAlignmentTimer should expires before UE receives the activation command for invalid TA case, and UE needs to be provided with new Timing Advance Command MAC control element at least once during each time alignment timer period to maintain uplink time alignment for sTAG for valid TA case.</w:t>
      </w:r>
    </w:p>
    <w:p w:rsidR="00FB2809" w:rsidRPr="00DD4A3F" w:rsidRDefault="00FB2809" w:rsidP="00FB2809">
      <w:pPr>
        <w:rPr>
          <w:rFonts w:eastAsiaTheme="minorEastAsia"/>
          <w:b/>
          <w:lang w:val="en-US" w:eastAsia="zh-CN"/>
        </w:rPr>
      </w:pPr>
      <w:r w:rsidRPr="00DD4A3F">
        <w:rPr>
          <w:rFonts w:eastAsiaTheme="minorEastAsia"/>
          <w:b/>
          <w:lang w:val="en-US" w:eastAsia="zh-CN"/>
        </w:rPr>
        <w:t>Proposal 2: For NR SA case, when the to-be-activated PUCCH SCell is in FR2</w:t>
      </w:r>
      <w:r>
        <w:rPr>
          <w:rFonts w:eastAsiaTheme="minorEastAsia"/>
          <w:b/>
          <w:lang w:val="en-US" w:eastAsia="zh-CN"/>
        </w:rPr>
        <w:t xml:space="preserve"> and</w:t>
      </w:r>
      <w:r w:rsidRPr="00DD4A3F">
        <w:rPr>
          <w:rFonts w:eastAsiaTheme="minorEastAsia"/>
          <w:b/>
          <w:lang w:val="en-US" w:eastAsia="zh-CN"/>
        </w:rPr>
        <w:t xml:space="preserve"> PCell </w:t>
      </w:r>
      <w:r>
        <w:rPr>
          <w:rFonts w:eastAsiaTheme="minorEastAsia"/>
          <w:b/>
          <w:lang w:val="en-US" w:eastAsia="zh-CN"/>
        </w:rPr>
        <w:t xml:space="preserve">is </w:t>
      </w:r>
      <w:r w:rsidRPr="00DD4A3F">
        <w:rPr>
          <w:rFonts w:eastAsiaTheme="minorEastAsia"/>
          <w:b/>
          <w:lang w:val="en-US" w:eastAsia="zh-CN"/>
        </w:rPr>
        <w:t>in FR</w:t>
      </w:r>
      <w:r>
        <w:rPr>
          <w:rFonts w:eastAsiaTheme="minorEastAsia"/>
          <w:b/>
          <w:lang w:val="en-US" w:eastAsia="zh-CN"/>
        </w:rPr>
        <w:t>1, only define test cases for known case with valid TA. Another FR2 serving cell should be configured in the test, and TE shall guaranteed that the FR2 serving cell is successfully activated before activation the PUCCH SCell.</w:t>
      </w:r>
    </w:p>
    <w:p w:rsidR="00F87B33" w:rsidRPr="00F87B33" w:rsidRDefault="00F87B33" w:rsidP="00B46E10">
      <w:pPr>
        <w:rPr>
          <w:rFonts w:eastAsiaTheme="minorEastAsia"/>
          <w:b/>
          <w:lang w:val="en-US" w:eastAsia="zh-CN"/>
        </w:rPr>
      </w:pPr>
      <w:r w:rsidRPr="00881F7D">
        <w:rPr>
          <w:rFonts w:eastAsiaTheme="minorEastAsia"/>
          <w:b/>
          <w:lang w:val="en-US" w:eastAsia="zh-CN"/>
        </w:rPr>
        <w:t>Observation</w:t>
      </w:r>
      <w:r>
        <w:rPr>
          <w:rFonts w:eastAsiaTheme="minorEastAsia"/>
          <w:b/>
          <w:lang w:val="en-US" w:eastAsia="zh-CN"/>
        </w:rPr>
        <w:t>2</w:t>
      </w:r>
      <w:r w:rsidRPr="00881F7D">
        <w:rPr>
          <w:rFonts w:eastAsiaTheme="minorEastAsia"/>
          <w:b/>
          <w:lang w:val="en-US" w:eastAsia="zh-CN"/>
        </w:rPr>
        <w:t>: For EN-DC, if the PSCell is in FR2, UE cannot be configured with a PUCCH SCell in FR2.</w:t>
      </w:r>
    </w:p>
    <w:p w:rsidR="008B6BAD" w:rsidRPr="00E3716C" w:rsidRDefault="00E3716C" w:rsidP="00424B08">
      <w:pPr>
        <w:rPr>
          <w:rFonts w:eastAsiaTheme="minorEastAsia"/>
          <w:b/>
          <w:lang w:val="en-US" w:eastAsia="zh-CN"/>
        </w:rPr>
      </w:pPr>
      <w:r w:rsidRPr="00F87B33">
        <w:rPr>
          <w:rFonts w:eastAsiaTheme="minorEastAsia"/>
          <w:b/>
          <w:lang w:val="en-US" w:eastAsia="zh-CN"/>
        </w:rPr>
        <w:t xml:space="preserve">Proposal 3: </w:t>
      </w:r>
      <w:r w:rsidRPr="00DD4A3F">
        <w:rPr>
          <w:rFonts w:eastAsiaTheme="minorEastAsia"/>
          <w:b/>
          <w:lang w:val="en-US" w:eastAsia="zh-CN"/>
        </w:rPr>
        <w:t xml:space="preserve">For </w:t>
      </w:r>
      <w:r>
        <w:rPr>
          <w:rFonts w:eastAsiaTheme="minorEastAsia"/>
          <w:b/>
          <w:lang w:val="en-US" w:eastAsia="zh-CN"/>
        </w:rPr>
        <w:t>EN-DC</w:t>
      </w:r>
      <w:r w:rsidRPr="00DD4A3F">
        <w:rPr>
          <w:rFonts w:eastAsiaTheme="minorEastAsia"/>
          <w:b/>
          <w:lang w:val="en-US" w:eastAsia="zh-CN"/>
        </w:rPr>
        <w:t xml:space="preserve"> case, when the to-be-activated PUCCH SCell is in FR2</w:t>
      </w:r>
      <w:r>
        <w:rPr>
          <w:rFonts w:eastAsiaTheme="minorEastAsia"/>
          <w:b/>
          <w:lang w:val="en-US" w:eastAsia="zh-CN"/>
        </w:rPr>
        <w:t>, only define test cases for known case with valid TA. Another FR2 serving cell should be configured in the test, and TE shall guaranteed that the FR2 serving cell is successfully activated before activation the PUCCH SCell.</w:t>
      </w:r>
    </w:p>
    <w:p w:rsidR="00DF0231" w:rsidRPr="002D2977" w:rsidRDefault="00DF0231" w:rsidP="00DF0231">
      <w:pPr>
        <w:pStyle w:val="Heading1"/>
        <w:tabs>
          <w:tab w:val="clear" w:pos="432"/>
        </w:tabs>
        <w:ind w:left="0" w:firstLine="0"/>
        <w:rPr>
          <w:lang w:val="en-US"/>
        </w:rPr>
      </w:pPr>
      <w:r w:rsidRPr="002D2977">
        <w:rPr>
          <w:lang w:val="en-US"/>
        </w:rPr>
        <w:lastRenderedPageBreak/>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8B6BAD" w:rsidRPr="008B6BAD">
        <w:rPr>
          <w:rFonts w:eastAsiaTheme="minorEastAsia"/>
          <w:lang w:eastAsia="zh-CN"/>
        </w:rPr>
        <w:t>R4-2206869 WF on further RRM enhancement for NR and MR-DC - PUCCH SCell activation/deactivation requirements</w:t>
      </w:r>
      <w:r>
        <w:rPr>
          <w:rFonts w:eastAsiaTheme="minorEastAsia"/>
          <w:lang w:eastAsia="zh-CN"/>
        </w:rPr>
        <w:t xml:space="preserve">, </w:t>
      </w:r>
      <w:r w:rsidR="008B6BAD">
        <w:rPr>
          <w:rFonts w:eastAsiaTheme="minorEastAsia" w:hint="eastAsia"/>
          <w:lang w:eastAsia="zh-CN"/>
        </w:rPr>
        <w:t>CATT</w:t>
      </w:r>
    </w:p>
    <w:p w:rsidR="00F47E8D" w:rsidRPr="00771E1C" w:rsidRDefault="00F47E8D" w:rsidP="00637A49">
      <w:pPr>
        <w:rPr>
          <w:rFonts w:eastAsiaTheme="minorEastAsia"/>
          <w:lang w:eastAsia="zh-CN"/>
        </w:rPr>
      </w:pPr>
      <w:r>
        <w:rPr>
          <w:rFonts w:eastAsiaTheme="minorEastAsia"/>
          <w:lang w:eastAsia="zh-CN"/>
        </w:rPr>
        <w:t xml:space="preserve">[2] </w:t>
      </w:r>
      <w:r>
        <w:rPr>
          <w:rFonts w:hint="eastAsia"/>
        </w:rPr>
        <w:t>R4-2115240</w:t>
      </w:r>
      <w:r>
        <w:t xml:space="preserve"> </w:t>
      </w:r>
      <w:r w:rsidRPr="00F47E8D">
        <w:t>WF on Rel-15 NR RRM test case related issues</w:t>
      </w:r>
      <w:r>
        <w:t>, Ericsson</w:t>
      </w:r>
    </w:p>
    <w:p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4A7" w:rsidRDefault="000864A7">
      <w:pPr>
        <w:spacing w:after="0"/>
      </w:pPr>
      <w:r>
        <w:separator/>
      </w:r>
    </w:p>
  </w:endnote>
  <w:endnote w:type="continuationSeparator" w:id="0">
    <w:p w:rsidR="000864A7" w:rsidRDefault="00086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809" w:rsidRDefault="00FB28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B2809" w:rsidRDefault="00FB28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809" w:rsidRDefault="00FB28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30E0D">
      <w:rPr>
        <w:rStyle w:val="PageNumber"/>
      </w:rPr>
      <w:t>2</w:t>
    </w:r>
    <w:r>
      <w:rPr>
        <w:rStyle w:val="PageNumber"/>
      </w:rPr>
      <w:fldChar w:fldCharType="end"/>
    </w:r>
  </w:p>
  <w:p w:rsidR="00FB2809" w:rsidRDefault="00FB280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4A7" w:rsidRDefault="000864A7">
      <w:pPr>
        <w:spacing w:after="0"/>
      </w:pPr>
      <w:r>
        <w:separator/>
      </w:r>
    </w:p>
  </w:footnote>
  <w:footnote w:type="continuationSeparator" w:id="0">
    <w:p w:rsidR="000864A7" w:rsidRDefault="000864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8"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39"/>
  </w:num>
  <w:num w:numId="4">
    <w:abstractNumId w:val="38"/>
  </w:num>
  <w:num w:numId="5">
    <w:abstractNumId w:val="0"/>
  </w:num>
  <w:num w:numId="6">
    <w:abstractNumId w:val="18"/>
  </w:num>
  <w:num w:numId="7">
    <w:abstractNumId w:val="7"/>
  </w:num>
  <w:num w:numId="8">
    <w:abstractNumId w:val="26"/>
  </w:num>
  <w:num w:numId="9">
    <w:abstractNumId w:val="30"/>
  </w:num>
  <w:num w:numId="10">
    <w:abstractNumId w:val="19"/>
  </w:num>
  <w:num w:numId="11">
    <w:abstractNumId w:val="21"/>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num>
  <w:num w:numId="17">
    <w:abstractNumId w:val="34"/>
  </w:num>
  <w:num w:numId="18">
    <w:abstractNumId w:val="14"/>
  </w:num>
  <w:num w:numId="19">
    <w:abstractNumId w:val="1"/>
  </w:num>
  <w:num w:numId="20">
    <w:abstractNumId w:val="13"/>
  </w:num>
  <w:num w:numId="21">
    <w:abstractNumId w:val="31"/>
  </w:num>
  <w:num w:numId="22">
    <w:abstractNumId w:val="24"/>
  </w:num>
  <w:num w:numId="23">
    <w:abstractNumId w:val="23"/>
  </w:num>
  <w:num w:numId="24">
    <w:abstractNumId w:val="27"/>
  </w:num>
  <w:num w:numId="25">
    <w:abstractNumId w:val="28"/>
  </w:num>
  <w:num w:numId="26">
    <w:abstractNumId w:val="2"/>
  </w:num>
  <w:num w:numId="27">
    <w:abstractNumId w:val="8"/>
  </w:num>
  <w:num w:numId="28">
    <w:abstractNumId w:val="6"/>
  </w:num>
  <w:num w:numId="29">
    <w:abstractNumId w:val="17"/>
  </w:num>
  <w:num w:numId="30">
    <w:abstractNumId w:val="29"/>
  </w:num>
  <w:num w:numId="31">
    <w:abstractNumId w:val="33"/>
  </w:num>
  <w:num w:numId="32">
    <w:abstractNumId w:val="20"/>
  </w:num>
  <w:num w:numId="33">
    <w:abstractNumId w:val="9"/>
  </w:num>
  <w:num w:numId="34">
    <w:abstractNumId w:val="22"/>
  </w:num>
  <w:num w:numId="35">
    <w:abstractNumId w:val="25"/>
  </w:num>
  <w:num w:numId="36">
    <w:abstractNumId w:val="3"/>
  </w:num>
  <w:num w:numId="37">
    <w:abstractNumId w:val="16"/>
  </w:num>
  <w:num w:numId="38">
    <w:abstractNumId w:val="23"/>
  </w:num>
  <w:num w:numId="39">
    <w:abstractNumId w:val="22"/>
  </w:num>
  <w:num w:numId="40">
    <w:abstractNumId w:val="4"/>
  </w:num>
  <w:num w:numId="41">
    <w:abstractNumId w:val="37"/>
  </w:num>
  <w:num w:numId="42">
    <w:abstractNumId w:val="10"/>
  </w:num>
  <w:num w:numId="43">
    <w:abstractNumId w:val="40"/>
  </w:num>
  <w:num w:numId="44">
    <w:abstractNumId w:val="11"/>
  </w:num>
  <w:num w:numId="4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25036"/>
    <w:rsid w:val="00035B7C"/>
    <w:rsid w:val="00035D42"/>
    <w:rsid w:val="000365A6"/>
    <w:rsid w:val="00040779"/>
    <w:rsid w:val="0004356B"/>
    <w:rsid w:val="0004558E"/>
    <w:rsid w:val="00046547"/>
    <w:rsid w:val="00055B5D"/>
    <w:rsid w:val="00063B55"/>
    <w:rsid w:val="00063E08"/>
    <w:rsid w:val="00066781"/>
    <w:rsid w:val="000676A1"/>
    <w:rsid w:val="00067A48"/>
    <w:rsid w:val="00067B89"/>
    <w:rsid w:val="000731A5"/>
    <w:rsid w:val="00076C0A"/>
    <w:rsid w:val="000864A7"/>
    <w:rsid w:val="00086874"/>
    <w:rsid w:val="00087858"/>
    <w:rsid w:val="000903D2"/>
    <w:rsid w:val="00096503"/>
    <w:rsid w:val="00097E39"/>
    <w:rsid w:val="000A12FD"/>
    <w:rsid w:val="000A1878"/>
    <w:rsid w:val="000A2ED7"/>
    <w:rsid w:val="000A4BCB"/>
    <w:rsid w:val="000A5097"/>
    <w:rsid w:val="000A7A19"/>
    <w:rsid w:val="000B15EC"/>
    <w:rsid w:val="000C2147"/>
    <w:rsid w:val="000D2930"/>
    <w:rsid w:val="000D59F6"/>
    <w:rsid w:val="000D6B9B"/>
    <w:rsid w:val="000E0A8A"/>
    <w:rsid w:val="000E2C03"/>
    <w:rsid w:val="000F04C6"/>
    <w:rsid w:val="000F1F2F"/>
    <w:rsid w:val="000F39EE"/>
    <w:rsid w:val="000F7DE7"/>
    <w:rsid w:val="0010016B"/>
    <w:rsid w:val="00100360"/>
    <w:rsid w:val="00101EAC"/>
    <w:rsid w:val="0010262D"/>
    <w:rsid w:val="00104362"/>
    <w:rsid w:val="00106014"/>
    <w:rsid w:val="00107AF6"/>
    <w:rsid w:val="00110BAD"/>
    <w:rsid w:val="0011207E"/>
    <w:rsid w:val="00121108"/>
    <w:rsid w:val="001230FF"/>
    <w:rsid w:val="001241FC"/>
    <w:rsid w:val="00124231"/>
    <w:rsid w:val="00127EDD"/>
    <w:rsid w:val="001328F2"/>
    <w:rsid w:val="00132B63"/>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B4DAD"/>
    <w:rsid w:val="001C4240"/>
    <w:rsid w:val="001C5D98"/>
    <w:rsid w:val="001D154C"/>
    <w:rsid w:val="001D3006"/>
    <w:rsid w:val="001E24D0"/>
    <w:rsid w:val="001E7174"/>
    <w:rsid w:val="0020000C"/>
    <w:rsid w:val="0020033A"/>
    <w:rsid w:val="00204D16"/>
    <w:rsid w:val="00207FF4"/>
    <w:rsid w:val="00216AAB"/>
    <w:rsid w:val="00217770"/>
    <w:rsid w:val="002204E2"/>
    <w:rsid w:val="002221AC"/>
    <w:rsid w:val="00222A85"/>
    <w:rsid w:val="00222AF7"/>
    <w:rsid w:val="00226524"/>
    <w:rsid w:val="00232120"/>
    <w:rsid w:val="002328DD"/>
    <w:rsid w:val="00234AA1"/>
    <w:rsid w:val="00243552"/>
    <w:rsid w:val="00243BFC"/>
    <w:rsid w:val="002454B4"/>
    <w:rsid w:val="00245810"/>
    <w:rsid w:val="00254F38"/>
    <w:rsid w:val="00266B95"/>
    <w:rsid w:val="00267D3F"/>
    <w:rsid w:val="00272F1F"/>
    <w:rsid w:val="0027365E"/>
    <w:rsid w:val="002736F0"/>
    <w:rsid w:val="00282D3C"/>
    <w:rsid w:val="002920C1"/>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3069D8"/>
    <w:rsid w:val="00311CF9"/>
    <w:rsid w:val="003158EC"/>
    <w:rsid w:val="0031623D"/>
    <w:rsid w:val="00321181"/>
    <w:rsid w:val="00323702"/>
    <w:rsid w:val="003356E3"/>
    <w:rsid w:val="00336939"/>
    <w:rsid w:val="003422A4"/>
    <w:rsid w:val="00346EAB"/>
    <w:rsid w:val="00352697"/>
    <w:rsid w:val="003567C2"/>
    <w:rsid w:val="00356FB6"/>
    <w:rsid w:val="003622B2"/>
    <w:rsid w:val="00362F43"/>
    <w:rsid w:val="00363440"/>
    <w:rsid w:val="003664ED"/>
    <w:rsid w:val="00376522"/>
    <w:rsid w:val="00377D59"/>
    <w:rsid w:val="003844DE"/>
    <w:rsid w:val="0038462A"/>
    <w:rsid w:val="0038557C"/>
    <w:rsid w:val="003866C4"/>
    <w:rsid w:val="003A5CBC"/>
    <w:rsid w:val="003A5E2B"/>
    <w:rsid w:val="003B169F"/>
    <w:rsid w:val="003B3884"/>
    <w:rsid w:val="003C092B"/>
    <w:rsid w:val="003C6DC4"/>
    <w:rsid w:val="003D6F09"/>
    <w:rsid w:val="003E097F"/>
    <w:rsid w:val="003E6285"/>
    <w:rsid w:val="003E7C96"/>
    <w:rsid w:val="003F762D"/>
    <w:rsid w:val="00401473"/>
    <w:rsid w:val="00415933"/>
    <w:rsid w:val="00423683"/>
    <w:rsid w:val="00423FB0"/>
    <w:rsid w:val="00424B08"/>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0E89"/>
    <w:rsid w:val="004B1ECE"/>
    <w:rsid w:val="004B4633"/>
    <w:rsid w:val="004C11F4"/>
    <w:rsid w:val="004C390D"/>
    <w:rsid w:val="004C4868"/>
    <w:rsid w:val="004D3C97"/>
    <w:rsid w:val="004D4E14"/>
    <w:rsid w:val="004D5EAE"/>
    <w:rsid w:val="004E3732"/>
    <w:rsid w:val="004E5D51"/>
    <w:rsid w:val="004F0167"/>
    <w:rsid w:val="004F344B"/>
    <w:rsid w:val="00502991"/>
    <w:rsid w:val="00505B5F"/>
    <w:rsid w:val="00513ECE"/>
    <w:rsid w:val="00514A5F"/>
    <w:rsid w:val="0052002B"/>
    <w:rsid w:val="005235DB"/>
    <w:rsid w:val="00527DD4"/>
    <w:rsid w:val="00530EB0"/>
    <w:rsid w:val="00533C4E"/>
    <w:rsid w:val="00534F61"/>
    <w:rsid w:val="005375AA"/>
    <w:rsid w:val="005409B9"/>
    <w:rsid w:val="0054552A"/>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2B1C"/>
    <w:rsid w:val="005B6053"/>
    <w:rsid w:val="005C337F"/>
    <w:rsid w:val="005D15A2"/>
    <w:rsid w:val="005D231A"/>
    <w:rsid w:val="005D3DC0"/>
    <w:rsid w:val="005D6BEF"/>
    <w:rsid w:val="005E29AA"/>
    <w:rsid w:val="005E4CCD"/>
    <w:rsid w:val="005F48A1"/>
    <w:rsid w:val="005F5231"/>
    <w:rsid w:val="005F74CF"/>
    <w:rsid w:val="006014ED"/>
    <w:rsid w:val="00604490"/>
    <w:rsid w:val="0060650F"/>
    <w:rsid w:val="00607CE8"/>
    <w:rsid w:val="0061679F"/>
    <w:rsid w:val="00622EBC"/>
    <w:rsid w:val="00622FBA"/>
    <w:rsid w:val="00625728"/>
    <w:rsid w:val="00637A49"/>
    <w:rsid w:val="006556BB"/>
    <w:rsid w:val="0065634B"/>
    <w:rsid w:val="0066186B"/>
    <w:rsid w:val="00664D04"/>
    <w:rsid w:val="00672FCE"/>
    <w:rsid w:val="006769A2"/>
    <w:rsid w:val="00677991"/>
    <w:rsid w:val="00681F59"/>
    <w:rsid w:val="006901CA"/>
    <w:rsid w:val="006A68E5"/>
    <w:rsid w:val="006A7936"/>
    <w:rsid w:val="006A7B70"/>
    <w:rsid w:val="006B21AC"/>
    <w:rsid w:val="006B450E"/>
    <w:rsid w:val="006B637D"/>
    <w:rsid w:val="006C3D21"/>
    <w:rsid w:val="006C4BDB"/>
    <w:rsid w:val="006D43CD"/>
    <w:rsid w:val="006D7325"/>
    <w:rsid w:val="006E0243"/>
    <w:rsid w:val="006E2BAB"/>
    <w:rsid w:val="006F1BAF"/>
    <w:rsid w:val="006F27CD"/>
    <w:rsid w:val="006F3453"/>
    <w:rsid w:val="006F4D95"/>
    <w:rsid w:val="006F5874"/>
    <w:rsid w:val="00701598"/>
    <w:rsid w:val="007028B4"/>
    <w:rsid w:val="00702FA5"/>
    <w:rsid w:val="00703B4D"/>
    <w:rsid w:val="00712395"/>
    <w:rsid w:val="00712608"/>
    <w:rsid w:val="00714064"/>
    <w:rsid w:val="007166C4"/>
    <w:rsid w:val="00716995"/>
    <w:rsid w:val="007200C7"/>
    <w:rsid w:val="00723883"/>
    <w:rsid w:val="00732D90"/>
    <w:rsid w:val="007334B6"/>
    <w:rsid w:val="00734B34"/>
    <w:rsid w:val="00736D84"/>
    <w:rsid w:val="00751E52"/>
    <w:rsid w:val="00757103"/>
    <w:rsid w:val="00762867"/>
    <w:rsid w:val="00763EF7"/>
    <w:rsid w:val="00766048"/>
    <w:rsid w:val="007711B8"/>
    <w:rsid w:val="0077159B"/>
    <w:rsid w:val="00771E1C"/>
    <w:rsid w:val="00772E08"/>
    <w:rsid w:val="00781460"/>
    <w:rsid w:val="007825B4"/>
    <w:rsid w:val="00782C5D"/>
    <w:rsid w:val="00784099"/>
    <w:rsid w:val="00786C50"/>
    <w:rsid w:val="007902A8"/>
    <w:rsid w:val="00796480"/>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5E86"/>
    <w:rsid w:val="007E1DD2"/>
    <w:rsid w:val="007E2057"/>
    <w:rsid w:val="007E2E8A"/>
    <w:rsid w:val="007E5F97"/>
    <w:rsid w:val="007E67EC"/>
    <w:rsid w:val="007F045C"/>
    <w:rsid w:val="007F2371"/>
    <w:rsid w:val="007F2E6A"/>
    <w:rsid w:val="007F7E14"/>
    <w:rsid w:val="008001CA"/>
    <w:rsid w:val="00804945"/>
    <w:rsid w:val="00814B83"/>
    <w:rsid w:val="00817DA0"/>
    <w:rsid w:val="00821B76"/>
    <w:rsid w:val="00826A80"/>
    <w:rsid w:val="00835745"/>
    <w:rsid w:val="00836937"/>
    <w:rsid w:val="00836C28"/>
    <w:rsid w:val="008408E7"/>
    <w:rsid w:val="00840E09"/>
    <w:rsid w:val="00841386"/>
    <w:rsid w:val="0084404F"/>
    <w:rsid w:val="008446CE"/>
    <w:rsid w:val="00851458"/>
    <w:rsid w:val="00852630"/>
    <w:rsid w:val="0086032B"/>
    <w:rsid w:val="00861078"/>
    <w:rsid w:val="008708B9"/>
    <w:rsid w:val="0087326D"/>
    <w:rsid w:val="00873C1C"/>
    <w:rsid w:val="00873F55"/>
    <w:rsid w:val="00874D51"/>
    <w:rsid w:val="008766C3"/>
    <w:rsid w:val="00881F7D"/>
    <w:rsid w:val="00885469"/>
    <w:rsid w:val="008921D4"/>
    <w:rsid w:val="008924AB"/>
    <w:rsid w:val="00892EAE"/>
    <w:rsid w:val="00893C66"/>
    <w:rsid w:val="00895188"/>
    <w:rsid w:val="008A1C4E"/>
    <w:rsid w:val="008A2B76"/>
    <w:rsid w:val="008A4FA1"/>
    <w:rsid w:val="008B3970"/>
    <w:rsid w:val="008B4540"/>
    <w:rsid w:val="008B4A2C"/>
    <w:rsid w:val="008B4F73"/>
    <w:rsid w:val="008B6BAD"/>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655D"/>
    <w:rsid w:val="00957098"/>
    <w:rsid w:val="009660E3"/>
    <w:rsid w:val="009708D0"/>
    <w:rsid w:val="00972D26"/>
    <w:rsid w:val="00973C4C"/>
    <w:rsid w:val="009814D6"/>
    <w:rsid w:val="00981B01"/>
    <w:rsid w:val="0099102E"/>
    <w:rsid w:val="009968CF"/>
    <w:rsid w:val="009A0460"/>
    <w:rsid w:val="009A355B"/>
    <w:rsid w:val="009A5118"/>
    <w:rsid w:val="009A5F4B"/>
    <w:rsid w:val="009B7C4C"/>
    <w:rsid w:val="009C3B57"/>
    <w:rsid w:val="009C4E39"/>
    <w:rsid w:val="009C5288"/>
    <w:rsid w:val="009C5BBA"/>
    <w:rsid w:val="009C6CB9"/>
    <w:rsid w:val="009C6FD7"/>
    <w:rsid w:val="009C7606"/>
    <w:rsid w:val="009C7D5E"/>
    <w:rsid w:val="009D03C6"/>
    <w:rsid w:val="009D1A47"/>
    <w:rsid w:val="009D2942"/>
    <w:rsid w:val="009D325A"/>
    <w:rsid w:val="009D4189"/>
    <w:rsid w:val="009D6B07"/>
    <w:rsid w:val="009D75DF"/>
    <w:rsid w:val="009E3C27"/>
    <w:rsid w:val="009E6763"/>
    <w:rsid w:val="009E6DC8"/>
    <w:rsid w:val="009E7810"/>
    <w:rsid w:val="009F583E"/>
    <w:rsid w:val="009F7F10"/>
    <w:rsid w:val="00A00597"/>
    <w:rsid w:val="00A0093B"/>
    <w:rsid w:val="00A1597D"/>
    <w:rsid w:val="00A22790"/>
    <w:rsid w:val="00A25160"/>
    <w:rsid w:val="00A26AB0"/>
    <w:rsid w:val="00A30E0D"/>
    <w:rsid w:val="00A34913"/>
    <w:rsid w:val="00A35F07"/>
    <w:rsid w:val="00A36D03"/>
    <w:rsid w:val="00A42E3A"/>
    <w:rsid w:val="00A44B60"/>
    <w:rsid w:val="00A558AB"/>
    <w:rsid w:val="00A63AF5"/>
    <w:rsid w:val="00A657C7"/>
    <w:rsid w:val="00A7739E"/>
    <w:rsid w:val="00A777D8"/>
    <w:rsid w:val="00A848D0"/>
    <w:rsid w:val="00A87084"/>
    <w:rsid w:val="00A93E0D"/>
    <w:rsid w:val="00AA31F0"/>
    <w:rsid w:val="00AB1128"/>
    <w:rsid w:val="00AC2317"/>
    <w:rsid w:val="00AC29E3"/>
    <w:rsid w:val="00AC2C97"/>
    <w:rsid w:val="00AC2CD4"/>
    <w:rsid w:val="00AC3B45"/>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2A9"/>
    <w:rsid w:val="00B10C6E"/>
    <w:rsid w:val="00B1402B"/>
    <w:rsid w:val="00B22016"/>
    <w:rsid w:val="00B23292"/>
    <w:rsid w:val="00B25598"/>
    <w:rsid w:val="00B26D02"/>
    <w:rsid w:val="00B343A3"/>
    <w:rsid w:val="00B41E6D"/>
    <w:rsid w:val="00B450D5"/>
    <w:rsid w:val="00B46E10"/>
    <w:rsid w:val="00B51F58"/>
    <w:rsid w:val="00B55463"/>
    <w:rsid w:val="00B56E67"/>
    <w:rsid w:val="00B60998"/>
    <w:rsid w:val="00B71C35"/>
    <w:rsid w:val="00B72BEC"/>
    <w:rsid w:val="00B73A82"/>
    <w:rsid w:val="00B76F4D"/>
    <w:rsid w:val="00B77412"/>
    <w:rsid w:val="00B77718"/>
    <w:rsid w:val="00B77752"/>
    <w:rsid w:val="00B83BC0"/>
    <w:rsid w:val="00B87A6F"/>
    <w:rsid w:val="00B91712"/>
    <w:rsid w:val="00B93486"/>
    <w:rsid w:val="00BA0FB3"/>
    <w:rsid w:val="00BA4C0A"/>
    <w:rsid w:val="00BB08B3"/>
    <w:rsid w:val="00BB2A32"/>
    <w:rsid w:val="00BB5EE8"/>
    <w:rsid w:val="00BB6484"/>
    <w:rsid w:val="00BB7F54"/>
    <w:rsid w:val="00BC24F8"/>
    <w:rsid w:val="00BC3920"/>
    <w:rsid w:val="00BC47AB"/>
    <w:rsid w:val="00BD0D7C"/>
    <w:rsid w:val="00BD2AB1"/>
    <w:rsid w:val="00BD3A7F"/>
    <w:rsid w:val="00BE09C1"/>
    <w:rsid w:val="00BE194F"/>
    <w:rsid w:val="00BE1FD4"/>
    <w:rsid w:val="00BE677A"/>
    <w:rsid w:val="00BE6A2E"/>
    <w:rsid w:val="00BF00A7"/>
    <w:rsid w:val="00BF33D9"/>
    <w:rsid w:val="00C075BD"/>
    <w:rsid w:val="00C11B10"/>
    <w:rsid w:val="00C1287E"/>
    <w:rsid w:val="00C12EA5"/>
    <w:rsid w:val="00C15E40"/>
    <w:rsid w:val="00C161BE"/>
    <w:rsid w:val="00C338CA"/>
    <w:rsid w:val="00C35CB3"/>
    <w:rsid w:val="00C50A0A"/>
    <w:rsid w:val="00C572D7"/>
    <w:rsid w:val="00C57AB2"/>
    <w:rsid w:val="00C60016"/>
    <w:rsid w:val="00C638D8"/>
    <w:rsid w:val="00C63D6B"/>
    <w:rsid w:val="00C64128"/>
    <w:rsid w:val="00C73515"/>
    <w:rsid w:val="00C74442"/>
    <w:rsid w:val="00C754BC"/>
    <w:rsid w:val="00C76E52"/>
    <w:rsid w:val="00C83525"/>
    <w:rsid w:val="00C90293"/>
    <w:rsid w:val="00C9060C"/>
    <w:rsid w:val="00CA1729"/>
    <w:rsid w:val="00CA1984"/>
    <w:rsid w:val="00CA1DAE"/>
    <w:rsid w:val="00CA234E"/>
    <w:rsid w:val="00CA2BB3"/>
    <w:rsid w:val="00CA7429"/>
    <w:rsid w:val="00CB6216"/>
    <w:rsid w:val="00CC09A6"/>
    <w:rsid w:val="00CC3973"/>
    <w:rsid w:val="00CC4578"/>
    <w:rsid w:val="00CC5C60"/>
    <w:rsid w:val="00CD0284"/>
    <w:rsid w:val="00CD0A91"/>
    <w:rsid w:val="00CD160F"/>
    <w:rsid w:val="00CE0DA0"/>
    <w:rsid w:val="00CE477D"/>
    <w:rsid w:val="00CF030B"/>
    <w:rsid w:val="00CF1DFC"/>
    <w:rsid w:val="00CF2856"/>
    <w:rsid w:val="00CF5CE7"/>
    <w:rsid w:val="00CF5EF5"/>
    <w:rsid w:val="00CF7481"/>
    <w:rsid w:val="00CF7EE3"/>
    <w:rsid w:val="00D0202E"/>
    <w:rsid w:val="00D0209E"/>
    <w:rsid w:val="00D0739E"/>
    <w:rsid w:val="00D13FC8"/>
    <w:rsid w:val="00D14E7C"/>
    <w:rsid w:val="00D26163"/>
    <w:rsid w:val="00D3442D"/>
    <w:rsid w:val="00D34F1B"/>
    <w:rsid w:val="00D35ED3"/>
    <w:rsid w:val="00D41D2D"/>
    <w:rsid w:val="00D463A3"/>
    <w:rsid w:val="00D50647"/>
    <w:rsid w:val="00D51833"/>
    <w:rsid w:val="00D55894"/>
    <w:rsid w:val="00D57BE5"/>
    <w:rsid w:val="00D67ABE"/>
    <w:rsid w:val="00D73373"/>
    <w:rsid w:val="00D74CA3"/>
    <w:rsid w:val="00D828E1"/>
    <w:rsid w:val="00D8441F"/>
    <w:rsid w:val="00D850B9"/>
    <w:rsid w:val="00D94E39"/>
    <w:rsid w:val="00D9789C"/>
    <w:rsid w:val="00DB10D2"/>
    <w:rsid w:val="00DB1DD4"/>
    <w:rsid w:val="00DB61B3"/>
    <w:rsid w:val="00DC49A6"/>
    <w:rsid w:val="00DD0915"/>
    <w:rsid w:val="00DD1DFF"/>
    <w:rsid w:val="00DD33CF"/>
    <w:rsid w:val="00DD4A3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3716C"/>
    <w:rsid w:val="00E406F2"/>
    <w:rsid w:val="00E415BA"/>
    <w:rsid w:val="00E42C77"/>
    <w:rsid w:val="00E470EC"/>
    <w:rsid w:val="00E5666B"/>
    <w:rsid w:val="00E577DD"/>
    <w:rsid w:val="00E60952"/>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4B1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47E8D"/>
    <w:rsid w:val="00F52FBD"/>
    <w:rsid w:val="00F52FE8"/>
    <w:rsid w:val="00F543C6"/>
    <w:rsid w:val="00F55401"/>
    <w:rsid w:val="00F5790A"/>
    <w:rsid w:val="00F605D5"/>
    <w:rsid w:val="00F609CD"/>
    <w:rsid w:val="00F72D98"/>
    <w:rsid w:val="00F76B81"/>
    <w:rsid w:val="00F83F8A"/>
    <w:rsid w:val="00F87B33"/>
    <w:rsid w:val="00F93C50"/>
    <w:rsid w:val="00F941E7"/>
    <w:rsid w:val="00FA4943"/>
    <w:rsid w:val="00FB2809"/>
    <w:rsid w:val="00FB6BD9"/>
    <w:rsid w:val="00FC0544"/>
    <w:rsid w:val="00FC0F9D"/>
    <w:rsid w:val="00FC3492"/>
    <w:rsid w:val="00FD1CDD"/>
    <w:rsid w:val="00FD518E"/>
    <w:rsid w:val="00FD6B2F"/>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311473-86A6-4051-9344-3CB8F1297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0863463">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4315215">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9218297">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6670506">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39181231">
      <w:bodyDiv w:val="1"/>
      <w:marLeft w:val="0"/>
      <w:marRight w:val="0"/>
      <w:marTop w:val="0"/>
      <w:marBottom w:val="0"/>
      <w:divBdr>
        <w:top w:val="none" w:sz="0" w:space="0" w:color="auto"/>
        <w:left w:val="none" w:sz="0" w:space="0" w:color="auto"/>
        <w:bottom w:val="none" w:sz="0" w:space="0" w:color="auto"/>
        <w:right w:val="none" w:sz="0" w:space="0" w:color="auto"/>
      </w:divBdr>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2FCDE-A022-4631-AA51-35C880D91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14157</TotalTime>
  <Pages>1</Pages>
  <Words>1280</Words>
  <Characters>7300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cp:revision>
  <dcterms:created xsi:type="dcterms:W3CDTF">2019-09-18T02:52:00Z</dcterms:created>
  <dcterms:modified xsi:type="dcterms:W3CDTF">2022-04-25T12:12:00Z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(3)vPd+z25gDQi5vAAAnAJj7mPEUMziqzAB2860w1z/KZgCpwoOek451GYRYO747rAR0OrIMELr
Gmy63csTeUnbQ0QauZaEFkj6MW11n+5L0ymnO7Ye9tgDw7Z1D7Cxwmr0vjWSfTrWx3+gYIPS
jV+38HrCBxORc7sxJaQ1MrcIpjTacqs95qHxmq5Kz/d0wITfsVBZO5wFVUtd1TUDEGoTj5qV
VwVrG8wfK09bvbBjt+</vt:lpwstr>
  </property>
  <property fmtid="{D5CDD505-2E9C-101B-9397-08002B2CF9AE}" pid="3" name="_2015_ms_pID_7253431">
    <vt:lpwstr>7sFeBw6WvqJdPd4kucESBPeczCYuFgzfImxo8X2lOqPd4l1ntwYFeq
j2wPypZwl8lGjknkWxYys/OZ7bZtwSCm4zOG8QoPd666vtb1H+zF0Ycgrjsm1a8nIPhQAta4
+7gOqMeo36GCNTiow/eQt9W6rzLTIjHCHo+otwETwSmfV1y7lT/zHiqldXi1OybVEzufg88J
aIEz6GwHqD//CV8eLA0yvC8AwQoCFCCQkWdk</vt:lpwstr>
  </property>
  <property fmtid="{D5CDD505-2E9C-101B-9397-08002B2CF9AE}" pid="4" name="_2015_ms_pID_7253432">
    <vt:lpwstr>PuBFaGZjAXk+dI2pPj2DDMU=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