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29AA2F07" w:rsidR="00841BCD" w:rsidRPr="007704EF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7704EF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7704EF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7704EF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7704EF">
        <w:rPr>
          <w:rFonts w:ascii="Arial" w:eastAsia="SimSun" w:hAnsi="Arial" w:cs="Times New Roman"/>
          <w:b/>
          <w:sz w:val="24"/>
          <w:szCs w:val="20"/>
        </w:rPr>
        <w:t>10</w:t>
      </w:r>
      <w:r w:rsidR="005B3F90" w:rsidRPr="007704EF">
        <w:rPr>
          <w:rFonts w:ascii="Arial" w:eastAsia="SimSun" w:hAnsi="Arial" w:cs="Times New Roman"/>
          <w:b/>
          <w:sz w:val="24"/>
          <w:szCs w:val="20"/>
        </w:rPr>
        <w:t>3</w:t>
      </w:r>
      <w:r w:rsidR="001868EE" w:rsidRPr="007704EF">
        <w:rPr>
          <w:rFonts w:ascii="Arial" w:eastAsia="SimSun" w:hAnsi="Arial" w:cs="Times New Roman"/>
          <w:b/>
          <w:sz w:val="24"/>
          <w:szCs w:val="20"/>
        </w:rPr>
        <w:t>-e</w:t>
      </w:r>
      <w:r w:rsidRPr="007704EF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637CE" w:rsidRPr="007704E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R4-2207879</w:t>
      </w:r>
    </w:p>
    <w:p w14:paraId="457FCC4F" w14:textId="71C5FF71" w:rsidR="00841BCD" w:rsidRPr="007704EF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7704EF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7704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5B3F90" w:rsidRPr="007704EF">
        <w:rPr>
          <w:rFonts w:ascii="Arial" w:eastAsia="SimSun" w:hAnsi="Arial" w:cs="Times New Roman"/>
          <w:b/>
          <w:sz w:val="24"/>
          <w:szCs w:val="20"/>
        </w:rPr>
        <w:t>May</w:t>
      </w:r>
      <w:r w:rsidR="00A04992" w:rsidRPr="007704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5B3F90" w:rsidRPr="007704EF">
        <w:rPr>
          <w:rFonts w:ascii="Arial" w:eastAsia="SimSun" w:hAnsi="Arial" w:cs="Times New Roman"/>
          <w:b/>
          <w:sz w:val="24"/>
          <w:szCs w:val="20"/>
        </w:rPr>
        <w:t>9</w:t>
      </w:r>
      <w:r w:rsidR="00A04992" w:rsidRPr="007704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5B3F90" w:rsidRPr="007704EF">
        <w:rPr>
          <w:rFonts w:ascii="Arial" w:eastAsia="SimSun" w:hAnsi="Arial" w:cs="Times New Roman"/>
          <w:b/>
          <w:sz w:val="24"/>
          <w:szCs w:val="20"/>
        </w:rPr>
        <w:t>20</w:t>
      </w:r>
      <w:r w:rsidR="00A04992" w:rsidRPr="007704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7704EF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7704EF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04EF">
        <w:rPr>
          <w:rFonts w:ascii="Arial" w:eastAsia="Calibri" w:hAnsi="Arial" w:cs="Arial"/>
          <w:b/>
          <w:bCs/>
          <w:sz w:val="24"/>
        </w:rPr>
        <w:t>Source:</w:t>
      </w:r>
      <w:r w:rsidRPr="007704EF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7704EF">
        <w:rPr>
          <w:rFonts w:ascii="Arial" w:eastAsia="Calibri" w:hAnsi="Arial" w:cs="Arial"/>
          <w:b/>
          <w:bCs/>
          <w:sz w:val="24"/>
        </w:rPr>
        <w:t>Nokia</w:t>
      </w:r>
      <w:r w:rsidRPr="007704EF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7704EF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6F203FE3" w:rsidR="00841BCD" w:rsidRPr="007704E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04EF">
        <w:rPr>
          <w:rFonts w:ascii="Arial" w:eastAsia="Calibri" w:hAnsi="Arial" w:cs="Arial"/>
          <w:b/>
          <w:bCs/>
          <w:sz w:val="24"/>
        </w:rPr>
        <w:t>Title:</w:t>
      </w:r>
      <w:r w:rsidRPr="007704EF">
        <w:rPr>
          <w:rFonts w:ascii="Arial" w:eastAsia="Calibri" w:hAnsi="Arial" w:cs="Arial"/>
          <w:b/>
          <w:bCs/>
          <w:sz w:val="24"/>
        </w:rPr>
        <w:tab/>
      </w:r>
      <w:r w:rsidR="00B637CE" w:rsidRPr="007704EF">
        <w:rPr>
          <w:rFonts w:ascii="Arial" w:eastAsia="Calibri" w:hAnsi="Arial" w:cs="Arial"/>
          <w:b/>
          <w:bCs/>
          <w:sz w:val="24"/>
        </w:rPr>
        <w:t>On Throughput and Bi-directional Scenario-A Mobility Performance</w:t>
      </w:r>
    </w:p>
    <w:p w14:paraId="641E8BEA" w14:textId="40DD0FE4" w:rsidR="00841BCD" w:rsidRPr="007704E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04EF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04EF">
        <w:rPr>
          <w:rFonts w:ascii="Arial" w:eastAsia="MS Mincho" w:hAnsi="Arial" w:cs="Arial"/>
          <w:b/>
          <w:bCs/>
          <w:sz w:val="24"/>
          <w:szCs w:val="20"/>
        </w:rPr>
        <w:tab/>
      </w:r>
      <w:r w:rsidR="00B637CE" w:rsidRPr="007704EF">
        <w:rPr>
          <w:rFonts w:ascii="Arial" w:eastAsia="MS Mincho" w:hAnsi="Arial" w:cs="Arial"/>
          <w:b/>
          <w:bCs/>
          <w:sz w:val="24"/>
          <w:szCs w:val="20"/>
        </w:rPr>
        <w:t>9.8.2.2 - RRC Idle/Inactive and connected state mobility requirements</w:t>
      </w:r>
    </w:p>
    <w:p w14:paraId="02EA8C51" w14:textId="3F1C6EB7" w:rsidR="00841BCD" w:rsidRPr="007704EF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04EF">
        <w:rPr>
          <w:rFonts w:ascii="Arial" w:eastAsia="Calibri" w:hAnsi="Arial" w:cs="Arial"/>
          <w:b/>
          <w:bCs/>
          <w:sz w:val="24"/>
        </w:rPr>
        <w:t>Document for:</w:t>
      </w:r>
      <w:r w:rsidRPr="007704EF">
        <w:rPr>
          <w:rFonts w:ascii="Arial" w:eastAsia="Calibri" w:hAnsi="Arial" w:cs="Arial"/>
          <w:b/>
          <w:bCs/>
          <w:sz w:val="24"/>
        </w:rPr>
        <w:tab/>
      </w:r>
      <w:r w:rsidR="00B637CE" w:rsidRPr="007704EF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7704EF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7704EF" w:rsidRDefault="00841BCD" w:rsidP="00A37002">
      <w:pPr>
        <w:pStyle w:val="RAN4H1"/>
        <w:rPr>
          <w:lang w:val="en-US"/>
        </w:rPr>
      </w:pPr>
      <w:r w:rsidRPr="007704EF">
        <w:rPr>
          <w:lang w:val="en-US"/>
        </w:rPr>
        <w:t>Intro</w:t>
      </w:r>
      <w:r w:rsidRPr="007704EF">
        <w:rPr>
          <w:rStyle w:val="RAN4H1Char"/>
          <w:lang w:val="en-US"/>
        </w:rPr>
        <w:t>ductio</w:t>
      </w:r>
      <w:r w:rsidRPr="007704EF">
        <w:rPr>
          <w:lang w:val="en-US"/>
        </w:rPr>
        <w:t>n</w:t>
      </w:r>
    </w:p>
    <w:p w14:paraId="0C7422F7" w14:textId="28E13C02" w:rsidR="005C23A4" w:rsidRPr="007704EF" w:rsidRDefault="00E24F98" w:rsidP="005C23A4">
      <w:r w:rsidRPr="007704EF">
        <w:t>TR 38.854 is used to capture the analysis on FR2 HST deployment scenarios, selection of parameters, potential issues, and expected performance.</w:t>
      </w:r>
    </w:p>
    <w:p w14:paraId="3EF744DF" w14:textId="6FF94DA9" w:rsidR="00D9556C" w:rsidRPr="007704EF" w:rsidRDefault="00D9556C" w:rsidP="005C23A4">
      <w:r w:rsidRPr="007704EF">
        <w:t>In our previous contributions to the TR (e.g., [1], [2])</w:t>
      </w:r>
      <w:r w:rsidR="008E3978" w:rsidRPr="007704EF">
        <w:t>,</w:t>
      </w:r>
      <w:r w:rsidRPr="007704EF">
        <w:t xml:space="preserve"> we have already contributed the mobility performance results in priority HST FR2 deployment scenarios.</w:t>
      </w:r>
    </w:p>
    <w:p w14:paraId="107783AF" w14:textId="6661D7CB" w:rsidR="008E3978" w:rsidRPr="007704EF" w:rsidRDefault="008E3978" w:rsidP="005C23A4">
      <w:r w:rsidRPr="007704EF">
        <w:t xml:space="preserve">However, </w:t>
      </w:r>
      <w:r w:rsidR="006A560E" w:rsidRPr="007704EF">
        <w:t>the following two</w:t>
      </w:r>
      <w:r w:rsidR="002C7AAC" w:rsidRPr="007704EF">
        <w:t xml:space="preserve"> important aspect</w:t>
      </w:r>
      <w:r w:rsidR="00D273C0" w:rsidRPr="007704EF">
        <w:t>s that</w:t>
      </w:r>
      <w:r w:rsidR="00CC2F3E" w:rsidRPr="007704EF">
        <w:t xml:space="preserve"> further extend the understanding of </w:t>
      </w:r>
      <w:r w:rsidR="009B2592" w:rsidRPr="007704EF">
        <w:t>system-level RRM performance in HST FR2 scenarios were not fully covered:</w:t>
      </w:r>
    </w:p>
    <w:p w14:paraId="08E72C9A" w14:textId="6105E140" w:rsidR="006B66F2" w:rsidRPr="007704EF" w:rsidRDefault="006B66F2" w:rsidP="006B66F2">
      <w:pPr>
        <w:pStyle w:val="ListParagraph"/>
        <w:numPr>
          <w:ilvl w:val="0"/>
          <w:numId w:val="23"/>
        </w:numPr>
      </w:pPr>
      <w:r w:rsidRPr="007704EF">
        <w:t xml:space="preserve">Throughput performance in </w:t>
      </w:r>
      <w:r w:rsidR="003927F0" w:rsidRPr="007704EF">
        <w:t xml:space="preserve">HST FR2 scenarios, introduced in our accompanying CR </w:t>
      </w:r>
      <w:r w:rsidR="003927F0" w:rsidRPr="007704EF">
        <w:fldChar w:fldCharType="begin"/>
      </w:r>
      <w:r w:rsidR="003927F0" w:rsidRPr="007704EF">
        <w:instrText xml:space="preserve"> REF _Ref101521259 \r \h </w:instrText>
      </w:r>
      <w:r w:rsidR="003927F0" w:rsidRPr="007704EF">
        <w:fldChar w:fldCharType="separate"/>
      </w:r>
      <w:r w:rsidR="003927F0" w:rsidRPr="007704EF">
        <w:t>[3]</w:t>
      </w:r>
      <w:r w:rsidR="003927F0" w:rsidRPr="007704EF">
        <w:fldChar w:fldCharType="end"/>
      </w:r>
      <w:r w:rsidR="003927F0" w:rsidRPr="007704EF">
        <w:t>;</w:t>
      </w:r>
    </w:p>
    <w:p w14:paraId="06FF2152" w14:textId="2B34A5A2" w:rsidR="00D12D80" w:rsidRPr="007704EF" w:rsidRDefault="00BE3ACB" w:rsidP="006B66F2">
      <w:pPr>
        <w:pStyle w:val="ListParagraph"/>
        <w:numPr>
          <w:ilvl w:val="0"/>
          <w:numId w:val="23"/>
        </w:numPr>
      </w:pPr>
      <w:r w:rsidRPr="007704EF">
        <w:t xml:space="preserve">Mobility performance in Bi-directional Scenario-A, introduced in our accompanying CR </w:t>
      </w:r>
      <w:r w:rsidR="00D12D80" w:rsidRPr="007704EF">
        <w:fldChar w:fldCharType="begin"/>
      </w:r>
      <w:r w:rsidR="00D12D80" w:rsidRPr="007704EF">
        <w:instrText xml:space="preserve"> REF _Ref101521150 \r \h </w:instrText>
      </w:r>
      <w:r w:rsidR="00D12D80" w:rsidRPr="007704EF">
        <w:fldChar w:fldCharType="separate"/>
      </w:r>
      <w:r w:rsidR="003927F0" w:rsidRPr="007704EF">
        <w:t>[4]</w:t>
      </w:r>
      <w:r w:rsidR="00D12D80" w:rsidRPr="007704EF">
        <w:fldChar w:fldCharType="end"/>
      </w:r>
      <w:r w:rsidR="003927F0" w:rsidRPr="007704EF">
        <w:t>.</w:t>
      </w:r>
    </w:p>
    <w:p w14:paraId="2C15E812" w14:textId="0C7E1993" w:rsidR="00242AED" w:rsidRPr="007704EF" w:rsidRDefault="008E3978" w:rsidP="005C23A4">
      <w:r w:rsidRPr="007704EF">
        <w:t xml:space="preserve">In this </w:t>
      </w:r>
      <w:r w:rsidR="00E34B5A" w:rsidRPr="007704EF">
        <w:t>contribution,</w:t>
      </w:r>
      <w:r w:rsidRPr="007704EF">
        <w:t xml:space="preserve"> we </w:t>
      </w:r>
      <w:r w:rsidR="000F5009" w:rsidRPr="007704EF">
        <w:t>discuss</w:t>
      </w:r>
      <w:r w:rsidRPr="007704EF">
        <w:t xml:space="preserve"> why these results</w:t>
      </w:r>
      <w:r w:rsidR="00586FD7" w:rsidRPr="007704EF">
        <w:t xml:space="preserve"> shall be present</w:t>
      </w:r>
      <w:r w:rsidRPr="007704EF">
        <w:t xml:space="preserve"> in the TR</w:t>
      </w:r>
      <w:r w:rsidR="00586FD7" w:rsidRPr="007704EF">
        <w:t xml:space="preserve"> 38.854</w:t>
      </w:r>
      <w:r w:rsidR="000F5009" w:rsidRPr="007704EF">
        <w:t xml:space="preserve"> and highlight</w:t>
      </w:r>
      <w:r w:rsidR="006E67A1" w:rsidRPr="007704EF">
        <w:t xml:space="preserve"> some of the findings.</w:t>
      </w:r>
    </w:p>
    <w:p w14:paraId="33D9D12E" w14:textId="77777777" w:rsidR="008E3978" w:rsidRPr="007704EF" w:rsidRDefault="008E3978" w:rsidP="005C23A4"/>
    <w:p w14:paraId="53EB10DC" w14:textId="77777777" w:rsidR="008E3978" w:rsidRPr="007704EF" w:rsidRDefault="008E3978" w:rsidP="005C23A4"/>
    <w:p w14:paraId="5E6E091D" w14:textId="77777777" w:rsidR="003B659E" w:rsidRPr="007704EF" w:rsidRDefault="003B659E" w:rsidP="00AE56B1">
      <w:pPr>
        <w:pStyle w:val="RAN4H1"/>
        <w:rPr>
          <w:lang w:val="en-US"/>
        </w:rPr>
      </w:pPr>
      <w:r w:rsidRPr="007704EF">
        <w:rPr>
          <w:lang w:val="en-US"/>
        </w:rPr>
        <w:t>Discussion</w:t>
      </w:r>
    </w:p>
    <w:p w14:paraId="3E607DE5" w14:textId="6C08102D" w:rsidR="005C23A4" w:rsidRPr="007704EF" w:rsidRDefault="00B56BA7" w:rsidP="00B56BA7">
      <w:pPr>
        <w:pStyle w:val="RAN4H2"/>
      </w:pPr>
      <w:r w:rsidRPr="007704EF">
        <w:t xml:space="preserve">On </w:t>
      </w:r>
      <w:r w:rsidR="009C7928" w:rsidRPr="007704EF">
        <w:t>throughput performance in HST FR2 scenarios</w:t>
      </w:r>
    </w:p>
    <w:p w14:paraId="4E6D1DA4" w14:textId="0DF0453F" w:rsidR="00B70FA1" w:rsidRPr="007704EF" w:rsidRDefault="00B70FA1" w:rsidP="00B70FA1">
      <w:r w:rsidRPr="007704EF">
        <w:t xml:space="preserve">In our previous contributions to the TR (e.g., [1], [2]) we have already </w:t>
      </w:r>
      <w:r w:rsidR="00995568" w:rsidRPr="007704EF">
        <w:t>introduced</w:t>
      </w:r>
      <w:r w:rsidRPr="007704EF">
        <w:t xml:space="preserve"> the mobility performance results in priority HST FR2 deployment scenarios based on the legacy RRM requirements with 8 Rx beams (Clause 6.3.4.1.1) and in two sets of HST enhanced requirements: Set-1 with 2 Rx beams and Set-2 with 6 Rx beams (Clause 6.3.4.1.2).</w:t>
      </w:r>
      <w:r w:rsidR="00FD4AF4" w:rsidRPr="007704EF">
        <w:t xml:space="preserve"> </w:t>
      </w:r>
      <w:r w:rsidRPr="007704EF">
        <w:t xml:space="preserve">In </w:t>
      </w:r>
      <w:r w:rsidR="00671B6A" w:rsidRPr="007704EF">
        <w:t>these clauses</w:t>
      </w:r>
      <w:r w:rsidRPr="007704EF">
        <w:t xml:space="preserve">, we have </w:t>
      </w:r>
      <w:r w:rsidR="000F150C" w:rsidRPr="007704EF">
        <w:t>reported</w:t>
      </w:r>
      <w:r w:rsidRPr="007704EF">
        <w:t xml:space="preserve"> </w:t>
      </w:r>
      <w:r w:rsidR="006A15D8" w:rsidRPr="007704EF">
        <w:t>several</w:t>
      </w:r>
      <w:r w:rsidRPr="007704EF">
        <w:t xml:space="preserve"> key mobility </w:t>
      </w:r>
      <w:r w:rsidR="00594567" w:rsidRPr="007704EF">
        <w:t>performance</w:t>
      </w:r>
      <w:r w:rsidRPr="007704EF">
        <w:t xml:space="preserve"> indicators, such as HO rate, ping-pongs, time of outage, SINR distribution, etc.</w:t>
      </w:r>
    </w:p>
    <w:p w14:paraId="617AC346" w14:textId="4A6AEE0B" w:rsidR="000F150C" w:rsidRPr="007704EF" w:rsidRDefault="000F150C" w:rsidP="00B70FA1">
      <w:r w:rsidRPr="007704EF">
        <w:t>However,</w:t>
      </w:r>
      <w:r w:rsidR="007318F5" w:rsidRPr="007704EF">
        <w:t xml:space="preserve"> Clause</w:t>
      </w:r>
      <w:r w:rsidRPr="007704EF">
        <w:t xml:space="preserve"> </w:t>
      </w:r>
      <w:r w:rsidR="007318F5" w:rsidRPr="007704EF">
        <w:t>6.3.3</w:t>
      </w:r>
      <w:r w:rsidR="000A3DE8" w:rsidRPr="007704EF">
        <w:t xml:space="preserve"> </w:t>
      </w:r>
      <w:r w:rsidR="00086674" w:rsidRPr="007704EF">
        <w:t>o</w:t>
      </w:r>
      <w:r w:rsidR="000A3DE8" w:rsidRPr="007704EF">
        <w:t>f the TR 38.854</w:t>
      </w:r>
      <w:r w:rsidR="007318F5" w:rsidRPr="007704EF">
        <w:t xml:space="preserve"> “Link Performance and Throughput Performance” in its current form includes mostly the anal</w:t>
      </w:r>
      <w:r w:rsidR="00FB73E2" w:rsidRPr="007704EF">
        <w:t>ysis</w:t>
      </w:r>
      <w:r w:rsidR="007318F5" w:rsidRPr="007704EF">
        <w:t xml:space="preserve"> of </w:t>
      </w:r>
      <w:r w:rsidR="00FB73E2" w:rsidRPr="007704EF">
        <w:t xml:space="preserve">link performance results. Whereases, throughput performance is </w:t>
      </w:r>
      <w:r w:rsidR="000A3DE8" w:rsidRPr="007704EF">
        <w:t>not sufficiently covered.</w:t>
      </w:r>
    </w:p>
    <w:p w14:paraId="6C4287A2" w14:textId="190A7D98" w:rsidR="00086674" w:rsidRPr="007704EF" w:rsidRDefault="00086674" w:rsidP="00086674">
      <w:pPr>
        <w:pStyle w:val="RAN4observation0"/>
        <w:rPr>
          <w:lang w:val="en-US"/>
        </w:rPr>
      </w:pPr>
      <w:r w:rsidRPr="007704EF">
        <w:rPr>
          <w:lang w:val="en-US"/>
        </w:rPr>
        <w:t xml:space="preserve">Clause 6.3.3 of the TR 38.854 “Link Performance and Throughput Performance” is missing </w:t>
      </w:r>
      <w:r w:rsidR="00F47FA9" w:rsidRPr="007704EF">
        <w:rPr>
          <w:lang w:val="en-US"/>
        </w:rPr>
        <w:t>throughput performance results.</w:t>
      </w:r>
    </w:p>
    <w:p w14:paraId="70D81B75" w14:textId="3B6D5338" w:rsidR="00FD4AF4" w:rsidRPr="007704EF" w:rsidRDefault="00B70FA1" w:rsidP="00B70FA1">
      <w:r w:rsidRPr="007704EF">
        <w:t>In</w:t>
      </w:r>
      <w:r w:rsidR="00FD4AF4" w:rsidRPr="007704EF">
        <w:t xml:space="preserve"> </w:t>
      </w:r>
      <w:r w:rsidR="00FD4AF4" w:rsidRPr="007704EF">
        <w:fldChar w:fldCharType="begin"/>
      </w:r>
      <w:r w:rsidR="00FD4AF4" w:rsidRPr="007704EF">
        <w:instrText xml:space="preserve"> REF _Ref101799190 \r \h </w:instrText>
      </w:r>
      <w:r w:rsidR="00FD4AF4" w:rsidRPr="007704EF">
        <w:fldChar w:fldCharType="separate"/>
      </w:r>
      <w:r w:rsidR="00FD4AF4" w:rsidRPr="007704EF">
        <w:t>[3]</w:t>
      </w:r>
      <w:r w:rsidR="00FD4AF4" w:rsidRPr="007704EF">
        <w:fldChar w:fldCharType="end"/>
      </w:r>
      <w:r w:rsidRPr="007704EF">
        <w:t>, we are focusing specifically on throughput performance in the priority HST FR2 scenarios without DRX.</w:t>
      </w:r>
      <w:r w:rsidR="00B97B38" w:rsidRPr="007704EF">
        <w:t xml:space="preserve"> 50MHz channel bandwidth is assumed for the sake of simulation execution time.</w:t>
      </w:r>
      <w:r w:rsidR="00F57996" w:rsidRPr="007704EF">
        <w:t xml:space="preserve"> The used metric is windowed user (CPE) throughput where each sample represents average throughput over 100 ms window of the CPE. </w:t>
      </w:r>
      <w:r w:rsidR="0062031A" w:rsidRPr="007704EF">
        <w:t xml:space="preserve">The maximum achievable CPE throughput </w:t>
      </w:r>
      <w:r w:rsidR="000B21D7" w:rsidRPr="007704EF">
        <w:t>with</w:t>
      </w:r>
      <w:r w:rsidR="0062031A" w:rsidRPr="007704EF">
        <w:t xml:space="preserve"> maximum modulation 64QAM is about 300 Mbps when there is only one CPE served by a cell at a time. Both the performance with enhanced RRM requirements (</w:t>
      </w:r>
      <w:r w:rsidR="000A11FB" w:rsidRPr="007704EF">
        <w:t>2 and 6 Rx beams</w:t>
      </w:r>
      <w:r w:rsidR="0062031A" w:rsidRPr="007704EF">
        <w:t>) and legacy RRM requirements (</w:t>
      </w:r>
      <w:r w:rsidR="000A11FB" w:rsidRPr="007704EF">
        <w:t>8 Rx beams</w:t>
      </w:r>
      <w:r w:rsidR="0062031A" w:rsidRPr="007704EF">
        <w:t xml:space="preserve">) </w:t>
      </w:r>
      <w:r w:rsidR="00421951" w:rsidRPr="007704EF">
        <w:t>is demonstrated</w:t>
      </w:r>
      <w:r w:rsidR="0062031A" w:rsidRPr="007704EF">
        <w:t>.</w:t>
      </w:r>
    </w:p>
    <w:p w14:paraId="1364C30B" w14:textId="202CC6EC" w:rsidR="009C7928" w:rsidRPr="007704EF" w:rsidRDefault="00B70FA1" w:rsidP="00B70FA1">
      <w:r w:rsidRPr="007704EF">
        <w:t>NR/5G calibrated fully dynamic system-level simulator was used to generate the results.</w:t>
      </w:r>
    </w:p>
    <w:p w14:paraId="08D7D2E1" w14:textId="7AFB23BA" w:rsidR="00674C6B" w:rsidRPr="007704EF" w:rsidRDefault="00674C6B" w:rsidP="00B70FA1">
      <w:r w:rsidRPr="007704EF">
        <w:lastRenderedPageBreak/>
        <w:t xml:space="preserve">Below, we make a few observations </w:t>
      </w:r>
      <w:r w:rsidR="00F47FA9" w:rsidRPr="007704EF">
        <w:t>based on the results that</w:t>
      </w:r>
      <w:r w:rsidRPr="007704EF">
        <w:t xml:space="preserve"> are included in the CR</w:t>
      </w:r>
      <w:r w:rsidR="00F47FA9" w:rsidRPr="007704EF">
        <w:t xml:space="preserve"> </w:t>
      </w:r>
      <w:r w:rsidR="00F47FA9" w:rsidRPr="007704EF">
        <w:fldChar w:fldCharType="begin"/>
      </w:r>
      <w:r w:rsidR="00F47FA9" w:rsidRPr="007704EF">
        <w:instrText xml:space="preserve"> REF _Ref101799190 \r \h </w:instrText>
      </w:r>
      <w:r w:rsidR="00F47FA9" w:rsidRPr="007704EF">
        <w:fldChar w:fldCharType="separate"/>
      </w:r>
      <w:r w:rsidR="00F47FA9" w:rsidRPr="007704EF">
        <w:t>[3]</w:t>
      </w:r>
      <w:r w:rsidR="00F47FA9" w:rsidRPr="007704EF">
        <w:fldChar w:fldCharType="end"/>
      </w:r>
      <w:r w:rsidRPr="007704EF">
        <w:t>:</w:t>
      </w:r>
    </w:p>
    <w:p w14:paraId="4539E85D" w14:textId="77777777" w:rsidR="00857AEC" w:rsidRPr="007704EF" w:rsidRDefault="00857AEC" w:rsidP="00B558B3">
      <w:pPr>
        <w:pStyle w:val="RAN4observation0"/>
        <w:rPr>
          <w:lang w:val="en-US"/>
        </w:rPr>
      </w:pPr>
    </w:p>
    <w:p w14:paraId="53B8E450" w14:textId="77777777" w:rsidR="00857AEC" w:rsidRPr="007704EF" w:rsidRDefault="00DE320F" w:rsidP="00857AEC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Windowed</w:t>
      </w:r>
      <w:r w:rsidR="00D02A1E" w:rsidRPr="007704EF">
        <w:rPr>
          <w:lang w:val="en-US"/>
        </w:rPr>
        <w:t xml:space="preserve"> CPE</w:t>
      </w:r>
      <w:r w:rsidRPr="007704EF">
        <w:rPr>
          <w:lang w:val="en-US"/>
        </w:rPr>
        <w:t xml:space="preserve"> throughput is close to maximum achievable rate </w:t>
      </w:r>
      <w:r w:rsidR="001978CF" w:rsidRPr="007704EF">
        <w:rPr>
          <w:lang w:val="en-US"/>
        </w:rPr>
        <w:t>considering</w:t>
      </w:r>
      <w:r w:rsidRPr="007704EF">
        <w:rPr>
          <w:lang w:val="en-US"/>
        </w:rPr>
        <w:t xml:space="preserve"> the used bandwidth </w:t>
      </w:r>
      <w:r w:rsidR="003F2087" w:rsidRPr="007704EF">
        <w:rPr>
          <w:lang w:val="en-US"/>
        </w:rPr>
        <w:t xml:space="preserve">and </w:t>
      </w:r>
      <w:r w:rsidRPr="007704EF">
        <w:rPr>
          <w:lang w:val="en-US"/>
        </w:rPr>
        <w:t>other physical layer settings in uni-directional scenarios</w:t>
      </w:r>
      <w:r w:rsidR="00D879B6" w:rsidRPr="007704EF">
        <w:rPr>
          <w:lang w:val="en-US"/>
        </w:rPr>
        <w:t xml:space="preserve"> if one CPE </w:t>
      </w:r>
      <w:r w:rsidR="001978CF" w:rsidRPr="007704EF">
        <w:rPr>
          <w:lang w:val="en-US"/>
        </w:rPr>
        <w:t>is simulated in the network</w:t>
      </w:r>
      <w:r w:rsidR="00CA497F" w:rsidRPr="007704EF">
        <w:rPr>
          <w:lang w:val="en-US"/>
        </w:rPr>
        <w:t>.</w:t>
      </w:r>
    </w:p>
    <w:p w14:paraId="11BD5573" w14:textId="77777777" w:rsidR="00857AEC" w:rsidRPr="007704EF" w:rsidRDefault="00F83B73" w:rsidP="00857AEC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Scenarios</w:t>
      </w:r>
      <w:r w:rsidR="00B558B3" w:rsidRPr="007704EF">
        <w:rPr>
          <w:lang w:val="en-US"/>
        </w:rPr>
        <w:t xml:space="preserve"> with DPS </w:t>
      </w:r>
      <w:r w:rsidRPr="007704EF">
        <w:rPr>
          <w:lang w:val="en-US"/>
        </w:rPr>
        <w:t>have higher throughput</w:t>
      </w:r>
      <w:r w:rsidR="00B558B3" w:rsidRPr="007704EF">
        <w:rPr>
          <w:lang w:val="en-US"/>
        </w:rPr>
        <w:t xml:space="preserve"> compared to non-DPS </w:t>
      </w:r>
      <w:r w:rsidRPr="007704EF">
        <w:rPr>
          <w:lang w:val="en-US"/>
        </w:rPr>
        <w:t xml:space="preserve">ones </w:t>
      </w:r>
      <w:r w:rsidR="00B558B3" w:rsidRPr="007704EF">
        <w:rPr>
          <w:lang w:val="en-US"/>
        </w:rPr>
        <w:t xml:space="preserve">due to lower outage time </w:t>
      </w:r>
      <w:r w:rsidR="00D33853" w:rsidRPr="007704EF">
        <w:rPr>
          <w:lang w:val="en-US"/>
        </w:rPr>
        <w:t>and</w:t>
      </w:r>
      <w:r w:rsidR="00B558B3" w:rsidRPr="007704EF">
        <w:rPr>
          <w:lang w:val="en-US"/>
        </w:rPr>
        <w:t xml:space="preserve"> less</w:t>
      </w:r>
      <w:r w:rsidR="00D33853" w:rsidRPr="007704EF">
        <w:rPr>
          <w:lang w:val="en-US"/>
        </w:rPr>
        <w:t xml:space="preserve"> frequent</w:t>
      </w:r>
      <w:r w:rsidR="00B558B3" w:rsidRPr="007704EF">
        <w:rPr>
          <w:lang w:val="en-US"/>
        </w:rPr>
        <w:t xml:space="preserve"> handovers between</w:t>
      </w:r>
      <w:r w:rsidR="00CA497F" w:rsidRPr="007704EF">
        <w:rPr>
          <w:lang w:val="en-US"/>
        </w:rPr>
        <w:t xml:space="preserve"> the</w:t>
      </w:r>
      <w:r w:rsidR="00B558B3" w:rsidRPr="007704EF">
        <w:rPr>
          <w:lang w:val="en-US"/>
        </w:rPr>
        <w:t xml:space="preserve"> RRHs</w:t>
      </w:r>
      <w:r w:rsidR="00D33853" w:rsidRPr="007704EF">
        <w:rPr>
          <w:lang w:val="en-US"/>
        </w:rPr>
        <w:t>.</w:t>
      </w:r>
    </w:p>
    <w:p w14:paraId="0D00393D" w14:textId="2CFA19D2" w:rsidR="00B558B3" w:rsidRPr="007704EF" w:rsidRDefault="00B558B3" w:rsidP="00857AEC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Windowed CPE throughput i</w:t>
      </w:r>
      <w:r w:rsidR="00975AE7" w:rsidRPr="007704EF">
        <w:rPr>
          <w:lang w:val="en-US"/>
        </w:rPr>
        <w:t>s</w:t>
      </w:r>
      <w:r w:rsidRPr="007704EF">
        <w:rPr>
          <w:lang w:val="en-US"/>
        </w:rPr>
        <w:t xml:space="preserve"> lower in bi-directional scenarios than in uni-directional scenarios</w:t>
      </w:r>
      <w:r w:rsidR="00F57996" w:rsidRPr="007704EF">
        <w:rPr>
          <w:lang w:val="en-US"/>
        </w:rPr>
        <w:t>,</w:t>
      </w:r>
      <w:r w:rsidR="0001128E" w:rsidRPr="007704EF">
        <w:rPr>
          <w:lang w:val="en-US"/>
        </w:rPr>
        <w:t xml:space="preserve"> e.g.</w:t>
      </w:r>
      <w:r w:rsidR="00F57996" w:rsidRPr="007704EF">
        <w:rPr>
          <w:lang w:val="en-US"/>
        </w:rPr>
        <w:t>,</w:t>
      </w:r>
      <w:r w:rsidR="0001128E" w:rsidRPr="007704EF">
        <w:rPr>
          <w:lang w:val="en-US"/>
        </w:rPr>
        <w:t xml:space="preserve"> due to more frequent handovers</w:t>
      </w:r>
      <w:r w:rsidR="00F34386" w:rsidRPr="007704EF">
        <w:rPr>
          <w:lang w:val="en-US"/>
        </w:rPr>
        <w:t>/</w:t>
      </w:r>
      <w:r w:rsidR="0001128E" w:rsidRPr="007704EF">
        <w:rPr>
          <w:lang w:val="en-US"/>
        </w:rPr>
        <w:t>beam switches</w:t>
      </w:r>
      <w:r w:rsidR="00F34386" w:rsidRPr="007704EF">
        <w:rPr>
          <w:lang w:val="en-US"/>
        </w:rPr>
        <w:t xml:space="preserve"> and longer distance to the serving RRHs.</w:t>
      </w:r>
    </w:p>
    <w:p w14:paraId="18450A1A" w14:textId="77777777" w:rsidR="00A477BD" w:rsidRPr="007704EF" w:rsidRDefault="00A477BD" w:rsidP="00432C74"/>
    <w:p w14:paraId="2B4C0762" w14:textId="77777777" w:rsidR="009C7928" w:rsidRPr="007704EF" w:rsidRDefault="009C7928" w:rsidP="009C7928"/>
    <w:p w14:paraId="5E29A015" w14:textId="54ECB218" w:rsidR="009C7928" w:rsidRPr="007704EF" w:rsidRDefault="009C7928" w:rsidP="009C7928">
      <w:pPr>
        <w:pStyle w:val="RAN4H2"/>
      </w:pPr>
      <w:r w:rsidRPr="007704EF">
        <w:t xml:space="preserve">On mobility performance in </w:t>
      </w:r>
      <w:r w:rsidR="003C4D18" w:rsidRPr="007704EF">
        <w:t xml:space="preserve">bi-directional </w:t>
      </w:r>
      <w:r w:rsidR="00127313" w:rsidRPr="007704EF">
        <w:t>Scenario</w:t>
      </w:r>
      <w:r w:rsidR="003C4D18" w:rsidRPr="007704EF">
        <w:t>-A</w:t>
      </w:r>
    </w:p>
    <w:p w14:paraId="62B3C456" w14:textId="1DAC8D6F" w:rsidR="00C6098F" w:rsidRPr="007704EF" w:rsidRDefault="00C6098F" w:rsidP="00C6098F">
      <w:r w:rsidRPr="007704EF">
        <w:t>The following priority HST FR2 scenarios were al</w:t>
      </w:r>
      <w:r w:rsidR="000524BA" w:rsidRPr="007704EF">
        <w:t>r</w:t>
      </w:r>
      <w:r w:rsidRPr="007704EF">
        <w:t xml:space="preserve">eady presented in the Clause 6.3.4.1.1 and Clause </w:t>
      </w:r>
      <w:r w:rsidRPr="007704EF">
        <w:rPr>
          <w:rFonts w:eastAsia="SimSun"/>
          <w:lang w:eastAsia="zh-CN"/>
        </w:rPr>
        <w:t>6.3.4.1.2 of the TR</w:t>
      </w:r>
      <w:r w:rsidRPr="007704EF">
        <w:t>:</w:t>
      </w:r>
    </w:p>
    <w:p w14:paraId="258003F7" w14:textId="77777777" w:rsidR="00C6098F" w:rsidRPr="007704EF" w:rsidRDefault="00C6098F" w:rsidP="00C6098F">
      <w:pPr>
        <w:pStyle w:val="ListParagraph"/>
        <w:numPr>
          <w:ilvl w:val="0"/>
          <w:numId w:val="22"/>
        </w:numPr>
        <w:spacing w:line="254" w:lineRule="auto"/>
      </w:pPr>
      <w:r w:rsidRPr="007704EF">
        <w:t>Uni-directional deployment in Scenario-A (Dmin = 10 m), 1Tx beam per RRH, 8Rx beams per UE (scaling factor 8 is used, but only one Rx beam direction is set in Scenario-A):</w:t>
      </w:r>
    </w:p>
    <w:p w14:paraId="3B24E3B6" w14:textId="77777777" w:rsidR="00C6098F" w:rsidRPr="007704EF" w:rsidRDefault="00C6098F" w:rsidP="00C6098F">
      <w:pPr>
        <w:pStyle w:val="ListParagraph"/>
        <w:numPr>
          <w:ilvl w:val="1"/>
          <w:numId w:val="22"/>
        </w:numPr>
        <w:spacing w:line="254" w:lineRule="auto"/>
      </w:pPr>
      <w:r w:rsidRPr="007704EF">
        <w:rPr>
          <w:i/>
          <w:iCs/>
        </w:rPr>
        <w:t>Same</w:t>
      </w:r>
      <w:r w:rsidRPr="007704EF">
        <w:t>: the train is traveling from the serving beam, i.e., the train traveling direction and RRH beam orientation are the same</w:t>
      </w:r>
    </w:p>
    <w:p w14:paraId="114093D0" w14:textId="77777777" w:rsidR="00C6098F" w:rsidRPr="007704EF" w:rsidRDefault="00C6098F" w:rsidP="00C6098F">
      <w:pPr>
        <w:pStyle w:val="ListParagraph"/>
        <w:numPr>
          <w:ilvl w:val="1"/>
          <w:numId w:val="22"/>
        </w:numPr>
        <w:spacing w:line="254" w:lineRule="auto"/>
      </w:pPr>
      <w:r w:rsidRPr="007704EF">
        <w:rPr>
          <w:i/>
          <w:iCs/>
        </w:rPr>
        <w:t xml:space="preserve">Opposite: </w:t>
      </w:r>
      <w:r w:rsidRPr="007704EF">
        <w:t>the train is traveling toward the serving beam, i.e., the train traveling direction and RRH beam orientation are opposite.</w:t>
      </w:r>
    </w:p>
    <w:p w14:paraId="75734C1B" w14:textId="77777777" w:rsidR="00C6098F" w:rsidRPr="007704EF" w:rsidRDefault="00C6098F" w:rsidP="00C6098F">
      <w:pPr>
        <w:pStyle w:val="ListParagraph"/>
        <w:numPr>
          <w:ilvl w:val="0"/>
          <w:numId w:val="22"/>
        </w:numPr>
        <w:spacing w:line="254" w:lineRule="auto"/>
      </w:pPr>
      <w:r w:rsidRPr="007704EF">
        <w:t>Uni-directional deployment in Scenario-B (Dmin = 150 m), [1,2] Tx beams per RRH, 8Rx beams per UE:</w:t>
      </w:r>
    </w:p>
    <w:p w14:paraId="633B94D4" w14:textId="77777777" w:rsidR="00C6098F" w:rsidRPr="007704EF" w:rsidRDefault="00C6098F" w:rsidP="00C6098F">
      <w:pPr>
        <w:pStyle w:val="ListParagraph"/>
        <w:numPr>
          <w:ilvl w:val="1"/>
          <w:numId w:val="22"/>
        </w:numPr>
        <w:spacing w:line="254" w:lineRule="auto"/>
      </w:pPr>
      <w:r w:rsidRPr="007704EF">
        <w:rPr>
          <w:i/>
          <w:iCs/>
        </w:rPr>
        <w:t>Same</w:t>
      </w:r>
      <w:r w:rsidRPr="007704EF">
        <w:t>: the train is traveling from the serving beam, i.e., the train traveling direction and RRH beam orientation are the same</w:t>
      </w:r>
    </w:p>
    <w:p w14:paraId="7FC96DF1" w14:textId="77777777" w:rsidR="00C6098F" w:rsidRPr="007704EF" w:rsidRDefault="00C6098F" w:rsidP="00C6098F">
      <w:pPr>
        <w:pStyle w:val="ListParagraph"/>
        <w:numPr>
          <w:ilvl w:val="1"/>
          <w:numId w:val="22"/>
        </w:numPr>
        <w:spacing w:line="254" w:lineRule="auto"/>
      </w:pPr>
      <w:r w:rsidRPr="007704EF">
        <w:rPr>
          <w:i/>
          <w:iCs/>
        </w:rPr>
        <w:t xml:space="preserve">Opposite: </w:t>
      </w:r>
      <w:r w:rsidRPr="007704EF">
        <w:t>the train is traveling toward the serving beam, i.e., the train traveling direction and RRH beam orientation are opposite.</w:t>
      </w:r>
    </w:p>
    <w:p w14:paraId="6D8BAA16" w14:textId="77777777" w:rsidR="00C6098F" w:rsidRPr="007704EF" w:rsidRDefault="00C6098F" w:rsidP="00C6098F">
      <w:pPr>
        <w:pStyle w:val="ListParagraph"/>
        <w:numPr>
          <w:ilvl w:val="0"/>
          <w:numId w:val="22"/>
        </w:numPr>
        <w:spacing w:line="254" w:lineRule="auto"/>
        <w:rPr>
          <w:i/>
          <w:iCs/>
        </w:rPr>
      </w:pPr>
      <w:r w:rsidRPr="007704EF">
        <w:t>Bi-directional deployment in Scenario-B, (Dmin = 150 m), [1,2] Tx beams per RRH panel (2 panels per RRH site), 8Rx beams per UE.</w:t>
      </w:r>
    </w:p>
    <w:p w14:paraId="52154B4E" w14:textId="77777777" w:rsidR="006D4310" w:rsidRPr="007704EF" w:rsidRDefault="006D4310" w:rsidP="006D4310">
      <w:r w:rsidRPr="007704EF">
        <w:t>NR/5G calibrated fully dynamic system-level simulator was used to generate the results.</w:t>
      </w:r>
    </w:p>
    <w:p w14:paraId="220911CB" w14:textId="77777777" w:rsidR="00C6098F" w:rsidRPr="007704EF" w:rsidRDefault="00C6098F" w:rsidP="00C6098F"/>
    <w:p w14:paraId="50FC5FB4" w14:textId="6FA5F8CA" w:rsidR="00C6098F" w:rsidRPr="007704EF" w:rsidRDefault="00C6098F" w:rsidP="00C6098F">
      <w:r w:rsidRPr="007704EF">
        <w:t xml:space="preserve">However, </w:t>
      </w:r>
      <w:r w:rsidRPr="007704EF">
        <w:rPr>
          <w:b/>
          <w:bCs/>
        </w:rPr>
        <w:t>bi-directional Scenario-A</w:t>
      </w:r>
      <w:r w:rsidRPr="007704EF">
        <w:t xml:space="preserve"> was not considered as priority one in the HST FR2 WI in REl-17. </w:t>
      </w:r>
    </w:p>
    <w:p w14:paraId="7CF056C0" w14:textId="05EA867D" w:rsidR="00C6098F" w:rsidRPr="007704EF" w:rsidRDefault="00C6098F" w:rsidP="00C6098F">
      <w:r w:rsidRPr="007704EF">
        <w:t>In</w:t>
      </w:r>
      <w:r w:rsidR="004B1B19" w:rsidRPr="007704EF">
        <w:t xml:space="preserve"> </w:t>
      </w:r>
      <w:r w:rsidR="004B1B19" w:rsidRPr="007704EF">
        <w:fldChar w:fldCharType="begin"/>
      </w:r>
      <w:r w:rsidR="004B1B19" w:rsidRPr="007704EF">
        <w:instrText xml:space="preserve"> REF _Ref101809979 \r \h </w:instrText>
      </w:r>
      <w:r w:rsidR="004B1B19" w:rsidRPr="007704EF">
        <w:fldChar w:fldCharType="separate"/>
      </w:r>
      <w:r w:rsidR="004B1B19" w:rsidRPr="007704EF">
        <w:t>[4]</w:t>
      </w:r>
      <w:r w:rsidR="004B1B19" w:rsidRPr="007704EF">
        <w:fldChar w:fldCharType="end"/>
      </w:r>
      <w:r w:rsidRPr="007704EF">
        <w:t xml:space="preserve">, we demonstrate some the of key mobility performance indicators, such as HO rate, ping-pongs, time of outage, SINR distribution, etc. Thus, the mobility performance of this scenario </w:t>
      </w:r>
      <w:r w:rsidR="00C26F46" w:rsidRPr="007704EF">
        <w:t>can</w:t>
      </w:r>
      <w:r w:rsidRPr="007704EF">
        <w:t xml:space="preserve"> be compared directly with the priority </w:t>
      </w:r>
      <w:r w:rsidR="00C26F46" w:rsidRPr="007704EF">
        <w:t>HST</w:t>
      </w:r>
      <w:r w:rsidRPr="007704EF">
        <w:t xml:space="preserve"> FR2 scenarios</w:t>
      </w:r>
      <w:r w:rsidR="004B7212" w:rsidRPr="007704EF">
        <w:t>, both with legacy and enhanced RRM requirements.</w:t>
      </w:r>
    </w:p>
    <w:p w14:paraId="2EE7242B" w14:textId="568D864D" w:rsidR="00DA4AF6" w:rsidRPr="007704EF" w:rsidRDefault="00DA4AF6" w:rsidP="00C6098F">
      <w:r w:rsidRPr="007704EF">
        <w:t xml:space="preserve">In addition to other parameters varied in the rest of the scenarios, the results with both multi-panel </w:t>
      </w:r>
      <w:r w:rsidR="005A7F2C" w:rsidRPr="007704EF">
        <w:t>assumptions</w:t>
      </w:r>
      <w:r w:rsidRPr="007704EF">
        <w:t xml:space="preserve"> 1 and 3 are shown. With assumption 1, only one panel at a time can perform </w:t>
      </w:r>
      <w:r w:rsidR="005A7F2C" w:rsidRPr="007704EF">
        <w:t xml:space="preserve">RRM </w:t>
      </w:r>
      <w:r w:rsidRPr="007704EF">
        <w:t>measurements and with assumption 3 both panels can measure at the same time.</w:t>
      </w:r>
    </w:p>
    <w:p w14:paraId="1A810E05" w14:textId="642AD496" w:rsidR="003A06B8" w:rsidRPr="007704EF" w:rsidRDefault="001E02DC" w:rsidP="00C6098F">
      <w:r w:rsidRPr="007704EF">
        <w:t xml:space="preserve">Below, we make a few observations based on the results that are included in the CR </w:t>
      </w:r>
      <w:r w:rsidRPr="007704EF">
        <w:fldChar w:fldCharType="begin"/>
      </w:r>
      <w:r w:rsidRPr="007704EF">
        <w:instrText xml:space="preserve"> REF _Ref101809979 \r \h </w:instrText>
      </w:r>
      <w:r w:rsidRPr="007704EF">
        <w:fldChar w:fldCharType="separate"/>
      </w:r>
      <w:r w:rsidRPr="007704EF">
        <w:t>[4]</w:t>
      </w:r>
      <w:r w:rsidRPr="007704EF">
        <w:fldChar w:fldCharType="end"/>
      </w:r>
      <w:r w:rsidRPr="007704EF">
        <w:t>:</w:t>
      </w:r>
    </w:p>
    <w:p w14:paraId="69C52F00" w14:textId="155B28EB" w:rsidR="00100E52" w:rsidRPr="007704EF" w:rsidRDefault="00AE7ACA" w:rsidP="00AE7ACA">
      <w:pPr>
        <w:pStyle w:val="RAN4observation0"/>
        <w:rPr>
          <w:lang w:val="en-US"/>
        </w:rPr>
      </w:pPr>
      <w:r w:rsidRPr="007704EF">
        <w:rPr>
          <w:lang w:val="en-US"/>
        </w:rPr>
        <w:t xml:space="preserve">Bi-directional Scenario-A was not considered as priority one in HST FR2 </w:t>
      </w:r>
      <w:r w:rsidR="00FC7A61" w:rsidRPr="007704EF">
        <w:rPr>
          <w:lang w:val="en-US"/>
        </w:rPr>
        <w:t>REl-17 WI because of more challenging mobility especially if RRM measurements can be done by one CPE panel at a time.</w:t>
      </w:r>
    </w:p>
    <w:p w14:paraId="06634497" w14:textId="77777777" w:rsidR="00857AEC" w:rsidRPr="007704EF" w:rsidRDefault="00857AEC" w:rsidP="001E02DC">
      <w:pPr>
        <w:pStyle w:val="RAN4observation0"/>
        <w:rPr>
          <w:lang w:val="en-US"/>
        </w:rPr>
      </w:pPr>
    </w:p>
    <w:p w14:paraId="14AE69BD" w14:textId="636545A4" w:rsidR="00857AEC" w:rsidRPr="007704EF" w:rsidRDefault="00C66BA9" w:rsidP="00857AEC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Enhanced RRM requirements significantly improve mobility robustness compared to legacy RRM requirements</w:t>
      </w:r>
      <w:r w:rsidR="00225E2E" w:rsidRPr="007704EF">
        <w:rPr>
          <w:lang w:val="en-US"/>
        </w:rPr>
        <w:t>.</w:t>
      </w:r>
    </w:p>
    <w:p w14:paraId="6340B0B7" w14:textId="4D8AF5B2" w:rsidR="00857AEC" w:rsidRPr="007704EF" w:rsidRDefault="00D43BBA" w:rsidP="00857AEC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 xml:space="preserve">Mobility robustness improves in DPS deployment compared to non-DPS due to </w:t>
      </w:r>
      <w:r w:rsidR="00F77488" w:rsidRPr="007704EF">
        <w:rPr>
          <w:lang w:val="en-US"/>
        </w:rPr>
        <w:t>shorter</w:t>
      </w:r>
      <w:r w:rsidRPr="007704EF">
        <w:rPr>
          <w:lang w:val="en-US"/>
        </w:rPr>
        <w:t xml:space="preserve"> mobility delays</w:t>
      </w:r>
      <w:r w:rsidR="00451895" w:rsidRPr="007704EF">
        <w:rPr>
          <w:lang w:val="en-US"/>
        </w:rPr>
        <w:t>,</w:t>
      </w:r>
      <w:r w:rsidR="00F77488" w:rsidRPr="007704EF">
        <w:rPr>
          <w:lang w:val="en-US"/>
        </w:rPr>
        <w:t xml:space="preserve"> i.e.</w:t>
      </w:r>
      <w:r w:rsidR="00451895" w:rsidRPr="007704EF">
        <w:rPr>
          <w:lang w:val="en-US"/>
        </w:rPr>
        <w:t>,</w:t>
      </w:r>
      <w:r w:rsidR="00F77488" w:rsidRPr="007704EF">
        <w:rPr>
          <w:lang w:val="en-US"/>
        </w:rPr>
        <w:t xml:space="preserve"> beam switch compared to handover</w:t>
      </w:r>
      <w:r w:rsidR="008F1C21" w:rsidRPr="007704EF">
        <w:rPr>
          <w:lang w:val="en-US"/>
        </w:rPr>
        <w:t>.</w:t>
      </w:r>
    </w:p>
    <w:p w14:paraId="46564CBF" w14:textId="7C02E051" w:rsidR="00857AEC" w:rsidRPr="007704EF" w:rsidRDefault="00025449" w:rsidP="00857AEC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Similar precautions on longer than 40 ms DRX</w:t>
      </w:r>
      <w:r w:rsidR="008F1C21" w:rsidRPr="007704EF">
        <w:rPr>
          <w:lang w:val="en-US"/>
        </w:rPr>
        <w:t xml:space="preserve"> cycle</w:t>
      </w:r>
      <w:r w:rsidRPr="007704EF">
        <w:rPr>
          <w:lang w:val="en-US"/>
        </w:rPr>
        <w:t xml:space="preserve"> apply to bi-directional Scenario-A as</w:t>
      </w:r>
      <w:r w:rsidR="00EB620D" w:rsidRPr="007704EF">
        <w:rPr>
          <w:lang w:val="en-US"/>
        </w:rPr>
        <w:t xml:space="preserve"> to</w:t>
      </w:r>
      <w:r w:rsidRPr="007704EF">
        <w:rPr>
          <w:lang w:val="en-US"/>
        </w:rPr>
        <w:t xml:space="preserve"> uni-directional where</w:t>
      </w:r>
      <w:r w:rsidR="00CF571E" w:rsidRPr="007704EF">
        <w:rPr>
          <w:lang w:val="en-US"/>
        </w:rPr>
        <w:t xml:space="preserve"> the</w:t>
      </w:r>
      <w:r w:rsidRPr="007704EF">
        <w:rPr>
          <w:lang w:val="en-US"/>
        </w:rPr>
        <w:t xml:space="preserve"> train is traveling </w:t>
      </w:r>
      <w:r w:rsidR="00EB620D" w:rsidRPr="007704EF">
        <w:rPr>
          <w:lang w:val="en-US"/>
        </w:rPr>
        <w:t>in</w:t>
      </w:r>
      <w:r w:rsidRPr="007704EF">
        <w:rPr>
          <w:lang w:val="en-US"/>
        </w:rPr>
        <w:t xml:space="preserve"> </w:t>
      </w:r>
      <w:r w:rsidR="00CF571E" w:rsidRPr="007704EF">
        <w:rPr>
          <w:lang w:val="en-US"/>
        </w:rPr>
        <w:t xml:space="preserve">the </w:t>
      </w:r>
      <w:r w:rsidRPr="007704EF">
        <w:rPr>
          <w:lang w:val="en-US"/>
        </w:rPr>
        <w:t xml:space="preserve">opposite direction </w:t>
      </w:r>
      <w:r w:rsidR="00CF571E" w:rsidRPr="007704EF">
        <w:rPr>
          <w:lang w:val="en-US"/>
        </w:rPr>
        <w:t>to the serving RRH panel orientation.</w:t>
      </w:r>
    </w:p>
    <w:p w14:paraId="6BD6C76B" w14:textId="1564801C" w:rsidR="00BF7711" w:rsidRPr="007704EF" w:rsidRDefault="00BF7711" w:rsidP="00857AEC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Multi-panel assumption has large impact on mobility performance particularly in non-DPS deployment</w:t>
      </w:r>
      <w:r w:rsidR="00475C07" w:rsidRPr="007704EF">
        <w:rPr>
          <w:lang w:val="en-US"/>
        </w:rPr>
        <w:t xml:space="preserve">, where the robustness is significantly better if CPE </w:t>
      </w:r>
      <w:r w:rsidR="008908C4" w:rsidRPr="007704EF">
        <w:rPr>
          <w:lang w:val="en-US"/>
        </w:rPr>
        <w:t>can</w:t>
      </w:r>
      <w:r w:rsidR="00475C07" w:rsidRPr="007704EF">
        <w:rPr>
          <w:lang w:val="en-US"/>
        </w:rPr>
        <w:t xml:space="preserve"> perform RRM measurement on both directions at the same time</w:t>
      </w:r>
      <w:r w:rsidR="00EB620D" w:rsidRPr="007704EF">
        <w:rPr>
          <w:lang w:val="en-US"/>
        </w:rPr>
        <w:t>.</w:t>
      </w:r>
    </w:p>
    <w:p w14:paraId="3B80E2B7" w14:textId="77777777" w:rsidR="00025449" w:rsidRPr="007704EF" w:rsidRDefault="00025449" w:rsidP="00902E86"/>
    <w:p w14:paraId="0701C502" w14:textId="77777777" w:rsidR="002105D9" w:rsidRPr="007704EF" w:rsidRDefault="002105D9" w:rsidP="005C23A4"/>
    <w:p w14:paraId="16CA844C" w14:textId="77777777" w:rsidR="00CD7492" w:rsidRPr="007704EF" w:rsidRDefault="00CD7492" w:rsidP="00A37002">
      <w:pPr>
        <w:pStyle w:val="RAN4H1"/>
        <w:rPr>
          <w:lang w:val="en-US"/>
        </w:rPr>
      </w:pPr>
      <w:r w:rsidRPr="007704EF">
        <w:rPr>
          <w:lang w:val="en-US"/>
        </w:rPr>
        <w:t>Conclusion</w:t>
      </w:r>
    </w:p>
    <w:p w14:paraId="724223BC" w14:textId="08479233" w:rsidR="005C23A4" w:rsidRPr="007704EF" w:rsidRDefault="002105D9" w:rsidP="005C23A4">
      <w:r w:rsidRPr="007704EF">
        <w:t xml:space="preserve">In this paper, </w:t>
      </w:r>
      <w:r w:rsidR="00372CA9" w:rsidRPr="007704EF">
        <w:t xml:space="preserve">we have provided motivation for the addition of </w:t>
      </w:r>
      <w:r w:rsidR="009F6DE9" w:rsidRPr="007704EF">
        <w:t>new</w:t>
      </w:r>
      <w:r w:rsidR="00D11170" w:rsidRPr="007704EF">
        <w:t xml:space="preserve"> simulation results</w:t>
      </w:r>
      <w:r w:rsidR="00F86AC2" w:rsidRPr="007704EF">
        <w:t xml:space="preserve"> demonstrating mobility performance in bi-directional scenario-A and throughput performance in</w:t>
      </w:r>
      <w:r w:rsidR="00AD1002" w:rsidRPr="007704EF">
        <w:t xml:space="preserve"> the </w:t>
      </w:r>
      <w:r w:rsidR="00C45FAC" w:rsidRPr="007704EF">
        <w:t xml:space="preserve">priority HST FR2 </w:t>
      </w:r>
      <w:r w:rsidR="00326B15" w:rsidRPr="007704EF">
        <w:t>scenarios</w:t>
      </w:r>
      <w:r w:rsidR="00C45FAC" w:rsidRPr="007704EF">
        <w:t>.</w:t>
      </w:r>
    </w:p>
    <w:p w14:paraId="0FDC4F8C" w14:textId="3CC06ED1" w:rsidR="00C45FAC" w:rsidRPr="007704EF" w:rsidRDefault="00C45FAC" w:rsidP="005C23A4">
      <w:r w:rsidRPr="007704EF">
        <w:t>The following observations were made</w:t>
      </w:r>
      <w:r w:rsidR="00326B15" w:rsidRPr="007704EF">
        <w:t>:</w:t>
      </w:r>
    </w:p>
    <w:p w14:paraId="33FBF456" w14:textId="77777777" w:rsidR="00100E52" w:rsidRPr="007704EF" w:rsidRDefault="00100E52" w:rsidP="00FC7A61">
      <w:pPr>
        <w:pStyle w:val="RAN4Observation"/>
        <w:numPr>
          <w:ilvl w:val="0"/>
          <w:numId w:val="24"/>
        </w:numPr>
        <w:rPr>
          <w:lang w:val="en-US"/>
        </w:rPr>
      </w:pPr>
      <w:r w:rsidRPr="007704EF">
        <w:rPr>
          <w:lang w:val="en-US"/>
        </w:rPr>
        <w:t>Clause 6.3.3 of the TR 38.854 “Link Performance and Throughput Performance” is missing throughput performance results.</w:t>
      </w:r>
    </w:p>
    <w:p w14:paraId="2662A382" w14:textId="77777777" w:rsidR="00FC7A61" w:rsidRPr="007704EF" w:rsidRDefault="00FC7A61" w:rsidP="00FC7A61">
      <w:pPr>
        <w:pStyle w:val="RAN4observation0"/>
        <w:rPr>
          <w:lang w:val="en-US"/>
        </w:rPr>
      </w:pPr>
    </w:p>
    <w:p w14:paraId="31278A7E" w14:textId="77777777" w:rsidR="00FC7A61" w:rsidRPr="007704EF" w:rsidRDefault="00FC7A61" w:rsidP="00FC7A61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Windowed CPE throughput is close to maximum achievable rate considering the used bandwidth and other physical layer settings in uni-directional scenarios if one CPE is simulated in the network.</w:t>
      </w:r>
    </w:p>
    <w:p w14:paraId="54F8DC90" w14:textId="77777777" w:rsidR="00FC7A61" w:rsidRPr="007704EF" w:rsidRDefault="00FC7A61" w:rsidP="00FC7A61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Scenarios with DPS have higher throughput compared to non-DPS ones due to lower outage time and less frequent handovers between the RRHs.</w:t>
      </w:r>
    </w:p>
    <w:p w14:paraId="6A326384" w14:textId="77777777" w:rsidR="00FC7A61" w:rsidRPr="007704EF" w:rsidRDefault="00FC7A61" w:rsidP="00FC7A61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Windowed CPE throughput is lower in bi-directional scenarios than in uni-directional scenarios, e.g., due to more frequent handovers/beam switches and longer distance to the serving RRHs.</w:t>
      </w:r>
    </w:p>
    <w:p w14:paraId="1C7E3905" w14:textId="77777777" w:rsidR="00FC7A61" w:rsidRPr="007704EF" w:rsidRDefault="00FC7A61" w:rsidP="00FC7A61">
      <w:pPr>
        <w:pStyle w:val="RAN4observation0"/>
        <w:rPr>
          <w:lang w:val="en-US"/>
        </w:rPr>
      </w:pPr>
      <w:r w:rsidRPr="007704EF">
        <w:rPr>
          <w:lang w:val="en-US"/>
        </w:rPr>
        <w:t>Bi-directional Scenario-A was not considered as priority one in HST FR2 REl-17 WI because of more challenging mobility especially if RRM measurements can be done by one CPE panel at a time.</w:t>
      </w:r>
    </w:p>
    <w:p w14:paraId="315E297E" w14:textId="77777777" w:rsidR="00FC7A61" w:rsidRPr="007704EF" w:rsidRDefault="00FC7A61" w:rsidP="00FC7A61">
      <w:pPr>
        <w:pStyle w:val="RAN4observation0"/>
        <w:rPr>
          <w:lang w:val="en-US"/>
        </w:rPr>
      </w:pPr>
    </w:p>
    <w:p w14:paraId="046A94DA" w14:textId="77777777" w:rsidR="00FC7A61" w:rsidRPr="007704EF" w:rsidRDefault="00FC7A61" w:rsidP="00FC7A61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Enhanced RRM requirements significantly improve mobility robustness compared to legacy RRM requirements.</w:t>
      </w:r>
    </w:p>
    <w:p w14:paraId="07DD2D04" w14:textId="77777777" w:rsidR="00FC7A61" w:rsidRPr="007704EF" w:rsidRDefault="00FC7A61" w:rsidP="00FC7A61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Mobility robustness improves in DPS deployment compared to non-DPS due to shorter mobility delays, i.e., beam switch compared to handover.</w:t>
      </w:r>
    </w:p>
    <w:p w14:paraId="4B14A04F" w14:textId="77777777" w:rsidR="00FC7A61" w:rsidRPr="007704EF" w:rsidRDefault="00FC7A61" w:rsidP="00FC7A61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Similar precautions on longer than 40 ms DRX cycle apply to bi-directional Scenario-A as to uni-directional where the train is traveling in the opposite direction to the serving RRH panel orientation.</w:t>
      </w:r>
    </w:p>
    <w:p w14:paraId="7156D6D4" w14:textId="77777777" w:rsidR="00FC7A61" w:rsidRPr="007704EF" w:rsidRDefault="00FC7A61" w:rsidP="00FC7A61">
      <w:pPr>
        <w:pStyle w:val="RAN4observation0"/>
        <w:numPr>
          <w:ilvl w:val="1"/>
          <w:numId w:val="6"/>
        </w:numPr>
        <w:rPr>
          <w:lang w:val="en-US"/>
        </w:rPr>
      </w:pPr>
      <w:r w:rsidRPr="007704EF">
        <w:rPr>
          <w:lang w:val="en-US"/>
        </w:rPr>
        <w:t>Multi-panel assumption has large impact on mobility performance particularly in non-DPS deployment, where the robustness is significantly better if CPE can perform RRM measurement on both directions at the same time.</w:t>
      </w:r>
    </w:p>
    <w:p w14:paraId="634A1989" w14:textId="77777777" w:rsidR="00902E86" w:rsidRPr="007704EF" w:rsidRDefault="00902E86" w:rsidP="005C23A4"/>
    <w:p w14:paraId="134FF1BE" w14:textId="77777777" w:rsidR="00090E18" w:rsidRPr="007704EF" w:rsidRDefault="00090E18" w:rsidP="005C23A4"/>
    <w:p w14:paraId="6E61D21D" w14:textId="77777777" w:rsidR="003B659E" w:rsidRPr="007704EF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7704EF">
        <w:rPr>
          <w:lang w:val="en-US"/>
        </w:rPr>
        <w:t>References</w:t>
      </w:r>
    </w:p>
    <w:p w14:paraId="3B2934C7" w14:textId="77777777" w:rsidR="005E4167" w:rsidRPr="007704EF" w:rsidRDefault="005E4167" w:rsidP="005E4167">
      <w:pPr>
        <w:pStyle w:val="ListParagraph"/>
        <w:numPr>
          <w:ilvl w:val="0"/>
          <w:numId w:val="21"/>
        </w:numPr>
        <w:ind w:right="-22"/>
      </w:pPr>
      <w:bookmarkStart w:id="3" w:name="_Ref100235823"/>
      <w:r w:rsidRPr="007704EF">
        <w:t>R4-2201847, TP to TR 38.854 on Mobility Performance in HST FR2 Deployment Scenarios, RAN4#101-e-bis, Nokia.</w:t>
      </w:r>
      <w:bookmarkEnd w:id="3"/>
    </w:p>
    <w:p w14:paraId="36DA83C5" w14:textId="77777777" w:rsidR="005E4167" w:rsidRPr="007704EF" w:rsidRDefault="005E4167" w:rsidP="005E4167">
      <w:pPr>
        <w:pStyle w:val="ListParagraph"/>
        <w:numPr>
          <w:ilvl w:val="0"/>
          <w:numId w:val="21"/>
        </w:numPr>
        <w:ind w:right="-22"/>
      </w:pPr>
      <w:bookmarkStart w:id="4" w:name="_Ref100235827"/>
      <w:r w:rsidRPr="007704EF">
        <w:t>R4-2205960, TP to TR 38.854 on Legacy RRM Requirement Mobility Performance in HST FR2 Deployment Scenarios, RAN4#102-e, Nokia.</w:t>
      </w:r>
      <w:bookmarkEnd w:id="4"/>
    </w:p>
    <w:p w14:paraId="37076F32" w14:textId="582C89AA" w:rsidR="006C5799" w:rsidRPr="007704EF" w:rsidRDefault="006C5799" w:rsidP="00D66188">
      <w:pPr>
        <w:pStyle w:val="ListParagraph"/>
        <w:numPr>
          <w:ilvl w:val="0"/>
          <w:numId w:val="21"/>
        </w:numPr>
        <w:ind w:right="-22"/>
      </w:pPr>
      <w:bookmarkStart w:id="5" w:name="_Ref101521150"/>
      <w:bookmarkStart w:id="6" w:name="_Ref101799190"/>
      <w:bookmarkEnd w:id="5"/>
      <w:r w:rsidRPr="007704EF">
        <w:t xml:space="preserve">R4-2207881, </w:t>
      </w:r>
      <w:r w:rsidR="00F95830" w:rsidRPr="007704EF">
        <w:t>CR to TR 38.854 on Throughput Performance in HST FR2 Scenarios, RAN4#103-e, Nokia.</w:t>
      </w:r>
      <w:bookmarkEnd w:id="6"/>
    </w:p>
    <w:p w14:paraId="39C69540" w14:textId="052F91B2" w:rsidR="00687FA0" w:rsidRPr="007704EF" w:rsidRDefault="0008371E" w:rsidP="009A3566">
      <w:pPr>
        <w:pStyle w:val="ListParagraph"/>
        <w:numPr>
          <w:ilvl w:val="0"/>
          <w:numId w:val="21"/>
        </w:numPr>
        <w:ind w:right="-22"/>
      </w:pPr>
      <w:bookmarkStart w:id="7" w:name="_Ref101809979"/>
      <w:r w:rsidRPr="007704EF">
        <w:t xml:space="preserve">R4-2207880, </w:t>
      </w:r>
      <w:r w:rsidR="009A3566" w:rsidRPr="007704EF">
        <w:t>CR to TR 38.854 on Bi-directional Scenario-A Mobility Performance, RAN4#103-e, Nokia.</w:t>
      </w:r>
      <w:bookmarkEnd w:id="7"/>
    </w:p>
    <w:sectPr w:rsidR="00687FA0" w:rsidRPr="007704E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D9E45" w14:textId="77777777" w:rsidR="00570FE1" w:rsidRDefault="00570FE1" w:rsidP="00001C9B">
      <w:pPr>
        <w:spacing w:after="0" w:line="240" w:lineRule="auto"/>
      </w:pPr>
      <w:r>
        <w:separator/>
      </w:r>
    </w:p>
  </w:endnote>
  <w:endnote w:type="continuationSeparator" w:id="0">
    <w:p w14:paraId="65B31834" w14:textId="77777777" w:rsidR="00570FE1" w:rsidRDefault="00570FE1" w:rsidP="00001C9B">
      <w:pPr>
        <w:spacing w:after="0" w:line="240" w:lineRule="auto"/>
      </w:pPr>
      <w:r>
        <w:continuationSeparator/>
      </w:r>
    </w:p>
  </w:endnote>
  <w:endnote w:type="continuationNotice" w:id="1">
    <w:p w14:paraId="7E672BCE" w14:textId="77777777" w:rsidR="002105D9" w:rsidRDefault="002105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552F" w14:textId="77777777" w:rsidR="00570FE1" w:rsidRDefault="00570FE1" w:rsidP="00001C9B">
      <w:pPr>
        <w:spacing w:after="0" w:line="240" w:lineRule="auto"/>
      </w:pPr>
      <w:r>
        <w:separator/>
      </w:r>
    </w:p>
  </w:footnote>
  <w:footnote w:type="continuationSeparator" w:id="0">
    <w:p w14:paraId="24EED1F2" w14:textId="77777777" w:rsidR="00570FE1" w:rsidRDefault="00570FE1" w:rsidP="00001C9B">
      <w:pPr>
        <w:spacing w:after="0" w:line="240" w:lineRule="auto"/>
      </w:pPr>
      <w:r>
        <w:continuationSeparator/>
      </w:r>
    </w:p>
  </w:footnote>
  <w:footnote w:type="continuationNotice" w:id="1">
    <w:p w14:paraId="001699BA" w14:textId="77777777" w:rsidR="002105D9" w:rsidRDefault="002105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351C95"/>
    <w:multiLevelType w:val="hybridMultilevel"/>
    <w:tmpl w:val="7B062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E5BFA"/>
    <w:multiLevelType w:val="hybridMultilevel"/>
    <w:tmpl w:val="8CC0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2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10"/>
  </w:num>
  <w:num w:numId="23">
    <w:abstractNumId w:val="4"/>
  </w:num>
  <w:num w:numId="24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gFAIObAKQtAAAA"/>
  </w:docVars>
  <w:rsids>
    <w:rsidRoot w:val="00841BCD"/>
    <w:rsid w:val="00001C9B"/>
    <w:rsid w:val="0001128E"/>
    <w:rsid w:val="00025449"/>
    <w:rsid w:val="000524BA"/>
    <w:rsid w:val="0008371E"/>
    <w:rsid w:val="0008612A"/>
    <w:rsid w:val="00086674"/>
    <w:rsid w:val="00090E18"/>
    <w:rsid w:val="00092F11"/>
    <w:rsid w:val="000A11FB"/>
    <w:rsid w:val="000A3DE8"/>
    <w:rsid w:val="000A51AA"/>
    <w:rsid w:val="000B0056"/>
    <w:rsid w:val="000B21D7"/>
    <w:rsid w:val="000F150C"/>
    <w:rsid w:val="000F5009"/>
    <w:rsid w:val="00100E52"/>
    <w:rsid w:val="00127313"/>
    <w:rsid w:val="00140221"/>
    <w:rsid w:val="001745F8"/>
    <w:rsid w:val="001838CF"/>
    <w:rsid w:val="001868EE"/>
    <w:rsid w:val="001978CF"/>
    <w:rsid w:val="001A3BA4"/>
    <w:rsid w:val="001E02DC"/>
    <w:rsid w:val="001E30F6"/>
    <w:rsid w:val="002105D9"/>
    <w:rsid w:val="00225E2E"/>
    <w:rsid w:val="00235F5C"/>
    <w:rsid w:val="00242AED"/>
    <w:rsid w:val="002B4922"/>
    <w:rsid w:val="002C2D19"/>
    <w:rsid w:val="002C7AAC"/>
    <w:rsid w:val="002D10FA"/>
    <w:rsid w:val="002D4C55"/>
    <w:rsid w:val="002F1237"/>
    <w:rsid w:val="00326B15"/>
    <w:rsid w:val="00372CA9"/>
    <w:rsid w:val="003927F0"/>
    <w:rsid w:val="00395A27"/>
    <w:rsid w:val="003A06B8"/>
    <w:rsid w:val="003B659E"/>
    <w:rsid w:val="003C4D18"/>
    <w:rsid w:val="003F2087"/>
    <w:rsid w:val="00421951"/>
    <w:rsid w:val="00432C74"/>
    <w:rsid w:val="0043750A"/>
    <w:rsid w:val="00451895"/>
    <w:rsid w:val="00467DA0"/>
    <w:rsid w:val="00475C07"/>
    <w:rsid w:val="004854BB"/>
    <w:rsid w:val="004A603C"/>
    <w:rsid w:val="004B1B19"/>
    <w:rsid w:val="004B7212"/>
    <w:rsid w:val="004E5E66"/>
    <w:rsid w:val="00503B4D"/>
    <w:rsid w:val="00504EE9"/>
    <w:rsid w:val="0054442C"/>
    <w:rsid w:val="00550285"/>
    <w:rsid w:val="00570FE1"/>
    <w:rsid w:val="00572A20"/>
    <w:rsid w:val="005836F8"/>
    <w:rsid w:val="00586FD7"/>
    <w:rsid w:val="005918FA"/>
    <w:rsid w:val="00594567"/>
    <w:rsid w:val="005A7F2C"/>
    <w:rsid w:val="005B3F90"/>
    <w:rsid w:val="005C23A4"/>
    <w:rsid w:val="005D1CDF"/>
    <w:rsid w:val="005E4167"/>
    <w:rsid w:val="005E61A8"/>
    <w:rsid w:val="005F6419"/>
    <w:rsid w:val="00606C4E"/>
    <w:rsid w:val="00617400"/>
    <w:rsid w:val="0062031A"/>
    <w:rsid w:val="00664950"/>
    <w:rsid w:val="00671B6A"/>
    <w:rsid w:val="00674C6B"/>
    <w:rsid w:val="00683220"/>
    <w:rsid w:val="00687FA0"/>
    <w:rsid w:val="00691C71"/>
    <w:rsid w:val="006A15D8"/>
    <w:rsid w:val="006A560E"/>
    <w:rsid w:val="006B66F2"/>
    <w:rsid w:val="006B7010"/>
    <w:rsid w:val="006C5799"/>
    <w:rsid w:val="006D4310"/>
    <w:rsid w:val="006E6311"/>
    <w:rsid w:val="006E67A1"/>
    <w:rsid w:val="007145FF"/>
    <w:rsid w:val="007318F5"/>
    <w:rsid w:val="00751515"/>
    <w:rsid w:val="00766DD7"/>
    <w:rsid w:val="007704EF"/>
    <w:rsid w:val="00784DF6"/>
    <w:rsid w:val="00785232"/>
    <w:rsid w:val="00786D50"/>
    <w:rsid w:val="0079198F"/>
    <w:rsid w:val="007C3ED0"/>
    <w:rsid w:val="00804FFA"/>
    <w:rsid w:val="00806A76"/>
    <w:rsid w:val="00811C9D"/>
    <w:rsid w:val="00816C80"/>
    <w:rsid w:val="00841BCD"/>
    <w:rsid w:val="008473C9"/>
    <w:rsid w:val="00851A8E"/>
    <w:rsid w:val="00857AEC"/>
    <w:rsid w:val="008826C1"/>
    <w:rsid w:val="008908C4"/>
    <w:rsid w:val="008E3978"/>
    <w:rsid w:val="008F1C21"/>
    <w:rsid w:val="008F1EE7"/>
    <w:rsid w:val="008F5324"/>
    <w:rsid w:val="0090091A"/>
    <w:rsid w:val="00902E86"/>
    <w:rsid w:val="009042BD"/>
    <w:rsid w:val="009238B4"/>
    <w:rsid w:val="00935B9B"/>
    <w:rsid w:val="00975AE7"/>
    <w:rsid w:val="00977E1D"/>
    <w:rsid w:val="00995568"/>
    <w:rsid w:val="009A3566"/>
    <w:rsid w:val="009B2592"/>
    <w:rsid w:val="009C7928"/>
    <w:rsid w:val="009F6DE9"/>
    <w:rsid w:val="00A04992"/>
    <w:rsid w:val="00A21D71"/>
    <w:rsid w:val="00A22B78"/>
    <w:rsid w:val="00A25AE5"/>
    <w:rsid w:val="00A37002"/>
    <w:rsid w:val="00A477BD"/>
    <w:rsid w:val="00A55B9B"/>
    <w:rsid w:val="00AA1B0E"/>
    <w:rsid w:val="00AC5CA7"/>
    <w:rsid w:val="00AD1002"/>
    <w:rsid w:val="00AE2BA5"/>
    <w:rsid w:val="00AE2DC1"/>
    <w:rsid w:val="00AE56B1"/>
    <w:rsid w:val="00AE7ACA"/>
    <w:rsid w:val="00B425CF"/>
    <w:rsid w:val="00B47E0E"/>
    <w:rsid w:val="00B558B3"/>
    <w:rsid w:val="00B56BA7"/>
    <w:rsid w:val="00B637CE"/>
    <w:rsid w:val="00B70FA1"/>
    <w:rsid w:val="00B73862"/>
    <w:rsid w:val="00B97B38"/>
    <w:rsid w:val="00BA6E48"/>
    <w:rsid w:val="00BE3ACB"/>
    <w:rsid w:val="00BF2218"/>
    <w:rsid w:val="00BF7711"/>
    <w:rsid w:val="00C26F46"/>
    <w:rsid w:val="00C40198"/>
    <w:rsid w:val="00C45FAC"/>
    <w:rsid w:val="00C6098F"/>
    <w:rsid w:val="00C66BA9"/>
    <w:rsid w:val="00CA497F"/>
    <w:rsid w:val="00CC2F3E"/>
    <w:rsid w:val="00CD0250"/>
    <w:rsid w:val="00CD7492"/>
    <w:rsid w:val="00CE3A6B"/>
    <w:rsid w:val="00CF571E"/>
    <w:rsid w:val="00D00211"/>
    <w:rsid w:val="00D02A1E"/>
    <w:rsid w:val="00D04AC8"/>
    <w:rsid w:val="00D06309"/>
    <w:rsid w:val="00D11170"/>
    <w:rsid w:val="00D12D80"/>
    <w:rsid w:val="00D12E9F"/>
    <w:rsid w:val="00D273C0"/>
    <w:rsid w:val="00D33853"/>
    <w:rsid w:val="00D351EA"/>
    <w:rsid w:val="00D43403"/>
    <w:rsid w:val="00D43BBA"/>
    <w:rsid w:val="00D47D53"/>
    <w:rsid w:val="00D62E71"/>
    <w:rsid w:val="00D66188"/>
    <w:rsid w:val="00D740CA"/>
    <w:rsid w:val="00D85728"/>
    <w:rsid w:val="00D879B6"/>
    <w:rsid w:val="00D9556C"/>
    <w:rsid w:val="00DA4AF6"/>
    <w:rsid w:val="00DE320F"/>
    <w:rsid w:val="00DF2997"/>
    <w:rsid w:val="00E031AA"/>
    <w:rsid w:val="00E24F98"/>
    <w:rsid w:val="00E34B5A"/>
    <w:rsid w:val="00EA0C2B"/>
    <w:rsid w:val="00EB3770"/>
    <w:rsid w:val="00EB620D"/>
    <w:rsid w:val="00EC7BC3"/>
    <w:rsid w:val="00ED7600"/>
    <w:rsid w:val="00EE1F1C"/>
    <w:rsid w:val="00EF698B"/>
    <w:rsid w:val="00F1362C"/>
    <w:rsid w:val="00F34386"/>
    <w:rsid w:val="00F37AEA"/>
    <w:rsid w:val="00F47FA9"/>
    <w:rsid w:val="00F508B8"/>
    <w:rsid w:val="00F57996"/>
    <w:rsid w:val="00F77488"/>
    <w:rsid w:val="00F824F5"/>
    <w:rsid w:val="00F83B73"/>
    <w:rsid w:val="00F86AC2"/>
    <w:rsid w:val="00F95830"/>
    <w:rsid w:val="00FB73E2"/>
    <w:rsid w:val="00FC29B9"/>
    <w:rsid w:val="00FC6FD3"/>
    <w:rsid w:val="00FC7A61"/>
    <w:rsid w:val="00FD4AF4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764AA"/>
  <w15:chartTrackingRefBased/>
  <w15:docId w15:val="{AD0384F2-81A2-4168-B23D-717AB595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2D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2105D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5D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105D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5D9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5AIRPNAIUNRU-1328258698-11484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https://nokia.sharepoint.com/sites/c5g/5gradio/_layouts/15/DocIdRedir.aspx?ID=5AIRPNAIUNRU-1328258698-11484</Url>
      <Description>5AIRPNAIUNRU-1328258698-11484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1275</Words>
  <Characters>7142</Characters>
  <Application>Microsoft Office Word</Application>
  <DocSecurity>0</DocSecurity>
  <Lines>649</Lines>
  <Paragraphs>323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(Dmitry)</cp:lastModifiedBy>
  <cp:revision>114</cp:revision>
  <dcterms:created xsi:type="dcterms:W3CDTF">2021-09-16T07:35:00Z</dcterms:created>
  <dcterms:modified xsi:type="dcterms:W3CDTF">2022-04-25T20:10:00Z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b47e0dae-4dbf-4a61-b3ed-9d53f5e9a5b4</vt:lpwstr>
  </property>
</Properties>
</file>