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428F5B4B" w:rsidR="00BC2F5A" w:rsidRDefault="00BC2F5A" w:rsidP="00BC2F5A">
      <w:pPr>
        <w:pStyle w:val="CH"/>
      </w:pPr>
      <w:bookmarkStart w:id="0" w:name="_Hlk71278819"/>
      <w:bookmarkStart w:id="1" w:name="historyclause"/>
      <w:bookmarkEnd w:id="0"/>
      <w:r w:rsidRPr="00B070F5">
        <w:t>3GPP RAN WG</w:t>
      </w:r>
      <w:r>
        <w:t>4</w:t>
      </w:r>
      <w:r w:rsidRPr="00B070F5">
        <w:t xml:space="preserve"> Meeting #</w:t>
      </w:r>
      <w:r w:rsidR="00EE34B4">
        <w:t>10</w:t>
      </w:r>
      <w:r w:rsidR="009D0B77">
        <w:t>2</w:t>
      </w:r>
      <w:r w:rsidR="00D6636C">
        <w:t>-</w:t>
      </w:r>
      <w:r>
        <w:t>e</w:t>
      </w:r>
      <w:r>
        <w:tab/>
      </w:r>
      <w:r>
        <w:tab/>
      </w:r>
      <w:ins w:id="2" w:author="Lehne, Mark A" w:date="2022-03-01T08:57:00Z">
        <w:r w:rsidR="000F7371">
          <w:t>R4-</w:t>
        </w:r>
        <w:r w:rsidR="008C5478">
          <w:t>2206559</w:t>
        </w:r>
      </w:ins>
      <w:del w:id="3" w:author="Lehne, Mark A" w:date="2022-03-01T08:57:00Z">
        <w:r w:rsidR="00BC2F5C" w:rsidRPr="00BC2F5C" w:rsidDel="000F7371">
          <w:delText>R4-</w:delText>
        </w:r>
        <w:r w:rsidR="0066515B" w:rsidRPr="0066515B" w:rsidDel="000F7371">
          <w:delText>2205821</w:delText>
        </w:r>
      </w:del>
    </w:p>
    <w:p w14:paraId="50DC9730" w14:textId="1C9F86C2" w:rsidR="00D309CC" w:rsidRPr="002F2CF6" w:rsidRDefault="001F61DB" w:rsidP="00BC2F5A">
      <w:pPr>
        <w:pStyle w:val="CH"/>
        <w:tabs>
          <w:tab w:val="clear" w:pos="7920"/>
        </w:tabs>
        <w:rPr>
          <w:b w:val="0"/>
        </w:rPr>
      </w:pPr>
      <w:r w:rsidRPr="001F61DB">
        <w:t xml:space="preserve">Electronic meeting, </w:t>
      </w:r>
      <w:r w:rsidR="006868BE">
        <w:t>February</w:t>
      </w:r>
      <w:r w:rsidR="007738A4" w:rsidRPr="007738A4">
        <w:t xml:space="preserve"> </w:t>
      </w:r>
      <w:r w:rsidR="006868BE">
        <w:t>21 – March 3</w:t>
      </w:r>
      <w:r w:rsidR="007738A4" w:rsidRPr="007738A4">
        <w:t>, 2022</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25E7FF37" w:rsidR="00D309CC" w:rsidRPr="002F2CF6" w:rsidRDefault="00D309CC" w:rsidP="00D05F34">
      <w:pPr>
        <w:pStyle w:val="CH"/>
        <w:spacing w:after="120"/>
        <w:rPr>
          <w:b w:val="0"/>
        </w:rPr>
      </w:pPr>
      <w:r w:rsidRPr="002F2CF6">
        <w:t>Agenda item:</w:t>
      </w:r>
      <w:r w:rsidRPr="002F2CF6">
        <w:tab/>
      </w:r>
      <w:r w:rsidR="005F27DE">
        <w:t>11.2.1</w:t>
      </w:r>
    </w:p>
    <w:p w14:paraId="4DBE005A" w14:textId="55388ABB" w:rsidR="00D309CC" w:rsidRPr="002F2CF6" w:rsidRDefault="00D309CC" w:rsidP="00D05F34">
      <w:pPr>
        <w:pStyle w:val="CH"/>
        <w:spacing w:after="120"/>
        <w:rPr>
          <w:b w:val="0"/>
        </w:rPr>
      </w:pPr>
      <w:r w:rsidRPr="002F2CF6">
        <w:t>Source:</w:t>
      </w:r>
      <w:r w:rsidRPr="002F2CF6">
        <w:tab/>
      </w:r>
      <w:r w:rsidR="00981FFE">
        <w:t>Intel</w:t>
      </w:r>
      <w:r w:rsidR="00C50543">
        <w:t xml:space="preserve"> </w:t>
      </w:r>
      <w:r w:rsidR="00BF685D">
        <w:t>Corporation</w:t>
      </w:r>
      <w:ins w:id="4" w:author="Lehne, Mark A" w:date="2022-03-01T13:51:00Z">
        <w:r w:rsidR="000E6105">
          <w:t>, Ericsson</w:t>
        </w:r>
      </w:ins>
    </w:p>
    <w:p w14:paraId="0D2061A1" w14:textId="37059FBF" w:rsidR="00D309CC" w:rsidRPr="002F2CF6" w:rsidRDefault="00D309CC" w:rsidP="00D05F34">
      <w:pPr>
        <w:pStyle w:val="CH"/>
        <w:spacing w:after="120"/>
        <w:ind w:left="2268" w:hanging="2268"/>
      </w:pPr>
      <w:r w:rsidRPr="002F2CF6">
        <w:t>Title:</w:t>
      </w:r>
      <w:r w:rsidRPr="002F2CF6">
        <w:tab/>
      </w:r>
      <w:r w:rsidR="00E01F2D" w:rsidRPr="00E01F2D">
        <w:t xml:space="preserve">TP to TR 38.844: </w:t>
      </w:r>
      <w:r w:rsidR="00C4006B">
        <w:t xml:space="preserve">Summary and </w:t>
      </w:r>
      <w:r w:rsidR="00255B0C">
        <w:t>Conclusions</w:t>
      </w:r>
    </w:p>
    <w:p w14:paraId="2E4E044D" w14:textId="1726A10E" w:rsidR="00D309CC" w:rsidRPr="002F2CF6" w:rsidRDefault="00D309CC" w:rsidP="00D05F34">
      <w:pPr>
        <w:pStyle w:val="CH"/>
        <w:spacing w:after="120"/>
      </w:pPr>
      <w:r w:rsidRPr="002F2CF6">
        <w:t>Document for:</w:t>
      </w:r>
      <w:r w:rsidRPr="002F2CF6">
        <w:tab/>
      </w:r>
      <w:r w:rsidR="00F209F3">
        <w:t>Discussion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12E51B70" w14:textId="4E57573B" w:rsidR="000E0EC4" w:rsidRPr="00CE29E5" w:rsidRDefault="0079679C" w:rsidP="009F653F">
      <w:pPr>
        <w:rPr>
          <w:sz w:val="22"/>
          <w:szCs w:val="22"/>
        </w:rPr>
      </w:pPr>
      <w:r w:rsidRPr="00CE29E5">
        <w:rPr>
          <w:sz w:val="22"/>
          <w:szCs w:val="22"/>
        </w:rPr>
        <w:t>This contribution include</w:t>
      </w:r>
      <w:r w:rsidR="00E3657C">
        <w:rPr>
          <w:sz w:val="22"/>
          <w:szCs w:val="22"/>
        </w:rPr>
        <w:t>s</w:t>
      </w:r>
      <w:r w:rsidRPr="00CE29E5">
        <w:rPr>
          <w:sz w:val="22"/>
          <w:szCs w:val="22"/>
        </w:rPr>
        <w:t xml:space="preserve"> </w:t>
      </w:r>
      <w:r w:rsidR="008F1F84">
        <w:rPr>
          <w:sz w:val="22"/>
          <w:szCs w:val="22"/>
        </w:rPr>
        <w:t>TP of proposed conclusions for section 7</w:t>
      </w:r>
      <w:r w:rsidR="00E3657C">
        <w:rPr>
          <w:sz w:val="22"/>
          <w:szCs w:val="22"/>
        </w:rPr>
        <w:t xml:space="preserve"> of</w:t>
      </w:r>
      <w:r w:rsidR="003941C9" w:rsidRPr="00CE29E5">
        <w:rPr>
          <w:sz w:val="22"/>
          <w:szCs w:val="22"/>
        </w:rPr>
        <w:t xml:space="preserve"> TR 38.844</w:t>
      </w:r>
      <w:r w:rsidR="00FB3AC6">
        <w:rPr>
          <w:sz w:val="22"/>
          <w:szCs w:val="22"/>
        </w:rPr>
        <w:t xml:space="preserve">.  </w:t>
      </w:r>
    </w:p>
    <w:p w14:paraId="63053F7E" w14:textId="0E894AC0" w:rsidR="00C365FA" w:rsidRDefault="00C365FA" w:rsidP="00C5766E">
      <w:pPr>
        <w:pStyle w:val="Heading1"/>
        <w:numPr>
          <w:ilvl w:val="0"/>
          <w:numId w:val="17"/>
        </w:numPr>
        <w:ind w:left="1170" w:hanging="1170"/>
      </w:pPr>
      <w:r>
        <w:t>Discussion</w:t>
      </w:r>
    </w:p>
    <w:p w14:paraId="04B55CAF" w14:textId="7EE66043" w:rsidR="00B60C87" w:rsidRPr="00CE29E5" w:rsidRDefault="005B62A2" w:rsidP="00B60C87">
      <w:pPr>
        <w:rPr>
          <w:sz w:val="22"/>
          <w:szCs w:val="22"/>
        </w:rPr>
      </w:pPr>
      <w:r>
        <w:rPr>
          <w:sz w:val="22"/>
          <w:szCs w:val="22"/>
        </w:rPr>
        <w:t>The specific changes include:</w:t>
      </w:r>
    </w:p>
    <w:p w14:paraId="67FB7082" w14:textId="6B0998A9" w:rsidR="00E75994" w:rsidRPr="00CE29E5" w:rsidRDefault="00963916" w:rsidP="005B62A2">
      <w:pPr>
        <w:pStyle w:val="ListParagraph"/>
        <w:numPr>
          <w:ilvl w:val="0"/>
          <w:numId w:val="36"/>
        </w:numPr>
        <w:spacing w:after="120"/>
        <w:contextualSpacing w:val="0"/>
        <w:rPr>
          <w:sz w:val="22"/>
          <w:szCs w:val="22"/>
        </w:rPr>
      </w:pPr>
      <w:r>
        <w:rPr>
          <w:sz w:val="22"/>
          <w:szCs w:val="22"/>
        </w:rPr>
        <w:t>Proposed c</w:t>
      </w:r>
      <w:r w:rsidR="00E75994">
        <w:rPr>
          <w:sz w:val="22"/>
          <w:szCs w:val="22"/>
        </w:rPr>
        <w:t>onclusions</w:t>
      </w:r>
      <w:r>
        <w:rPr>
          <w:sz w:val="22"/>
          <w:szCs w:val="22"/>
        </w:rPr>
        <w:t xml:space="preserve"> added in 7.2</w:t>
      </w:r>
    </w:p>
    <w:p w14:paraId="038ACD73" w14:textId="77777777" w:rsidR="00CB22D1" w:rsidRDefault="00CB22D1" w:rsidP="00632E7E">
      <w:pPr>
        <w:spacing w:after="0"/>
      </w:pPr>
    </w:p>
    <w:p w14:paraId="51F86862" w14:textId="77777777" w:rsidR="0062278D" w:rsidRDefault="0062278D" w:rsidP="0062278D">
      <w:pPr>
        <w:pStyle w:val="Heading1"/>
      </w:pPr>
      <w:r>
        <w:t>7</w:t>
      </w:r>
      <w:r>
        <w:tab/>
        <w:t xml:space="preserve">Conclusion </w:t>
      </w:r>
    </w:p>
    <w:p w14:paraId="41C94B26" w14:textId="77777777" w:rsidR="0062278D" w:rsidRDefault="0062278D" w:rsidP="0062278D">
      <w:pPr>
        <w:pStyle w:val="Heading4"/>
      </w:pPr>
      <w:r>
        <w:t xml:space="preserve">7.1 Comparison Between Different Schemes </w:t>
      </w:r>
    </w:p>
    <w:p w14:paraId="6254B896" w14:textId="77777777" w:rsidR="0062278D" w:rsidRDefault="0062278D" w:rsidP="0062278D">
      <w:pPr>
        <w:jc w:val="both"/>
        <w:rPr>
          <w:lang w:val="en-US" w:eastAsia="ja-JP"/>
        </w:rPr>
      </w:pPr>
      <w:r>
        <w:rPr>
          <w:lang w:val="en-US" w:eastAsia="ja-JP"/>
        </w:rPr>
        <w:t xml:space="preserve">This section provides a comparison of the proposed schemes using different criteria. </w:t>
      </w:r>
    </w:p>
    <w:p w14:paraId="673A2CC7" w14:textId="77777777" w:rsidR="0062278D" w:rsidRDefault="0062278D" w:rsidP="0062278D">
      <w:pPr>
        <w:jc w:val="both"/>
        <w:rPr>
          <w:lang w:val="en-US" w:eastAsia="ja-JP"/>
        </w:rPr>
      </w:pPr>
      <w:r>
        <w:rPr>
          <w:lang w:val="en-US" w:eastAsia="ja-JP"/>
        </w:rPr>
        <w:t xml:space="preserve">The comparison between different schemes is summarized Table 7.2.1. </w:t>
      </w:r>
    </w:p>
    <w:p w14:paraId="3DD4C9C6" w14:textId="77777777" w:rsidR="0062278D" w:rsidRDefault="0062278D" w:rsidP="0062278D">
      <w:pPr>
        <w:pStyle w:val="TF"/>
      </w:pPr>
      <w:commentRangeStart w:id="5"/>
      <w:r>
        <w:t>Table 7.2.1. Comparison of different schemes</w:t>
      </w:r>
      <w:commentRangeEnd w:id="5"/>
      <w:r>
        <w:rPr>
          <w:rStyle w:val="CommentReference"/>
        </w:rPr>
        <w:commentReference w:id="5"/>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1927"/>
        <w:gridCol w:w="1924"/>
        <w:gridCol w:w="1921"/>
        <w:gridCol w:w="1938"/>
      </w:tblGrid>
      <w:tr w:rsidR="0062278D" w14:paraId="4F4218EB" w14:textId="77777777" w:rsidTr="0062278D">
        <w:tc>
          <w:tcPr>
            <w:tcW w:w="1965" w:type="dxa"/>
            <w:tcBorders>
              <w:top w:val="single" w:sz="4" w:space="0" w:color="auto"/>
              <w:left w:val="single" w:sz="4" w:space="0" w:color="auto"/>
              <w:bottom w:val="single" w:sz="4" w:space="0" w:color="auto"/>
              <w:right w:val="single" w:sz="4" w:space="0" w:color="auto"/>
            </w:tcBorders>
            <w:hideMark/>
          </w:tcPr>
          <w:p w14:paraId="274D97F5" w14:textId="77777777" w:rsidR="0062278D" w:rsidRDefault="0062278D">
            <w:pPr>
              <w:jc w:val="both"/>
              <w:rPr>
                <w:lang w:val="en-US" w:eastAsia="ja-JP"/>
              </w:rPr>
            </w:pPr>
            <w:r>
              <w:rPr>
                <w:lang w:val="en-US" w:eastAsia="ja-JP"/>
              </w:rPr>
              <w:t>Comparison Criteria</w:t>
            </w:r>
          </w:p>
        </w:tc>
        <w:tc>
          <w:tcPr>
            <w:tcW w:w="1966" w:type="dxa"/>
            <w:tcBorders>
              <w:top w:val="single" w:sz="4" w:space="0" w:color="auto"/>
              <w:left w:val="single" w:sz="4" w:space="0" w:color="auto"/>
              <w:bottom w:val="single" w:sz="4" w:space="0" w:color="auto"/>
              <w:right w:val="single" w:sz="4" w:space="0" w:color="auto"/>
            </w:tcBorders>
            <w:hideMark/>
          </w:tcPr>
          <w:p w14:paraId="66CB627A" w14:textId="77777777" w:rsidR="0062278D" w:rsidRDefault="0062278D">
            <w:pPr>
              <w:jc w:val="both"/>
              <w:rPr>
                <w:rFonts w:eastAsia="Yu Mincho"/>
                <w:lang w:eastAsia="en-GB"/>
              </w:rPr>
            </w:pPr>
            <w:r>
              <w:rPr>
                <w:rFonts w:eastAsia="Calibri"/>
                <w:noProof/>
                <w:lang w:eastAsia="en-GB"/>
              </w:rPr>
              <w:t>Overlapping CA (two cells) – described in Section 6.2.1</w:t>
            </w:r>
          </w:p>
        </w:tc>
        <w:tc>
          <w:tcPr>
            <w:tcW w:w="1966" w:type="dxa"/>
            <w:tcBorders>
              <w:top w:val="single" w:sz="4" w:space="0" w:color="auto"/>
              <w:left w:val="single" w:sz="4" w:space="0" w:color="auto"/>
              <w:bottom w:val="single" w:sz="4" w:space="0" w:color="auto"/>
              <w:right w:val="single" w:sz="4" w:space="0" w:color="auto"/>
            </w:tcBorders>
            <w:hideMark/>
          </w:tcPr>
          <w:p w14:paraId="238DBF4F" w14:textId="77777777" w:rsidR="0062278D" w:rsidRDefault="0062278D">
            <w:pPr>
              <w:jc w:val="both"/>
              <w:rPr>
                <w:lang w:val="en-US" w:eastAsia="ja-JP"/>
              </w:rPr>
            </w:pPr>
            <w:r>
              <w:rPr>
                <w:rFonts w:eastAsia="Calibri"/>
                <w:noProof/>
                <w:lang w:eastAsia="en-GB"/>
              </w:rPr>
              <w:t>Combined UE CBW (One cell) – described in Section 6.2.2</w:t>
            </w:r>
          </w:p>
        </w:tc>
        <w:tc>
          <w:tcPr>
            <w:tcW w:w="1966" w:type="dxa"/>
            <w:tcBorders>
              <w:top w:val="single" w:sz="4" w:space="0" w:color="auto"/>
              <w:left w:val="single" w:sz="4" w:space="0" w:color="auto"/>
              <w:bottom w:val="single" w:sz="4" w:space="0" w:color="auto"/>
              <w:right w:val="single" w:sz="4" w:space="0" w:color="auto"/>
            </w:tcBorders>
            <w:hideMark/>
          </w:tcPr>
          <w:p w14:paraId="0FF0FD23" w14:textId="77777777" w:rsidR="0062278D" w:rsidRDefault="0062278D">
            <w:pPr>
              <w:jc w:val="both"/>
              <w:rPr>
                <w:lang w:val="en-US" w:eastAsia="ja-JP"/>
              </w:rPr>
            </w:pPr>
            <w:r>
              <w:rPr>
                <w:rFonts w:eastAsia="Calibri"/>
                <w:noProof/>
                <w:lang w:eastAsia="en-GB"/>
              </w:rPr>
              <w:t xml:space="preserve">Overlapping UE CBW – described in Section 6.2.3 </w:t>
            </w:r>
          </w:p>
        </w:tc>
        <w:tc>
          <w:tcPr>
            <w:tcW w:w="1966" w:type="dxa"/>
            <w:tcBorders>
              <w:top w:val="single" w:sz="4" w:space="0" w:color="auto"/>
              <w:left w:val="single" w:sz="4" w:space="0" w:color="auto"/>
              <w:bottom w:val="single" w:sz="4" w:space="0" w:color="auto"/>
              <w:right w:val="single" w:sz="4" w:space="0" w:color="auto"/>
            </w:tcBorders>
            <w:hideMark/>
          </w:tcPr>
          <w:p w14:paraId="2B2BED7A" w14:textId="77777777" w:rsidR="0062278D" w:rsidRDefault="0062278D">
            <w:pPr>
              <w:jc w:val="both"/>
              <w:rPr>
                <w:lang w:val="en-US" w:eastAsia="ja-JP"/>
              </w:rPr>
            </w:pPr>
            <w:r>
              <w:rPr>
                <w:rFonts w:eastAsia="Calibri"/>
                <w:noProof/>
                <w:lang w:eastAsia="en-GB"/>
              </w:rPr>
              <w:t>Wider CBW  (one cell) – described in Section 6.2.X</w:t>
            </w:r>
          </w:p>
        </w:tc>
      </w:tr>
      <w:tr w:rsidR="0062278D" w14:paraId="69A3D87A" w14:textId="77777777" w:rsidTr="0062278D">
        <w:tc>
          <w:tcPr>
            <w:tcW w:w="1965" w:type="dxa"/>
            <w:tcBorders>
              <w:top w:val="single" w:sz="4" w:space="0" w:color="auto"/>
              <w:left w:val="single" w:sz="4" w:space="0" w:color="auto"/>
              <w:bottom w:val="single" w:sz="4" w:space="0" w:color="auto"/>
              <w:right w:val="single" w:sz="4" w:space="0" w:color="auto"/>
            </w:tcBorders>
            <w:hideMark/>
          </w:tcPr>
          <w:p w14:paraId="35C2C0AB" w14:textId="77777777" w:rsidR="0062278D" w:rsidRDefault="0062278D">
            <w:pPr>
              <w:jc w:val="both"/>
              <w:rPr>
                <w:lang w:val="en-US" w:eastAsia="ja-JP"/>
              </w:rPr>
            </w:pPr>
            <w:r>
              <w:rPr>
                <w:lang w:val="en-US" w:eastAsia="ja-JP"/>
              </w:rPr>
              <w:t>Regulatory requirement</w:t>
            </w:r>
          </w:p>
        </w:tc>
        <w:tc>
          <w:tcPr>
            <w:tcW w:w="1966" w:type="dxa"/>
            <w:tcBorders>
              <w:top w:val="single" w:sz="4" w:space="0" w:color="auto"/>
              <w:left w:val="single" w:sz="4" w:space="0" w:color="auto"/>
              <w:bottom w:val="single" w:sz="4" w:space="0" w:color="auto"/>
              <w:right w:val="single" w:sz="4" w:space="0" w:color="auto"/>
            </w:tcBorders>
            <w:hideMark/>
          </w:tcPr>
          <w:p w14:paraId="0B663D09" w14:textId="77777777" w:rsidR="0062278D" w:rsidRDefault="0062278D">
            <w:pPr>
              <w:jc w:val="both"/>
              <w:rPr>
                <w:lang w:val="en-US" w:eastAsia="ja-JP"/>
              </w:rPr>
            </w:pPr>
            <w:r>
              <w:rPr>
                <w:lang w:val="en-US" w:eastAsia="ja-JP"/>
              </w:rPr>
              <w:t>No issue</w:t>
            </w:r>
          </w:p>
        </w:tc>
        <w:tc>
          <w:tcPr>
            <w:tcW w:w="1966" w:type="dxa"/>
            <w:tcBorders>
              <w:top w:val="single" w:sz="4" w:space="0" w:color="auto"/>
              <w:left w:val="single" w:sz="4" w:space="0" w:color="auto"/>
              <w:bottom w:val="single" w:sz="4" w:space="0" w:color="auto"/>
              <w:right w:val="single" w:sz="4" w:space="0" w:color="auto"/>
            </w:tcBorders>
            <w:hideMark/>
          </w:tcPr>
          <w:p w14:paraId="6C403EBC" w14:textId="77777777" w:rsidR="0062278D" w:rsidRDefault="0062278D">
            <w:pPr>
              <w:jc w:val="both"/>
              <w:rPr>
                <w:lang w:val="en-US" w:eastAsia="ja-JP"/>
              </w:rPr>
            </w:pPr>
            <w:r>
              <w:rPr>
                <w:lang w:val="en-US" w:eastAsia="ja-JP"/>
              </w:rPr>
              <w:t>No issue</w:t>
            </w:r>
          </w:p>
        </w:tc>
        <w:tc>
          <w:tcPr>
            <w:tcW w:w="1966" w:type="dxa"/>
            <w:tcBorders>
              <w:top w:val="single" w:sz="4" w:space="0" w:color="auto"/>
              <w:left w:val="single" w:sz="4" w:space="0" w:color="auto"/>
              <w:bottom w:val="single" w:sz="4" w:space="0" w:color="auto"/>
              <w:right w:val="single" w:sz="4" w:space="0" w:color="auto"/>
            </w:tcBorders>
            <w:hideMark/>
          </w:tcPr>
          <w:p w14:paraId="77B3A289" w14:textId="77777777" w:rsidR="0062278D" w:rsidRDefault="0062278D">
            <w:pPr>
              <w:jc w:val="both"/>
              <w:rPr>
                <w:lang w:val="en-US" w:eastAsia="ja-JP"/>
              </w:rPr>
            </w:pPr>
            <w:r>
              <w:rPr>
                <w:lang w:val="en-US" w:eastAsia="ja-JP"/>
              </w:rPr>
              <w:t>No issue</w:t>
            </w:r>
          </w:p>
        </w:tc>
        <w:tc>
          <w:tcPr>
            <w:tcW w:w="1966" w:type="dxa"/>
            <w:tcBorders>
              <w:top w:val="single" w:sz="4" w:space="0" w:color="auto"/>
              <w:left w:val="single" w:sz="4" w:space="0" w:color="auto"/>
              <w:bottom w:val="single" w:sz="4" w:space="0" w:color="auto"/>
              <w:right w:val="single" w:sz="4" w:space="0" w:color="auto"/>
            </w:tcBorders>
            <w:hideMark/>
          </w:tcPr>
          <w:p w14:paraId="416F65DE" w14:textId="77777777" w:rsidR="0062278D" w:rsidRDefault="0062278D">
            <w:pPr>
              <w:jc w:val="both"/>
              <w:rPr>
                <w:lang w:val="en-US" w:eastAsia="ja-JP"/>
              </w:rPr>
            </w:pPr>
            <w:r>
              <w:rPr>
                <w:lang w:val="en-US" w:eastAsia="ja-JP"/>
              </w:rPr>
              <w:t xml:space="preserve">Potential issue on the BS side, </w:t>
            </w:r>
            <w:proofErr w:type="spellStart"/>
            <w:r>
              <w:rPr>
                <w:lang w:val="en-US" w:eastAsia="ja-JP"/>
              </w:rPr>
              <w:t>gNB</w:t>
            </w:r>
            <w:proofErr w:type="spellEnd"/>
            <w:r>
              <w:rPr>
                <w:lang w:val="en-US" w:eastAsia="ja-JP"/>
              </w:rPr>
              <w:t xml:space="preserve"> filters will be needed depending on BS implementation.</w:t>
            </w:r>
          </w:p>
        </w:tc>
      </w:tr>
      <w:tr w:rsidR="0062278D" w14:paraId="0440D470" w14:textId="77777777" w:rsidTr="0062278D">
        <w:tc>
          <w:tcPr>
            <w:tcW w:w="1965" w:type="dxa"/>
            <w:tcBorders>
              <w:top w:val="single" w:sz="4" w:space="0" w:color="auto"/>
              <w:left w:val="single" w:sz="4" w:space="0" w:color="auto"/>
              <w:bottom w:val="single" w:sz="4" w:space="0" w:color="auto"/>
              <w:right w:val="single" w:sz="4" w:space="0" w:color="auto"/>
            </w:tcBorders>
            <w:hideMark/>
          </w:tcPr>
          <w:p w14:paraId="4DB4B090" w14:textId="77777777" w:rsidR="0062278D" w:rsidRDefault="0062278D">
            <w:pPr>
              <w:jc w:val="both"/>
              <w:rPr>
                <w:lang w:val="en-US" w:eastAsia="ja-JP"/>
              </w:rPr>
            </w:pPr>
            <w:r>
              <w:rPr>
                <w:lang w:val="en-US" w:eastAsia="ja-JP"/>
              </w:rPr>
              <w:t>UE performance degradation relative to minimum requirements</w:t>
            </w:r>
          </w:p>
        </w:tc>
        <w:tc>
          <w:tcPr>
            <w:tcW w:w="1966" w:type="dxa"/>
            <w:tcBorders>
              <w:top w:val="single" w:sz="4" w:space="0" w:color="auto"/>
              <w:left w:val="single" w:sz="4" w:space="0" w:color="auto"/>
              <w:bottom w:val="single" w:sz="4" w:space="0" w:color="auto"/>
              <w:right w:val="single" w:sz="4" w:space="0" w:color="auto"/>
            </w:tcBorders>
            <w:hideMark/>
          </w:tcPr>
          <w:p w14:paraId="27E661E6" w14:textId="77777777" w:rsidR="0062278D" w:rsidRDefault="0062278D">
            <w:pPr>
              <w:jc w:val="both"/>
              <w:rPr>
                <w:lang w:val="en-US" w:eastAsia="ja-JP"/>
              </w:rPr>
            </w:pPr>
            <w:r>
              <w:rPr>
                <w:lang w:val="en-US" w:eastAsia="ja-JP"/>
              </w:rPr>
              <w:t>Possible impact on Rx sensitivity vs regular CBW, if single carrier Tx-Rx separation is not maintained.</w:t>
            </w:r>
          </w:p>
        </w:tc>
        <w:tc>
          <w:tcPr>
            <w:tcW w:w="1966" w:type="dxa"/>
            <w:tcBorders>
              <w:top w:val="single" w:sz="4" w:space="0" w:color="auto"/>
              <w:left w:val="single" w:sz="4" w:space="0" w:color="auto"/>
              <w:bottom w:val="single" w:sz="4" w:space="0" w:color="auto"/>
              <w:right w:val="single" w:sz="4" w:space="0" w:color="auto"/>
            </w:tcBorders>
            <w:hideMark/>
          </w:tcPr>
          <w:p w14:paraId="4C468960" w14:textId="77777777" w:rsidR="0062278D" w:rsidRDefault="0062278D">
            <w:pPr>
              <w:jc w:val="both"/>
              <w:rPr>
                <w:lang w:val="en-US" w:eastAsia="ja-JP"/>
              </w:rPr>
            </w:pPr>
            <w:r>
              <w:rPr>
                <w:lang w:val="en-US" w:eastAsia="ja-JP"/>
              </w:rPr>
              <w:t>Possible impact on Rx sensitivity vs regular CBW, if single carrier Tx-Rx separation is not maintained.</w:t>
            </w:r>
          </w:p>
        </w:tc>
        <w:tc>
          <w:tcPr>
            <w:tcW w:w="1966" w:type="dxa"/>
            <w:tcBorders>
              <w:top w:val="single" w:sz="4" w:space="0" w:color="auto"/>
              <w:left w:val="single" w:sz="4" w:space="0" w:color="auto"/>
              <w:bottom w:val="single" w:sz="4" w:space="0" w:color="auto"/>
              <w:right w:val="single" w:sz="4" w:space="0" w:color="auto"/>
            </w:tcBorders>
            <w:hideMark/>
          </w:tcPr>
          <w:p w14:paraId="4910F307" w14:textId="77777777" w:rsidR="0062278D" w:rsidRDefault="0062278D">
            <w:pPr>
              <w:jc w:val="both"/>
              <w:rPr>
                <w:lang w:val="en-US" w:eastAsia="ja-JP"/>
              </w:rPr>
            </w:pPr>
            <w:r>
              <w:rPr>
                <w:lang w:val="en-US" w:eastAsia="ja-JP"/>
              </w:rPr>
              <w:t>No issue</w:t>
            </w:r>
          </w:p>
        </w:tc>
        <w:tc>
          <w:tcPr>
            <w:tcW w:w="1966" w:type="dxa"/>
            <w:tcBorders>
              <w:top w:val="single" w:sz="4" w:space="0" w:color="auto"/>
              <w:left w:val="single" w:sz="4" w:space="0" w:color="auto"/>
              <w:bottom w:val="single" w:sz="4" w:space="0" w:color="auto"/>
              <w:right w:val="single" w:sz="4" w:space="0" w:color="auto"/>
            </w:tcBorders>
            <w:hideMark/>
          </w:tcPr>
          <w:p w14:paraId="2A483480" w14:textId="77777777" w:rsidR="0062278D" w:rsidRDefault="0062278D">
            <w:pPr>
              <w:jc w:val="both"/>
              <w:rPr>
                <w:lang w:val="en-US" w:eastAsia="ja-JP"/>
              </w:rPr>
            </w:pPr>
            <w:r>
              <w:rPr>
                <w:lang w:val="en-US" w:eastAsia="ja-JP"/>
              </w:rPr>
              <w:t>UE ACS and in-band blocking degradation.</w:t>
            </w:r>
          </w:p>
          <w:p w14:paraId="2F12EDFD" w14:textId="77777777" w:rsidR="0062278D" w:rsidRDefault="0062278D">
            <w:pPr>
              <w:jc w:val="both"/>
              <w:rPr>
                <w:lang w:val="en-US" w:eastAsia="ja-JP"/>
              </w:rPr>
            </w:pPr>
            <w:r>
              <w:rPr>
                <w:lang w:val="en-US" w:eastAsia="ja-JP"/>
              </w:rPr>
              <w:t>Possible impact on Rx sensitivity vs regular CBW, if single carrier Tx-Rx separation is not maintained.</w:t>
            </w:r>
          </w:p>
        </w:tc>
      </w:tr>
      <w:tr w:rsidR="0062278D" w14:paraId="4B958EB1" w14:textId="77777777" w:rsidTr="0062278D">
        <w:tc>
          <w:tcPr>
            <w:tcW w:w="1965" w:type="dxa"/>
            <w:tcBorders>
              <w:top w:val="single" w:sz="4" w:space="0" w:color="auto"/>
              <w:left w:val="single" w:sz="4" w:space="0" w:color="auto"/>
              <w:bottom w:val="single" w:sz="4" w:space="0" w:color="auto"/>
              <w:right w:val="single" w:sz="4" w:space="0" w:color="auto"/>
            </w:tcBorders>
            <w:hideMark/>
          </w:tcPr>
          <w:p w14:paraId="462271C7" w14:textId="77777777" w:rsidR="0062278D" w:rsidRDefault="0062278D">
            <w:pPr>
              <w:jc w:val="both"/>
              <w:rPr>
                <w:lang w:val="en-US" w:eastAsia="ja-JP"/>
              </w:rPr>
            </w:pPr>
            <w:proofErr w:type="spellStart"/>
            <w:r>
              <w:rPr>
                <w:lang w:val="en-US" w:eastAsia="ja-JP"/>
              </w:rPr>
              <w:lastRenderedPageBreak/>
              <w:t>gNB</w:t>
            </w:r>
            <w:proofErr w:type="spellEnd"/>
            <w:r>
              <w:rPr>
                <w:lang w:val="en-US" w:eastAsia="ja-JP"/>
              </w:rPr>
              <w:t xml:space="preserve"> complexity</w:t>
            </w:r>
          </w:p>
        </w:tc>
        <w:tc>
          <w:tcPr>
            <w:tcW w:w="1966" w:type="dxa"/>
            <w:tcBorders>
              <w:top w:val="single" w:sz="4" w:space="0" w:color="auto"/>
              <w:left w:val="single" w:sz="4" w:space="0" w:color="auto"/>
              <w:bottom w:val="single" w:sz="4" w:space="0" w:color="auto"/>
              <w:right w:val="single" w:sz="4" w:space="0" w:color="auto"/>
            </w:tcBorders>
            <w:hideMark/>
          </w:tcPr>
          <w:p w14:paraId="3273B5C3" w14:textId="77777777" w:rsidR="0062278D" w:rsidRDefault="0062278D">
            <w:pPr>
              <w:jc w:val="both"/>
              <w:rPr>
                <w:lang w:val="en-US" w:eastAsia="ja-JP"/>
              </w:rPr>
            </w:pPr>
            <w:proofErr w:type="spellStart"/>
            <w:r>
              <w:rPr>
                <w:lang w:val="en-US" w:eastAsia="ja-JP"/>
              </w:rPr>
              <w:t>gNB</w:t>
            </w:r>
            <w:proofErr w:type="spellEnd"/>
            <w:r>
              <w:rPr>
                <w:lang w:val="en-US" w:eastAsia="ja-JP"/>
              </w:rPr>
              <w:t xml:space="preserve"> has to support CA and schedule the data without collision in the two CC’s overlapping PRBs</w:t>
            </w:r>
          </w:p>
        </w:tc>
        <w:tc>
          <w:tcPr>
            <w:tcW w:w="1966" w:type="dxa"/>
            <w:tcBorders>
              <w:top w:val="single" w:sz="4" w:space="0" w:color="auto"/>
              <w:left w:val="single" w:sz="4" w:space="0" w:color="auto"/>
              <w:bottom w:val="single" w:sz="4" w:space="0" w:color="auto"/>
              <w:right w:val="single" w:sz="4" w:space="0" w:color="auto"/>
            </w:tcBorders>
          </w:tcPr>
          <w:p w14:paraId="1C10C4D8" w14:textId="77777777" w:rsidR="0062278D" w:rsidRDefault="0062278D">
            <w:pPr>
              <w:jc w:val="both"/>
              <w:rPr>
                <w:lang w:val="en-US" w:eastAsia="ja-JP"/>
              </w:rPr>
            </w:pPr>
            <w:proofErr w:type="spellStart"/>
            <w:r>
              <w:rPr>
                <w:lang w:val="en-US" w:eastAsia="ja-JP"/>
              </w:rPr>
              <w:t>gNB</w:t>
            </w:r>
            <w:proofErr w:type="spellEnd"/>
            <w:r>
              <w:rPr>
                <w:lang w:val="en-US" w:eastAsia="ja-JP"/>
              </w:rPr>
              <w:t xml:space="preserve"> has to support splitting the signal into 2 RF carriers with a predefined phase relationship</w:t>
            </w:r>
          </w:p>
          <w:p w14:paraId="4A5C657D" w14:textId="77777777" w:rsidR="0062278D" w:rsidRDefault="0062278D">
            <w:pPr>
              <w:keepLines/>
              <w:spacing w:after="160" w:line="256" w:lineRule="auto"/>
              <w:rPr>
                <w:noProof/>
                <w:lang w:eastAsia="ja-JP"/>
              </w:rPr>
            </w:pPr>
          </w:p>
        </w:tc>
        <w:tc>
          <w:tcPr>
            <w:tcW w:w="1966" w:type="dxa"/>
            <w:tcBorders>
              <w:top w:val="single" w:sz="4" w:space="0" w:color="auto"/>
              <w:left w:val="single" w:sz="4" w:space="0" w:color="auto"/>
              <w:bottom w:val="single" w:sz="4" w:space="0" w:color="auto"/>
              <w:right w:val="single" w:sz="4" w:space="0" w:color="auto"/>
            </w:tcBorders>
            <w:hideMark/>
          </w:tcPr>
          <w:p w14:paraId="55AE5024" w14:textId="77777777" w:rsidR="0062278D" w:rsidRDefault="0062278D">
            <w:pPr>
              <w:jc w:val="both"/>
              <w:rPr>
                <w:lang w:val="en-US" w:eastAsia="ja-JP"/>
              </w:rPr>
            </w:pPr>
            <w:proofErr w:type="spellStart"/>
            <w:r>
              <w:rPr>
                <w:lang w:val="en-US" w:eastAsia="ja-JP"/>
              </w:rPr>
              <w:t>gNB</w:t>
            </w:r>
            <w:proofErr w:type="spellEnd"/>
            <w:r>
              <w:rPr>
                <w:lang w:val="en-US" w:eastAsia="ja-JP"/>
              </w:rPr>
              <w:t xml:space="preserve"> has to support the irregular channel BW (can also be implemented through RF combining of 2 channels)</w:t>
            </w:r>
          </w:p>
        </w:tc>
        <w:tc>
          <w:tcPr>
            <w:tcW w:w="1966" w:type="dxa"/>
            <w:tcBorders>
              <w:top w:val="single" w:sz="4" w:space="0" w:color="auto"/>
              <w:left w:val="single" w:sz="4" w:space="0" w:color="auto"/>
              <w:bottom w:val="single" w:sz="4" w:space="0" w:color="auto"/>
              <w:right w:val="single" w:sz="4" w:space="0" w:color="auto"/>
            </w:tcBorders>
            <w:hideMark/>
          </w:tcPr>
          <w:p w14:paraId="1B4545DA" w14:textId="77777777" w:rsidR="0062278D" w:rsidRDefault="0062278D">
            <w:pPr>
              <w:jc w:val="both"/>
              <w:rPr>
                <w:lang w:val="en-US" w:eastAsia="ja-JP"/>
              </w:rPr>
            </w:pPr>
            <w:r>
              <w:rPr>
                <w:lang w:val="en-US" w:eastAsia="ja-JP"/>
              </w:rPr>
              <w:t xml:space="preserve">No changes needed if the BS can meet regulatory requirements with the RF front end of the </w:t>
            </w:r>
            <w:proofErr w:type="gramStart"/>
            <w:r>
              <w:rPr>
                <w:lang w:val="en-US" w:eastAsia="ja-JP"/>
              </w:rPr>
              <w:t>wider  channel</w:t>
            </w:r>
            <w:proofErr w:type="gramEnd"/>
            <w:r>
              <w:rPr>
                <w:lang w:val="en-US" w:eastAsia="ja-JP"/>
              </w:rPr>
              <w:t xml:space="preserve"> BW. Otherwise, </w:t>
            </w:r>
            <w:proofErr w:type="spellStart"/>
            <w:r>
              <w:rPr>
                <w:lang w:val="en-US" w:eastAsia="ja-JP"/>
              </w:rPr>
              <w:t>gNB</w:t>
            </w:r>
            <w:proofErr w:type="spellEnd"/>
            <w:r>
              <w:rPr>
                <w:lang w:val="en-US" w:eastAsia="ja-JP"/>
              </w:rPr>
              <w:t xml:space="preserve"> has to support the irregular channel BW</w:t>
            </w:r>
          </w:p>
        </w:tc>
      </w:tr>
      <w:tr w:rsidR="0062278D" w14:paraId="257E8FD6" w14:textId="77777777" w:rsidTr="0062278D">
        <w:tc>
          <w:tcPr>
            <w:tcW w:w="1965" w:type="dxa"/>
            <w:tcBorders>
              <w:top w:val="single" w:sz="4" w:space="0" w:color="auto"/>
              <w:left w:val="single" w:sz="4" w:space="0" w:color="auto"/>
              <w:bottom w:val="single" w:sz="4" w:space="0" w:color="auto"/>
              <w:right w:val="single" w:sz="4" w:space="0" w:color="auto"/>
            </w:tcBorders>
            <w:hideMark/>
          </w:tcPr>
          <w:p w14:paraId="438FF59E" w14:textId="77777777" w:rsidR="0062278D" w:rsidRDefault="0062278D">
            <w:pPr>
              <w:jc w:val="both"/>
              <w:rPr>
                <w:lang w:val="en-US" w:eastAsia="ja-JP"/>
              </w:rPr>
            </w:pPr>
            <w:r>
              <w:rPr>
                <w:lang w:val="en-US" w:eastAsia="ja-JP"/>
              </w:rPr>
              <w:t>UE complexity</w:t>
            </w:r>
          </w:p>
        </w:tc>
        <w:tc>
          <w:tcPr>
            <w:tcW w:w="1966" w:type="dxa"/>
            <w:tcBorders>
              <w:top w:val="single" w:sz="4" w:space="0" w:color="auto"/>
              <w:left w:val="single" w:sz="4" w:space="0" w:color="auto"/>
              <w:bottom w:val="single" w:sz="4" w:space="0" w:color="auto"/>
              <w:right w:val="single" w:sz="4" w:space="0" w:color="auto"/>
            </w:tcBorders>
            <w:hideMark/>
          </w:tcPr>
          <w:p w14:paraId="04CE75A9" w14:textId="77777777" w:rsidR="0062278D" w:rsidRDefault="0062278D">
            <w:pPr>
              <w:jc w:val="both"/>
              <w:rPr>
                <w:lang w:val="en-US" w:eastAsia="ja-JP"/>
              </w:rPr>
            </w:pPr>
            <w:r>
              <w:rPr>
                <w:lang w:val="en-US" w:eastAsia="ja-JP"/>
              </w:rPr>
              <w:t>UE has to support intra-band NC CA.</w:t>
            </w:r>
          </w:p>
          <w:p w14:paraId="7F847DE7" w14:textId="77777777" w:rsidR="0062278D" w:rsidRDefault="0062278D">
            <w:pPr>
              <w:jc w:val="both"/>
              <w:rPr>
                <w:lang w:val="en-US" w:eastAsia="ja-JP"/>
              </w:rPr>
            </w:pPr>
            <w:r>
              <w:rPr>
                <w:lang w:val="en-US" w:eastAsia="ja-JP"/>
              </w:rPr>
              <w:t>1 less CC can be supported when irregular BW is used in combination from other bands, or more total CCs needed.</w:t>
            </w:r>
          </w:p>
        </w:tc>
        <w:tc>
          <w:tcPr>
            <w:tcW w:w="1966" w:type="dxa"/>
            <w:tcBorders>
              <w:top w:val="single" w:sz="4" w:space="0" w:color="auto"/>
              <w:left w:val="single" w:sz="4" w:space="0" w:color="auto"/>
              <w:bottom w:val="single" w:sz="4" w:space="0" w:color="auto"/>
              <w:right w:val="single" w:sz="4" w:space="0" w:color="auto"/>
            </w:tcBorders>
            <w:hideMark/>
          </w:tcPr>
          <w:p w14:paraId="18DEF8E3" w14:textId="77777777" w:rsidR="0062278D" w:rsidRDefault="0062278D">
            <w:pPr>
              <w:jc w:val="both"/>
              <w:rPr>
                <w:lang w:val="en-US" w:eastAsia="ja-JP"/>
              </w:rPr>
            </w:pPr>
            <w:r>
              <w:rPr>
                <w:lang w:val="en-US" w:eastAsia="ja-JP"/>
              </w:rPr>
              <w:t xml:space="preserve">UE has to support RF architecture as in intra-band NC CA. </w:t>
            </w:r>
          </w:p>
          <w:p w14:paraId="3CFEDA95" w14:textId="77777777" w:rsidR="0062278D" w:rsidRDefault="0062278D">
            <w:pPr>
              <w:jc w:val="both"/>
              <w:rPr>
                <w:lang w:val="en-US" w:eastAsia="ja-JP"/>
              </w:rPr>
            </w:pPr>
            <w:r>
              <w:rPr>
                <w:lang w:val="en-US" w:eastAsia="ja-JP"/>
              </w:rPr>
              <w:t>Needs new capability to aggregate 2 RF channels in baseband.</w:t>
            </w:r>
          </w:p>
          <w:p w14:paraId="18144FDC" w14:textId="77777777" w:rsidR="0062278D" w:rsidRDefault="0062278D">
            <w:pPr>
              <w:jc w:val="both"/>
              <w:rPr>
                <w:lang w:val="en-US" w:eastAsia="ja-JP"/>
              </w:rPr>
            </w:pPr>
            <w:r>
              <w:rPr>
                <w:lang w:val="en-US" w:eastAsia="ja-JP"/>
              </w:rPr>
              <w:t>Complexity higher than CA because the baseband will need a new "combiner" module.</w:t>
            </w:r>
          </w:p>
          <w:p w14:paraId="5E487A92" w14:textId="77777777" w:rsidR="0062278D" w:rsidRDefault="0062278D">
            <w:pPr>
              <w:jc w:val="both"/>
              <w:rPr>
                <w:lang w:val="en-US" w:eastAsia="ja-JP"/>
              </w:rPr>
            </w:pPr>
            <w:r>
              <w:rPr>
                <w:lang w:val="en-US" w:eastAsia="ja-JP"/>
              </w:rPr>
              <w:t>1 less CC can be supported when irregular BW is used in combination from other bands, or more total CCs needed.</w:t>
            </w:r>
          </w:p>
        </w:tc>
        <w:tc>
          <w:tcPr>
            <w:tcW w:w="1966" w:type="dxa"/>
            <w:tcBorders>
              <w:top w:val="single" w:sz="4" w:space="0" w:color="auto"/>
              <w:left w:val="single" w:sz="4" w:space="0" w:color="auto"/>
              <w:bottom w:val="single" w:sz="4" w:space="0" w:color="auto"/>
              <w:right w:val="single" w:sz="4" w:space="0" w:color="auto"/>
            </w:tcBorders>
            <w:hideMark/>
          </w:tcPr>
          <w:p w14:paraId="1D93101A" w14:textId="77777777" w:rsidR="0062278D" w:rsidRDefault="0062278D">
            <w:pPr>
              <w:jc w:val="both"/>
              <w:rPr>
                <w:lang w:val="en-US" w:eastAsia="ja-JP"/>
              </w:rPr>
            </w:pPr>
            <w:r>
              <w:rPr>
                <w:lang w:val="en-US" w:eastAsia="ja-JP"/>
              </w:rPr>
              <w:t>No changes needed, supported by legacy UEs</w:t>
            </w:r>
          </w:p>
        </w:tc>
        <w:tc>
          <w:tcPr>
            <w:tcW w:w="1966" w:type="dxa"/>
            <w:tcBorders>
              <w:top w:val="single" w:sz="4" w:space="0" w:color="auto"/>
              <w:left w:val="single" w:sz="4" w:space="0" w:color="auto"/>
              <w:bottom w:val="single" w:sz="4" w:space="0" w:color="auto"/>
              <w:right w:val="single" w:sz="4" w:space="0" w:color="auto"/>
            </w:tcBorders>
            <w:hideMark/>
          </w:tcPr>
          <w:p w14:paraId="2DDD7FDA" w14:textId="77777777" w:rsidR="0062278D" w:rsidRDefault="0062278D">
            <w:pPr>
              <w:jc w:val="both"/>
              <w:rPr>
                <w:lang w:val="en-US" w:eastAsia="ja-JP"/>
              </w:rPr>
            </w:pPr>
            <w:r>
              <w:rPr>
                <w:lang w:val="en-US" w:eastAsia="ja-JP"/>
              </w:rPr>
              <w:t>No changes needed, supported by legacy UE</w:t>
            </w:r>
          </w:p>
        </w:tc>
      </w:tr>
      <w:tr w:rsidR="0062278D" w14:paraId="6B374F3C" w14:textId="77777777" w:rsidTr="0062278D">
        <w:tc>
          <w:tcPr>
            <w:tcW w:w="1965" w:type="dxa"/>
            <w:tcBorders>
              <w:top w:val="single" w:sz="4" w:space="0" w:color="auto"/>
              <w:left w:val="single" w:sz="4" w:space="0" w:color="auto"/>
              <w:bottom w:val="single" w:sz="4" w:space="0" w:color="auto"/>
              <w:right w:val="single" w:sz="4" w:space="0" w:color="auto"/>
            </w:tcBorders>
            <w:hideMark/>
          </w:tcPr>
          <w:p w14:paraId="0360BCB8" w14:textId="77777777" w:rsidR="0062278D" w:rsidRDefault="0062278D">
            <w:pPr>
              <w:jc w:val="both"/>
              <w:rPr>
                <w:lang w:val="en-US" w:eastAsia="ja-JP"/>
              </w:rPr>
            </w:pPr>
            <w:r>
              <w:rPr>
                <w:lang w:val="en-US" w:eastAsia="ja-JP"/>
              </w:rPr>
              <w:t>UE throughput</w:t>
            </w:r>
          </w:p>
        </w:tc>
        <w:tc>
          <w:tcPr>
            <w:tcW w:w="1966" w:type="dxa"/>
            <w:tcBorders>
              <w:top w:val="single" w:sz="4" w:space="0" w:color="auto"/>
              <w:left w:val="single" w:sz="4" w:space="0" w:color="auto"/>
              <w:bottom w:val="single" w:sz="4" w:space="0" w:color="auto"/>
              <w:right w:val="single" w:sz="4" w:space="0" w:color="auto"/>
            </w:tcBorders>
            <w:hideMark/>
          </w:tcPr>
          <w:p w14:paraId="31348642" w14:textId="77777777" w:rsidR="0062278D" w:rsidRDefault="0062278D">
            <w:pPr>
              <w:jc w:val="both"/>
              <w:rPr>
                <w:lang w:val="en-US" w:eastAsia="ja-JP"/>
              </w:rPr>
            </w:pPr>
            <w:r>
              <w:rPr>
                <w:lang w:val="en-US" w:eastAsia="ja-JP"/>
              </w:rPr>
              <w:t>UEs supporting the feature can use the entire spectrum allocation, legacy UEs can use an already supported channel BW</w:t>
            </w:r>
          </w:p>
        </w:tc>
        <w:tc>
          <w:tcPr>
            <w:tcW w:w="1966" w:type="dxa"/>
            <w:tcBorders>
              <w:top w:val="single" w:sz="4" w:space="0" w:color="auto"/>
              <w:left w:val="single" w:sz="4" w:space="0" w:color="auto"/>
              <w:bottom w:val="single" w:sz="4" w:space="0" w:color="auto"/>
              <w:right w:val="single" w:sz="4" w:space="0" w:color="auto"/>
            </w:tcBorders>
            <w:hideMark/>
          </w:tcPr>
          <w:p w14:paraId="470F5A48" w14:textId="77777777" w:rsidR="0062278D" w:rsidRDefault="0062278D">
            <w:pPr>
              <w:jc w:val="both"/>
              <w:rPr>
                <w:lang w:val="en-US" w:eastAsia="ja-JP"/>
              </w:rPr>
            </w:pPr>
            <w:r>
              <w:rPr>
                <w:lang w:val="en-US" w:eastAsia="ja-JP"/>
              </w:rPr>
              <w:t>UEs supporting the feature can use the entire spectrum allocation, legacy UEs can use an already supported channel BW</w:t>
            </w:r>
          </w:p>
        </w:tc>
        <w:tc>
          <w:tcPr>
            <w:tcW w:w="1966" w:type="dxa"/>
            <w:tcBorders>
              <w:top w:val="single" w:sz="4" w:space="0" w:color="auto"/>
              <w:left w:val="single" w:sz="4" w:space="0" w:color="auto"/>
              <w:bottom w:val="single" w:sz="4" w:space="0" w:color="auto"/>
              <w:right w:val="single" w:sz="4" w:space="0" w:color="auto"/>
            </w:tcBorders>
            <w:hideMark/>
          </w:tcPr>
          <w:p w14:paraId="330760DC" w14:textId="77777777" w:rsidR="0062278D" w:rsidRDefault="0062278D">
            <w:pPr>
              <w:jc w:val="both"/>
              <w:rPr>
                <w:lang w:val="en-US" w:eastAsia="ja-JP"/>
              </w:rPr>
            </w:pPr>
            <w:r>
              <w:rPr>
                <w:lang w:val="en-US" w:eastAsia="ja-JP"/>
              </w:rPr>
              <w:t xml:space="preserve">UE throughput based on existing channel BWs (5MHz for holdings &lt;10MHz, 10MHz for holdings &lt;15MHz, </w:t>
            </w:r>
            <w:proofErr w:type="spellStart"/>
            <w:r>
              <w:rPr>
                <w:lang w:val="en-US" w:eastAsia="ja-JP"/>
              </w:rPr>
              <w:t>etc</w:t>
            </w:r>
            <w:proofErr w:type="spellEnd"/>
            <w:r>
              <w:rPr>
                <w:lang w:val="en-US" w:eastAsia="ja-JP"/>
              </w:rPr>
              <w:t>)</w:t>
            </w:r>
          </w:p>
        </w:tc>
        <w:tc>
          <w:tcPr>
            <w:tcW w:w="1966" w:type="dxa"/>
            <w:tcBorders>
              <w:top w:val="single" w:sz="4" w:space="0" w:color="auto"/>
              <w:left w:val="single" w:sz="4" w:space="0" w:color="auto"/>
              <w:bottom w:val="single" w:sz="4" w:space="0" w:color="auto"/>
              <w:right w:val="single" w:sz="4" w:space="0" w:color="auto"/>
            </w:tcBorders>
            <w:hideMark/>
          </w:tcPr>
          <w:p w14:paraId="3D1BB68F" w14:textId="77777777" w:rsidR="0062278D" w:rsidRDefault="0062278D">
            <w:pPr>
              <w:jc w:val="both"/>
              <w:rPr>
                <w:lang w:val="en-US" w:eastAsia="ja-JP"/>
              </w:rPr>
            </w:pPr>
            <w:r>
              <w:rPr>
                <w:lang w:val="en-US" w:eastAsia="ja-JP"/>
              </w:rPr>
              <w:t>UE throughput based on how many RBs can be used</w:t>
            </w:r>
          </w:p>
        </w:tc>
      </w:tr>
      <w:tr w:rsidR="0062278D" w14:paraId="501D01D9" w14:textId="77777777" w:rsidTr="0062278D">
        <w:tc>
          <w:tcPr>
            <w:tcW w:w="1965" w:type="dxa"/>
            <w:tcBorders>
              <w:top w:val="single" w:sz="4" w:space="0" w:color="auto"/>
              <w:left w:val="single" w:sz="4" w:space="0" w:color="auto"/>
              <w:bottom w:val="single" w:sz="4" w:space="0" w:color="auto"/>
              <w:right w:val="single" w:sz="4" w:space="0" w:color="auto"/>
            </w:tcBorders>
            <w:hideMark/>
          </w:tcPr>
          <w:p w14:paraId="43E78EFB" w14:textId="77777777" w:rsidR="0062278D" w:rsidRDefault="0062278D">
            <w:pPr>
              <w:jc w:val="both"/>
              <w:rPr>
                <w:lang w:val="en-US" w:eastAsia="ja-JP"/>
              </w:rPr>
            </w:pPr>
            <w:r>
              <w:rPr>
                <w:lang w:val="en-US" w:eastAsia="ja-JP"/>
              </w:rPr>
              <w:t>Spectral utilization</w:t>
            </w:r>
          </w:p>
        </w:tc>
        <w:tc>
          <w:tcPr>
            <w:tcW w:w="1966" w:type="dxa"/>
            <w:tcBorders>
              <w:top w:val="single" w:sz="4" w:space="0" w:color="auto"/>
              <w:left w:val="single" w:sz="4" w:space="0" w:color="auto"/>
              <w:bottom w:val="single" w:sz="4" w:space="0" w:color="auto"/>
              <w:right w:val="single" w:sz="4" w:space="0" w:color="auto"/>
            </w:tcBorders>
            <w:hideMark/>
          </w:tcPr>
          <w:p w14:paraId="25651976" w14:textId="77777777" w:rsidR="0062278D" w:rsidRDefault="0062278D">
            <w:pPr>
              <w:jc w:val="both"/>
              <w:rPr>
                <w:lang w:val="en-US" w:eastAsia="ja-JP"/>
              </w:rPr>
            </w:pPr>
            <w:r>
              <w:rPr>
                <w:lang w:val="en-US" w:eastAsia="ja-JP"/>
              </w:rPr>
              <w:t xml:space="preserve">Channel edge </w:t>
            </w:r>
            <w:proofErr w:type="spellStart"/>
            <w:r>
              <w:rPr>
                <w:lang w:val="en-US" w:eastAsia="ja-JP"/>
              </w:rPr>
              <w:t>guardband</w:t>
            </w:r>
            <w:proofErr w:type="spellEnd"/>
            <w:r>
              <w:rPr>
                <w:lang w:val="en-US" w:eastAsia="ja-JP"/>
              </w:rPr>
              <w:t xml:space="preserve"> based on the aggregated channel BW (5MHz for &lt;10MHz, 10MHz for &lt;15MHz, </w:t>
            </w:r>
            <w:proofErr w:type="spellStart"/>
            <w:r>
              <w:rPr>
                <w:lang w:val="en-US" w:eastAsia="ja-JP"/>
              </w:rPr>
              <w:t>etc</w:t>
            </w:r>
            <w:proofErr w:type="spellEnd"/>
            <w:r>
              <w:rPr>
                <w:lang w:val="en-US" w:eastAsia="ja-JP"/>
              </w:rPr>
              <w:t>), 2 SSBs are needed</w:t>
            </w:r>
          </w:p>
        </w:tc>
        <w:tc>
          <w:tcPr>
            <w:tcW w:w="1966" w:type="dxa"/>
            <w:tcBorders>
              <w:top w:val="single" w:sz="4" w:space="0" w:color="auto"/>
              <w:left w:val="single" w:sz="4" w:space="0" w:color="auto"/>
              <w:bottom w:val="single" w:sz="4" w:space="0" w:color="auto"/>
              <w:right w:val="single" w:sz="4" w:space="0" w:color="auto"/>
            </w:tcBorders>
            <w:hideMark/>
          </w:tcPr>
          <w:p w14:paraId="328E9B62" w14:textId="77777777" w:rsidR="0062278D" w:rsidRDefault="0062278D">
            <w:pPr>
              <w:jc w:val="both"/>
              <w:rPr>
                <w:lang w:val="en-US" w:eastAsia="ja-JP"/>
              </w:rPr>
            </w:pPr>
            <w:r>
              <w:rPr>
                <w:lang w:val="en-US" w:eastAsia="ja-JP"/>
              </w:rPr>
              <w:t xml:space="preserve">Channel edge </w:t>
            </w:r>
            <w:proofErr w:type="spellStart"/>
            <w:r>
              <w:rPr>
                <w:lang w:val="en-US" w:eastAsia="ja-JP"/>
              </w:rPr>
              <w:t>guardband</w:t>
            </w:r>
            <w:proofErr w:type="spellEnd"/>
            <w:r>
              <w:rPr>
                <w:lang w:val="en-US" w:eastAsia="ja-JP"/>
              </w:rPr>
              <w:t xml:space="preserve"> based on the aggregated RF carrier BW (5MHz for &lt;10MHz, 10MHz for &lt;15MHz, </w:t>
            </w:r>
            <w:proofErr w:type="spellStart"/>
            <w:r>
              <w:rPr>
                <w:lang w:val="en-US" w:eastAsia="ja-JP"/>
              </w:rPr>
              <w:t>etc</w:t>
            </w:r>
            <w:proofErr w:type="spellEnd"/>
            <w:r>
              <w:rPr>
                <w:lang w:val="en-US" w:eastAsia="ja-JP"/>
              </w:rPr>
              <w:t>), single SSB needed</w:t>
            </w:r>
          </w:p>
        </w:tc>
        <w:tc>
          <w:tcPr>
            <w:tcW w:w="1966" w:type="dxa"/>
            <w:tcBorders>
              <w:top w:val="single" w:sz="4" w:space="0" w:color="auto"/>
              <w:left w:val="single" w:sz="4" w:space="0" w:color="auto"/>
              <w:bottom w:val="single" w:sz="4" w:space="0" w:color="auto"/>
              <w:right w:val="single" w:sz="4" w:space="0" w:color="auto"/>
            </w:tcBorders>
            <w:hideMark/>
          </w:tcPr>
          <w:p w14:paraId="23EBDE70" w14:textId="77777777" w:rsidR="0062278D" w:rsidRDefault="0062278D">
            <w:pPr>
              <w:jc w:val="both"/>
              <w:rPr>
                <w:lang w:val="en-US" w:eastAsia="ja-JP"/>
              </w:rPr>
            </w:pPr>
            <w:r>
              <w:rPr>
                <w:lang w:val="en-US" w:eastAsia="ja-JP"/>
              </w:rPr>
              <w:t xml:space="preserve">Channel edge </w:t>
            </w:r>
            <w:proofErr w:type="spellStart"/>
            <w:r>
              <w:rPr>
                <w:lang w:val="en-US" w:eastAsia="ja-JP"/>
              </w:rPr>
              <w:t>guardband</w:t>
            </w:r>
            <w:proofErr w:type="spellEnd"/>
            <w:r>
              <w:rPr>
                <w:lang w:val="en-US" w:eastAsia="ja-JP"/>
              </w:rPr>
              <w:t xml:space="preserve"> based on </w:t>
            </w:r>
            <w:proofErr w:type="gramStart"/>
            <w:r>
              <w:rPr>
                <w:lang w:val="en-US" w:eastAsia="ja-JP"/>
              </w:rPr>
              <w:t>the  actual</w:t>
            </w:r>
            <w:proofErr w:type="gramEnd"/>
            <w:r>
              <w:rPr>
                <w:lang w:val="en-US" w:eastAsia="ja-JP"/>
              </w:rPr>
              <w:t xml:space="preserve"> holding (can be same as Overlapping CA), 2 SSBs are needed</w:t>
            </w:r>
          </w:p>
        </w:tc>
        <w:tc>
          <w:tcPr>
            <w:tcW w:w="1966" w:type="dxa"/>
            <w:tcBorders>
              <w:top w:val="single" w:sz="4" w:space="0" w:color="auto"/>
              <w:left w:val="single" w:sz="4" w:space="0" w:color="auto"/>
              <w:bottom w:val="single" w:sz="4" w:space="0" w:color="auto"/>
              <w:right w:val="single" w:sz="4" w:space="0" w:color="auto"/>
            </w:tcBorders>
            <w:hideMark/>
          </w:tcPr>
          <w:p w14:paraId="2AC12E61" w14:textId="77777777" w:rsidR="0062278D" w:rsidRDefault="0062278D">
            <w:pPr>
              <w:jc w:val="both"/>
              <w:rPr>
                <w:lang w:val="en-US" w:eastAsia="ja-JP"/>
              </w:rPr>
            </w:pPr>
            <w:r>
              <w:rPr>
                <w:lang w:val="en-US" w:eastAsia="ja-JP"/>
              </w:rPr>
              <w:t>Depends on the usable number of RBs, single SSB needed</w:t>
            </w:r>
          </w:p>
        </w:tc>
      </w:tr>
      <w:tr w:rsidR="0062278D" w14:paraId="0F4E0B52" w14:textId="77777777" w:rsidTr="0062278D">
        <w:tc>
          <w:tcPr>
            <w:tcW w:w="1965" w:type="dxa"/>
            <w:tcBorders>
              <w:top w:val="single" w:sz="4" w:space="0" w:color="auto"/>
              <w:left w:val="single" w:sz="4" w:space="0" w:color="auto"/>
              <w:bottom w:val="single" w:sz="4" w:space="0" w:color="auto"/>
              <w:right w:val="single" w:sz="4" w:space="0" w:color="auto"/>
            </w:tcBorders>
            <w:hideMark/>
          </w:tcPr>
          <w:p w14:paraId="03DCCE08" w14:textId="77777777" w:rsidR="0062278D" w:rsidRDefault="0062278D">
            <w:pPr>
              <w:jc w:val="both"/>
              <w:rPr>
                <w:lang w:val="en-US" w:eastAsia="ja-JP"/>
              </w:rPr>
            </w:pPr>
            <w:r>
              <w:rPr>
                <w:lang w:val="en-US" w:eastAsia="ja-JP"/>
              </w:rPr>
              <w:t>Cell Spectral utilization</w:t>
            </w:r>
          </w:p>
        </w:tc>
        <w:tc>
          <w:tcPr>
            <w:tcW w:w="1966" w:type="dxa"/>
            <w:tcBorders>
              <w:top w:val="single" w:sz="4" w:space="0" w:color="auto"/>
              <w:left w:val="single" w:sz="4" w:space="0" w:color="auto"/>
              <w:bottom w:val="single" w:sz="4" w:space="0" w:color="auto"/>
              <w:right w:val="single" w:sz="4" w:space="0" w:color="auto"/>
            </w:tcBorders>
            <w:hideMark/>
          </w:tcPr>
          <w:p w14:paraId="48D8C779" w14:textId="77777777" w:rsidR="0062278D" w:rsidRDefault="0062278D">
            <w:pPr>
              <w:jc w:val="both"/>
              <w:rPr>
                <w:lang w:val="en-US" w:eastAsia="ja-JP"/>
              </w:rPr>
            </w:pPr>
            <w:r>
              <w:rPr>
                <w:lang w:val="en-US" w:eastAsia="ja-JP"/>
              </w:rPr>
              <w:t>Entire spectrum holding can be used even only with legacy UEs</w:t>
            </w:r>
          </w:p>
        </w:tc>
        <w:tc>
          <w:tcPr>
            <w:tcW w:w="1966" w:type="dxa"/>
            <w:tcBorders>
              <w:top w:val="single" w:sz="4" w:space="0" w:color="auto"/>
              <w:left w:val="single" w:sz="4" w:space="0" w:color="auto"/>
              <w:bottom w:val="single" w:sz="4" w:space="0" w:color="auto"/>
              <w:right w:val="single" w:sz="4" w:space="0" w:color="auto"/>
            </w:tcBorders>
            <w:hideMark/>
          </w:tcPr>
          <w:p w14:paraId="3F693A22" w14:textId="77777777" w:rsidR="0062278D" w:rsidRDefault="0062278D">
            <w:pPr>
              <w:jc w:val="both"/>
              <w:rPr>
                <w:lang w:val="en-US" w:eastAsia="ja-JP"/>
              </w:rPr>
            </w:pPr>
            <w:r>
              <w:rPr>
                <w:lang w:val="en-US" w:eastAsia="ja-JP"/>
              </w:rPr>
              <w:t xml:space="preserve">Entire spectrum holding can be used even only with legacy UEs for some scenarios depending on whether a single SSB can be used to configure legacy channels at both edges of the spectrum holding. Otherwise, entire spectrum can be used only by new UEs, all legacy UEs have to </w:t>
            </w:r>
            <w:r>
              <w:rPr>
                <w:lang w:val="en-US" w:eastAsia="ja-JP"/>
              </w:rPr>
              <w:lastRenderedPageBreak/>
              <w:t>use the same regular channel BW part of the spectrum holding.</w:t>
            </w:r>
          </w:p>
        </w:tc>
        <w:tc>
          <w:tcPr>
            <w:tcW w:w="1966" w:type="dxa"/>
            <w:tcBorders>
              <w:top w:val="single" w:sz="4" w:space="0" w:color="auto"/>
              <w:left w:val="single" w:sz="4" w:space="0" w:color="auto"/>
              <w:bottom w:val="single" w:sz="4" w:space="0" w:color="auto"/>
              <w:right w:val="single" w:sz="4" w:space="0" w:color="auto"/>
            </w:tcBorders>
            <w:hideMark/>
          </w:tcPr>
          <w:p w14:paraId="42E807A3" w14:textId="77777777" w:rsidR="0062278D" w:rsidRDefault="0062278D">
            <w:pPr>
              <w:jc w:val="both"/>
              <w:rPr>
                <w:lang w:val="en-US" w:eastAsia="ja-JP"/>
              </w:rPr>
            </w:pPr>
            <w:r>
              <w:rPr>
                <w:lang w:val="en-US" w:eastAsia="ja-JP"/>
              </w:rPr>
              <w:lastRenderedPageBreak/>
              <w:t xml:space="preserve"> Entire spectrum holding can be used even only with legacy UEs</w:t>
            </w:r>
          </w:p>
        </w:tc>
        <w:tc>
          <w:tcPr>
            <w:tcW w:w="1966" w:type="dxa"/>
            <w:tcBorders>
              <w:top w:val="single" w:sz="4" w:space="0" w:color="auto"/>
              <w:left w:val="single" w:sz="4" w:space="0" w:color="auto"/>
              <w:bottom w:val="single" w:sz="4" w:space="0" w:color="auto"/>
              <w:right w:val="single" w:sz="4" w:space="0" w:color="auto"/>
            </w:tcBorders>
            <w:hideMark/>
          </w:tcPr>
          <w:p w14:paraId="5A79D786" w14:textId="77777777" w:rsidR="0062278D" w:rsidRDefault="0062278D">
            <w:pPr>
              <w:jc w:val="both"/>
              <w:rPr>
                <w:lang w:val="en-US" w:eastAsia="ja-JP"/>
              </w:rPr>
            </w:pPr>
            <w:r>
              <w:rPr>
                <w:lang w:val="en-US" w:eastAsia="ja-JP"/>
              </w:rPr>
              <w:t>Entire spectrum holding, but with wider guard bands than in the other methods, can be used even only with legacy UEs</w:t>
            </w:r>
          </w:p>
        </w:tc>
      </w:tr>
      <w:tr w:rsidR="0062278D" w14:paraId="0BF695E6" w14:textId="77777777" w:rsidTr="0062278D">
        <w:tc>
          <w:tcPr>
            <w:tcW w:w="1965" w:type="dxa"/>
            <w:tcBorders>
              <w:top w:val="single" w:sz="4" w:space="0" w:color="auto"/>
              <w:left w:val="single" w:sz="4" w:space="0" w:color="auto"/>
              <w:bottom w:val="single" w:sz="4" w:space="0" w:color="auto"/>
              <w:right w:val="single" w:sz="4" w:space="0" w:color="auto"/>
            </w:tcBorders>
            <w:hideMark/>
          </w:tcPr>
          <w:p w14:paraId="401501E2" w14:textId="77777777" w:rsidR="0062278D" w:rsidRDefault="0062278D">
            <w:pPr>
              <w:jc w:val="both"/>
              <w:rPr>
                <w:lang w:val="en-US" w:eastAsia="ja-JP"/>
              </w:rPr>
            </w:pPr>
            <w:r>
              <w:rPr>
                <w:lang w:val="en-US" w:eastAsia="ja-JP"/>
              </w:rPr>
              <w:t>Network capacity</w:t>
            </w:r>
          </w:p>
        </w:tc>
        <w:tc>
          <w:tcPr>
            <w:tcW w:w="1966" w:type="dxa"/>
            <w:tcBorders>
              <w:top w:val="single" w:sz="4" w:space="0" w:color="auto"/>
              <w:left w:val="single" w:sz="4" w:space="0" w:color="auto"/>
              <w:bottom w:val="single" w:sz="4" w:space="0" w:color="auto"/>
              <w:right w:val="single" w:sz="4" w:space="0" w:color="auto"/>
            </w:tcBorders>
            <w:hideMark/>
          </w:tcPr>
          <w:p w14:paraId="00F624AE" w14:textId="77777777" w:rsidR="0062278D" w:rsidRDefault="0062278D">
            <w:pPr>
              <w:jc w:val="both"/>
              <w:rPr>
                <w:lang w:val="en-US" w:eastAsia="ja-JP"/>
              </w:rPr>
            </w:pPr>
            <w:r>
              <w:rPr>
                <w:lang w:val="en-US" w:eastAsia="ja-JP"/>
              </w:rPr>
              <w:t xml:space="preserve">Entire spectrum can be used by multiplexing different </w:t>
            </w:r>
            <w:proofErr w:type="gramStart"/>
            <w:r>
              <w:rPr>
                <w:lang w:val="en-US" w:eastAsia="ja-JP"/>
              </w:rPr>
              <w:t>UEs(</w:t>
            </w:r>
            <w:proofErr w:type="gramEnd"/>
            <w:r>
              <w:rPr>
                <w:lang w:val="en-US" w:eastAsia="ja-JP"/>
              </w:rPr>
              <w:t>even legacy UEs)</w:t>
            </w:r>
          </w:p>
        </w:tc>
        <w:tc>
          <w:tcPr>
            <w:tcW w:w="1966" w:type="dxa"/>
            <w:tcBorders>
              <w:top w:val="single" w:sz="4" w:space="0" w:color="auto"/>
              <w:left w:val="single" w:sz="4" w:space="0" w:color="auto"/>
              <w:bottom w:val="single" w:sz="4" w:space="0" w:color="auto"/>
              <w:right w:val="single" w:sz="4" w:space="0" w:color="auto"/>
            </w:tcBorders>
            <w:hideMark/>
          </w:tcPr>
          <w:p w14:paraId="7DE9D810" w14:textId="77777777" w:rsidR="0062278D" w:rsidRDefault="0062278D">
            <w:pPr>
              <w:jc w:val="both"/>
              <w:rPr>
                <w:lang w:val="en-US" w:eastAsia="ja-JP"/>
              </w:rPr>
            </w:pPr>
            <w:r>
              <w:rPr>
                <w:lang w:val="en-US" w:eastAsia="ja-JP"/>
              </w:rPr>
              <w:t>Entire spectrum can only be used for new UEs, whether legacy UEs can be multiplexed to cover entire channel depends on the configuration and bandwidth</w:t>
            </w:r>
          </w:p>
        </w:tc>
        <w:tc>
          <w:tcPr>
            <w:tcW w:w="1966" w:type="dxa"/>
            <w:tcBorders>
              <w:top w:val="single" w:sz="4" w:space="0" w:color="auto"/>
              <w:left w:val="single" w:sz="4" w:space="0" w:color="auto"/>
              <w:bottom w:val="single" w:sz="4" w:space="0" w:color="auto"/>
              <w:right w:val="single" w:sz="4" w:space="0" w:color="auto"/>
            </w:tcBorders>
            <w:hideMark/>
          </w:tcPr>
          <w:p w14:paraId="0F12C824" w14:textId="77777777" w:rsidR="0062278D" w:rsidRDefault="0062278D">
            <w:pPr>
              <w:jc w:val="both"/>
              <w:rPr>
                <w:lang w:val="en-US" w:eastAsia="ja-JP"/>
              </w:rPr>
            </w:pPr>
            <w:r>
              <w:rPr>
                <w:lang w:val="en-US" w:eastAsia="ja-JP"/>
              </w:rPr>
              <w:t>Entire spectrum can be used by multiplexing different UEs in the frequency domain</w:t>
            </w:r>
          </w:p>
        </w:tc>
        <w:tc>
          <w:tcPr>
            <w:tcW w:w="1966" w:type="dxa"/>
            <w:tcBorders>
              <w:top w:val="single" w:sz="4" w:space="0" w:color="auto"/>
              <w:left w:val="single" w:sz="4" w:space="0" w:color="auto"/>
              <w:bottom w:val="single" w:sz="4" w:space="0" w:color="auto"/>
              <w:right w:val="single" w:sz="4" w:space="0" w:color="auto"/>
            </w:tcBorders>
            <w:hideMark/>
          </w:tcPr>
          <w:p w14:paraId="5E94C280" w14:textId="77777777" w:rsidR="0062278D" w:rsidRDefault="0062278D">
            <w:pPr>
              <w:jc w:val="both"/>
              <w:rPr>
                <w:lang w:val="en-US" w:eastAsia="ja-JP"/>
              </w:rPr>
            </w:pPr>
            <w:r>
              <w:rPr>
                <w:lang w:val="en-US" w:eastAsia="ja-JP"/>
              </w:rPr>
              <w:t>Entire spectrum can be used by any UE</w:t>
            </w:r>
          </w:p>
        </w:tc>
      </w:tr>
      <w:tr w:rsidR="0062278D" w14:paraId="28275B22" w14:textId="77777777" w:rsidTr="0062278D">
        <w:tc>
          <w:tcPr>
            <w:tcW w:w="1965" w:type="dxa"/>
            <w:tcBorders>
              <w:top w:val="single" w:sz="4" w:space="0" w:color="auto"/>
              <w:left w:val="single" w:sz="4" w:space="0" w:color="auto"/>
              <w:bottom w:val="single" w:sz="4" w:space="0" w:color="auto"/>
              <w:right w:val="single" w:sz="4" w:space="0" w:color="auto"/>
            </w:tcBorders>
            <w:hideMark/>
          </w:tcPr>
          <w:p w14:paraId="0DE15387" w14:textId="77777777" w:rsidR="0062278D" w:rsidRDefault="0062278D">
            <w:pPr>
              <w:jc w:val="both"/>
              <w:rPr>
                <w:lang w:val="en-US" w:eastAsia="ja-JP"/>
              </w:rPr>
            </w:pPr>
            <w:r>
              <w:rPr>
                <w:lang w:val="en-US" w:eastAsia="ja-JP"/>
              </w:rPr>
              <w:t>Legacy UE support</w:t>
            </w:r>
          </w:p>
        </w:tc>
        <w:tc>
          <w:tcPr>
            <w:tcW w:w="1966" w:type="dxa"/>
            <w:tcBorders>
              <w:top w:val="single" w:sz="4" w:space="0" w:color="auto"/>
              <w:left w:val="single" w:sz="4" w:space="0" w:color="auto"/>
              <w:bottom w:val="single" w:sz="4" w:space="0" w:color="auto"/>
              <w:right w:val="single" w:sz="4" w:space="0" w:color="auto"/>
            </w:tcBorders>
            <w:hideMark/>
          </w:tcPr>
          <w:p w14:paraId="184E13A6" w14:textId="77777777" w:rsidR="0062278D" w:rsidRDefault="0062278D">
            <w:pPr>
              <w:jc w:val="both"/>
              <w:rPr>
                <w:lang w:val="en-US" w:eastAsia="ja-JP"/>
              </w:rPr>
            </w:pPr>
            <w:r>
              <w:rPr>
                <w:lang w:val="en-US" w:eastAsia="ja-JP"/>
              </w:rPr>
              <w:t>Legacy UEs supported, can use one of the aggregated CCs</w:t>
            </w:r>
          </w:p>
        </w:tc>
        <w:tc>
          <w:tcPr>
            <w:tcW w:w="1966" w:type="dxa"/>
            <w:tcBorders>
              <w:top w:val="single" w:sz="4" w:space="0" w:color="auto"/>
              <w:left w:val="single" w:sz="4" w:space="0" w:color="auto"/>
              <w:bottom w:val="single" w:sz="4" w:space="0" w:color="auto"/>
              <w:right w:val="single" w:sz="4" w:space="0" w:color="auto"/>
            </w:tcBorders>
            <w:hideMark/>
          </w:tcPr>
          <w:p w14:paraId="0654843A" w14:textId="77777777" w:rsidR="0062278D" w:rsidRDefault="0062278D">
            <w:pPr>
              <w:jc w:val="both"/>
              <w:rPr>
                <w:lang w:val="en-US" w:eastAsia="ja-JP"/>
              </w:rPr>
            </w:pPr>
            <w:r>
              <w:rPr>
                <w:lang w:val="en-US" w:eastAsia="ja-JP"/>
              </w:rPr>
              <w:t>Legacy UEs can use part of the spectrum that contains the SSB</w:t>
            </w:r>
          </w:p>
        </w:tc>
        <w:tc>
          <w:tcPr>
            <w:tcW w:w="1966" w:type="dxa"/>
            <w:tcBorders>
              <w:top w:val="single" w:sz="4" w:space="0" w:color="auto"/>
              <w:left w:val="single" w:sz="4" w:space="0" w:color="auto"/>
              <w:bottom w:val="single" w:sz="4" w:space="0" w:color="auto"/>
              <w:right w:val="single" w:sz="4" w:space="0" w:color="auto"/>
            </w:tcBorders>
            <w:hideMark/>
          </w:tcPr>
          <w:p w14:paraId="73614C08" w14:textId="77777777" w:rsidR="0062278D" w:rsidRDefault="0062278D">
            <w:pPr>
              <w:jc w:val="both"/>
              <w:rPr>
                <w:lang w:val="en-US" w:eastAsia="ja-JP"/>
              </w:rPr>
            </w:pPr>
            <w:r>
              <w:rPr>
                <w:lang w:val="en-US" w:eastAsia="ja-JP"/>
              </w:rPr>
              <w:t>Legacy UEs supported</w:t>
            </w:r>
          </w:p>
        </w:tc>
        <w:tc>
          <w:tcPr>
            <w:tcW w:w="1966" w:type="dxa"/>
            <w:tcBorders>
              <w:top w:val="single" w:sz="4" w:space="0" w:color="auto"/>
              <w:left w:val="single" w:sz="4" w:space="0" w:color="auto"/>
              <w:bottom w:val="single" w:sz="4" w:space="0" w:color="auto"/>
              <w:right w:val="single" w:sz="4" w:space="0" w:color="auto"/>
            </w:tcBorders>
            <w:hideMark/>
          </w:tcPr>
          <w:p w14:paraId="76AEBA20" w14:textId="77777777" w:rsidR="0062278D" w:rsidRDefault="0062278D">
            <w:pPr>
              <w:jc w:val="both"/>
              <w:rPr>
                <w:lang w:val="en-US" w:eastAsia="ja-JP"/>
              </w:rPr>
            </w:pPr>
            <w:r>
              <w:rPr>
                <w:lang w:val="en-US" w:eastAsia="ja-JP"/>
              </w:rPr>
              <w:t>Legacy UEs supported</w:t>
            </w:r>
          </w:p>
        </w:tc>
      </w:tr>
      <w:tr w:rsidR="0062278D" w14:paraId="519D29E0" w14:textId="77777777" w:rsidTr="0062278D">
        <w:tc>
          <w:tcPr>
            <w:tcW w:w="1965" w:type="dxa"/>
            <w:tcBorders>
              <w:top w:val="single" w:sz="4" w:space="0" w:color="auto"/>
              <w:left w:val="single" w:sz="4" w:space="0" w:color="auto"/>
              <w:bottom w:val="single" w:sz="4" w:space="0" w:color="auto"/>
              <w:right w:val="single" w:sz="4" w:space="0" w:color="auto"/>
            </w:tcBorders>
            <w:hideMark/>
          </w:tcPr>
          <w:p w14:paraId="08DFE46C" w14:textId="77777777" w:rsidR="0062278D" w:rsidRDefault="0062278D">
            <w:pPr>
              <w:jc w:val="both"/>
              <w:rPr>
                <w:lang w:val="en-US" w:eastAsia="ja-JP"/>
              </w:rPr>
            </w:pPr>
            <w:r>
              <w:rPr>
                <w:lang w:val="en-US" w:eastAsia="ja-JP"/>
              </w:rPr>
              <w:t>RAN1/2/4 Specification impact</w:t>
            </w:r>
          </w:p>
        </w:tc>
        <w:tc>
          <w:tcPr>
            <w:tcW w:w="1966" w:type="dxa"/>
            <w:tcBorders>
              <w:top w:val="single" w:sz="4" w:space="0" w:color="auto"/>
              <w:left w:val="single" w:sz="4" w:space="0" w:color="auto"/>
              <w:bottom w:val="single" w:sz="4" w:space="0" w:color="auto"/>
              <w:right w:val="single" w:sz="4" w:space="0" w:color="auto"/>
            </w:tcBorders>
            <w:hideMark/>
          </w:tcPr>
          <w:p w14:paraId="104AB823" w14:textId="77777777" w:rsidR="0062278D" w:rsidRDefault="0062278D">
            <w:pPr>
              <w:jc w:val="both"/>
              <w:rPr>
                <w:lang w:val="en-US" w:eastAsia="ja-JP"/>
              </w:rPr>
            </w:pPr>
            <w:r>
              <w:rPr>
                <w:lang w:val="en-US" w:eastAsia="ja-JP"/>
              </w:rPr>
              <w:t xml:space="preserve">RAN1/2 – new UE capabilities needed, </w:t>
            </w:r>
          </w:p>
          <w:p w14:paraId="1D86D356" w14:textId="77777777" w:rsidR="0062278D" w:rsidRDefault="0062278D">
            <w:pPr>
              <w:jc w:val="both"/>
              <w:rPr>
                <w:lang w:val="en-US" w:eastAsia="ja-JP"/>
              </w:rPr>
            </w:pPr>
            <w:r>
              <w:rPr>
                <w:lang w:val="en-US" w:eastAsia="ja-JP"/>
              </w:rPr>
              <w:t xml:space="preserve">RAN4 – new band combinations, changes to channel spacing definition, Overlapping CA </w:t>
            </w:r>
            <w:proofErr w:type="spellStart"/>
            <w:r>
              <w:rPr>
                <w:lang w:val="en-US" w:eastAsia="ja-JP"/>
              </w:rPr>
              <w:t>reqs</w:t>
            </w:r>
            <w:proofErr w:type="spellEnd"/>
            <w:r>
              <w:rPr>
                <w:lang w:val="en-US" w:eastAsia="ja-JP"/>
              </w:rPr>
              <w:t xml:space="preserve"> applicability, new </w:t>
            </w:r>
            <w:proofErr w:type="spellStart"/>
            <w:r>
              <w:rPr>
                <w:lang w:val="en-US" w:eastAsia="ja-JP"/>
              </w:rPr>
              <w:t>demod</w:t>
            </w:r>
            <w:proofErr w:type="spellEnd"/>
            <w:r>
              <w:rPr>
                <w:lang w:val="en-US" w:eastAsia="ja-JP"/>
              </w:rPr>
              <w:t xml:space="preserve"> requirements for UEs </w:t>
            </w:r>
          </w:p>
        </w:tc>
        <w:tc>
          <w:tcPr>
            <w:tcW w:w="1966" w:type="dxa"/>
            <w:tcBorders>
              <w:top w:val="single" w:sz="4" w:space="0" w:color="auto"/>
              <w:left w:val="single" w:sz="4" w:space="0" w:color="auto"/>
              <w:bottom w:val="single" w:sz="4" w:space="0" w:color="auto"/>
              <w:right w:val="single" w:sz="4" w:space="0" w:color="auto"/>
            </w:tcBorders>
            <w:hideMark/>
          </w:tcPr>
          <w:p w14:paraId="58663BB2" w14:textId="77777777" w:rsidR="0062278D" w:rsidRDefault="0062278D">
            <w:pPr>
              <w:jc w:val="both"/>
              <w:rPr>
                <w:lang w:val="en-US" w:eastAsia="ja-JP"/>
              </w:rPr>
            </w:pPr>
            <w:r>
              <w:rPr>
                <w:lang w:val="en-US" w:eastAsia="ja-JP"/>
              </w:rPr>
              <w:t>RAN2 – impact on new capability</w:t>
            </w:r>
          </w:p>
          <w:p w14:paraId="650CF101" w14:textId="77777777" w:rsidR="0062278D" w:rsidRDefault="0062278D">
            <w:pPr>
              <w:jc w:val="both"/>
              <w:rPr>
                <w:lang w:val="en-US" w:eastAsia="ja-JP"/>
              </w:rPr>
            </w:pPr>
            <w:r>
              <w:rPr>
                <w:lang w:val="en-US" w:eastAsia="ja-JP"/>
              </w:rPr>
              <w:t xml:space="preserve">RAN4 –core requirements equivalent to new channel BW for BS, new </w:t>
            </w:r>
            <w:proofErr w:type="spellStart"/>
            <w:r>
              <w:rPr>
                <w:lang w:val="en-US" w:eastAsia="ja-JP"/>
              </w:rPr>
              <w:t>demod</w:t>
            </w:r>
            <w:proofErr w:type="spellEnd"/>
            <w:r>
              <w:rPr>
                <w:lang w:val="en-US" w:eastAsia="ja-JP"/>
              </w:rPr>
              <w:t xml:space="preserve"> requirements for UEs</w:t>
            </w:r>
          </w:p>
        </w:tc>
        <w:tc>
          <w:tcPr>
            <w:tcW w:w="1966" w:type="dxa"/>
            <w:tcBorders>
              <w:top w:val="single" w:sz="4" w:space="0" w:color="auto"/>
              <w:left w:val="single" w:sz="4" w:space="0" w:color="auto"/>
              <w:bottom w:val="single" w:sz="4" w:space="0" w:color="auto"/>
              <w:right w:val="single" w:sz="4" w:space="0" w:color="auto"/>
            </w:tcBorders>
            <w:hideMark/>
          </w:tcPr>
          <w:p w14:paraId="3C86AF4C" w14:textId="77777777" w:rsidR="0062278D" w:rsidRDefault="0062278D">
            <w:pPr>
              <w:jc w:val="both"/>
              <w:rPr>
                <w:lang w:val="en-US" w:eastAsia="ja-JP"/>
              </w:rPr>
            </w:pPr>
            <w:r>
              <w:rPr>
                <w:lang w:val="en-US" w:eastAsia="ja-JP"/>
              </w:rPr>
              <w:t>RAN4 – BS requirements for new channel BW</w:t>
            </w:r>
          </w:p>
        </w:tc>
        <w:tc>
          <w:tcPr>
            <w:tcW w:w="1966" w:type="dxa"/>
            <w:tcBorders>
              <w:top w:val="single" w:sz="4" w:space="0" w:color="auto"/>
              <w:left w:val="single" w:sz="4" w:space="0" w:color="auto"/>
              <w:bottom w:val="single" w:sz="4" w:space="0" w:color="auto"/>
              <w:right w:val="single" w:sz="4" w:space="0" w:color="auto"/>
            </w:tcBorders>
            <w:hideMark/>
          </w:tcPr>
          <w:p w14:paraId="15FFBAB9" w14:textId="77777777" w:rsidR="0062278D" w:rsidRDefault="0062278D">
            <w:pPr>
              <w:jc w:val="both"/>
              <w:rPr>
                <w:lang w:val="en-US" w:eastAsia="ja-JP"/>
              </w:rPr>
            </w:pPr>
            <w:r>
              <w:rPr>
                <w:lang w:val="en-US" w:eastAsia="ja-JP"/>
              </w:rPr>
              <w:t>RAN4 – BS requirements for new channel BW, possibly restrictions of the suitable scenarios.</w:t>
            </w:r>
          </w:p>
          <w:p w14:paraId="0EAB02F5" w14:textId="77777777" w:rsidR="0062278D" w:rsidRDefault="0062278D">
            <w:pPr>
              <w:jc w:val="both"/>
              <w:rPr>
                <w:lang w:val="en-US" w:eastAsia="ja-JP"/>
              </w:rPr>
            </w:pPr>
            <w:r>
              <w:rPr>
                <w:lang w:val="en-US" w:eastAsia="ja-JP"/>
              </w:rPr>
              <w:t xml:space="preserve">New asymmetric bandwidth combinations for UE are needed. </w:t>
            </w:r>
            <w:proofErr w:type="gramStart"/>
            <w:r>
              <w:rPr>
                <w:lang w:val="en-US" w:eastAsia="ja-JP"/>
              </w:rPr>
              <w:t>However</w:t>
            </w:r>
            <w:proofErr w:type="gramEnd"/>
            <w:r>
              <w:rPr>
                <w:lang w:val="en-US" w:eastAsia="ja-JP"/>
              </w:rPr>
              <w:t xml:space="preserve"> these combinations would be “regular” BW combinations, so existing process.</w:t>
            </w:r>
          </w:p>
        </w:tc>
      </w:tr>
    </w:tbl>
    <w:p w14:paraId="28E4D7ED" w14:textId="77777777" w:rsidR="00464CC0" w:rsidRPr="00464CC0" w:rsidRDefault="00464CC0" w:rsidP="00464CC0"/>
    <w:p w14:paraId="757AEDCC" w14:textId="766C4B80" w:rsidR="00F7119B" w:rsidRDefault="00F7119B" w:rsidP="00F7119B">
      <w:pPr>
        <w:pStyle w:val="B1"/>
        <w:ind w:left="0" w:firstLine="0"/>
        <w:rPr>
          <w:color w:val="FF0000"/>
        </w:rPr>
      </w:pPr>
      <w:r w:rsidRPr="00AD4838">
        <w:rPr>
          <w:color w:val="FF0000"/>
        </w:rPr>
        <w:t>&lt;&lt;START OF CHANGES&gt;&gt;</w:t>
      </w:r>
    </w:p>
    <w:p w14:paraId="72CEB890" w14:textId="6A5333FE" w:rsidR="00FC3129" w:rsidRPr="008A13CF" w:rsidRDefault="00857D82" w:rsidP="008A13CF">
      <w:pPr>
        <w:pStyle w:val="Heading4"/>
      </w:pPr>
      <w:r>
        <w:t>7.2 Study Item Conclusions</w:t>
      </w:r>
    </w:p>
    <w:p w14:paraId="3295D734" w14:textId="5E1550EF" w:rsidR="006B1C77" w:rsidRPr="00017283" w:rsidRDefault="006B1C77" w:rsidP="006B1C77">
      <w:pPr>
        <w:pStyle w:val="BodyText"/>
        <w:rPr>
          <w:ins w:id="6" w:author="Lehne, Mark A" w:date="2022-03-01T11:47:00Z"/>
          <w:lang w:val="en-US"/>
        </w:rPr>
      </w:pPr>
      <w:ins w:id="7" w:author="Lehne, Mark A" w:date="2022-03-01T11:47:00Z">
        <w:r w:rsidRPr="00017283">
          <w:rPr>
            <w:lang w:val="en-US"/>
          </w:rPr>
          <w:t xml:space="preserve">Four methods of addressing irregular channel BW have been presented.  Each method implements a means to add further RBs that utilize the irregular CBW up to the guard band edges.  The four methods each have trade-offs in terms of implementation complexity and spectral utilization from the UE and Network perspective.  </w:t>
        </w:r>
      </w:ins>
    </w:p>
    <w:p w14:paraId="396DABA6" w14:textId="77777777" w:rsidR="006B1C77" w:rsidRDefault="006B1C77" w:rsidP="006B1C77">
      <w:pPr>
        <w:pStyle w:val="BodyText"/>
        <w:rPr>
          <w:ins w:id="8" w:author="Lehne, Mark A" w:date="2022-03-01T11:47:00Z"/>
          <w:lang w:val="en-US"/>
        </w:rPr>
      </w:pPr>
      <w:ins w:id="9" w:author="Lehne, Mark A" w:date="2022-03-01T11:47:00Z">
        <w:r w:rsidRPr="00017283">
          <w:rPr>
            <w:lang w:val="en-US"/>
          </w:rPr>
          <w:t xml:space="preserve">The Overlapping UE CBW from the </w:t>
        </w:r>
        <w:r>
          <w:rPr>
            <w:lang w:val="en-US"/>
          </w:rPr>
          <w:t>N</w:t>
        </w:r>
        <w:r w:rsidRPr="00017283">
          <w:rPr>
            <w:lang w:val="en-US"/>
          </w:rPr>
          <w:t xml:space="preserve">etwork </w:t>
        </w:r>
        <w:r>
          <w:rPr>
            <w:lang w:val="en-US"/>
          </w:rPr>
          <w:t>P</w:t>
        </w:r>
        <w:r w:rsidRPr="00017283">
          <w:rPr>
            <w:lang w:val="en-US"/>
          </w:rPr>
          <w:t xml:space="preserve">erspective and the </w:t>
        </w:r>
        <w:r>
          <w:rPr>
            <w:lang w:val="en-US"/>
          </w:rPr>
          <w:t xml:space="preserve">Larger Channel </w:t>
        </w:r>
        <w:r w:rsidRPr="00017283">
          <w:rPr>
            <w:lang w:val="en-US"/>
          </w:rPr>
          <w:t xml:space="preserve">BW </w:t>
        </w:r>
        <w:r>
          <w:rPr>
            <w:lang w:val="en-US"/>
          </w:rPr>
          <w:t xml:space="preserve">method </w:t>
        </w:r>
        <w:r w:rsidRPr="00017283">
          <w:rPr>
            <w:lang w:val="en-US"/>
          </w:rPr>
          <w:t>offer benefits in improved spectral efficiency to utilize new irregular BWs without requiring new UE hardware.</w:t>
        </w:r>
        <w:r>
          <w:rPr>
            <w:lang w:val="en-US"/>
          </w:rPr>
          <w:t xml:space="preserve">  The Larger Channel BW method allows improved UE spectral efficiency in addition to the NW spectral efficiency.  The Combined UE CBW and Overlapping CA methods can achieve a further improvement in spectral efficiency from both the UE and Network perspective, at the cost of greater specification development effort and significantly increased UE hardware complexity for the Combined UE CBW method compared to the other methods.  </w:t>
        </w:r>
      </w:ins>
    </w:p>
    <w:p w14:paraId="3F5EDD44" w14:textId="77777777" w:rsidR="006B1C77" w:rsidRPr="00803567" w:rsidRDefault="006B1C77" w:rsidP="006B1C77">
      <w:pPr>
        <w:pStyle w:val="BodyText"/>
        <w:rPr>
          <w:ins w:id="10" w:author="Lehne, Mark A" w:date="2022-03-01T11:47:00Z"/>
          <w:rFonts w:eastAsia="Calibri"/>
          <w:noProof/>
          <w:lang w:eastAsia="en-GB"/>
        </w:rPr>
      </w:pPr>
      <w:ins w:id="11" w:author="Lehne, Mark A" w:date="2022-03-01T11:47:00Z">
        <w:r w:rsidRPr="00803567">
          <w:rPr>
            <w:rFonts w:eastAsia="Calibri"/>
            <w:noProof/>
            <w:lang w:eastAsia="en-GB"/>
          </w:rPr>
          <w:t>The Larger Channel BW method will have some AC</w:t>
        </w:r>
        <w:r>
          <w:rPr>
            <w:rFonts w:eastAsia="Calibri"/>
            <w:noProof/>
            <w:lang w:eastAsia="en-GB"/>
          </w:rPr>
          <w:t>I</w:t>
        </w:r>
        <w:r w:rsidRPr="00803567">
          <w:rPr>
            <w:rFonts w:eastAsia="Calibri"/>
            <w:noProof/>
            <w:lang w:eastAsia="en-GB"/>
          </w:rPr>
          <w:t xml:space="preserve"> degradation </w:t>
        </w:r>
        <w:r>
          <w:rPr>
            <w:rFonts w:eastAsia="Calibri"/>
            <w:noProof/>
            <w:lang w:eastAsia="en-GB"/>
          </w:rPr>
          <w:t xml:space="preserve">at least </w:t>
        </w:r>
        <w:r w:rsidRPr="00803567">
          <w:rPr>
            <w:rFonts w:eastAsia="Calibri"/>
            <w:noProof/>
            <w:lang w:eastAsia="en-GB"/>
          </w:rPr>
          <w:t>when blockers exist</w:t>
        </w:r>
        <w:r>
          <w:rPr>
            <w:rFonts w:eastAsia="Calibri"/>
            <w:noProof/>
            <w:lang w:eastAsia="en-GB"/>
          </w:rPr>
          <w:t xml:space="preserve"> on both </w:t>
        </w:r>
        <w:commentRangeStart w:id="12"/>
        <w:commentRangeStart w:id="13"/>
        <w:r>
          <w:rPr>
            <w:rFonts w:eastAsia="Calibri"/>
            <w:noProof/>
            <w:lang w:eastAsia="en-GB"/>
          </w:rPr>
          <w:t>sides</w:t>
        </w:r>
        <w:r w:rsidRPr="00803567">
          <w:rPr>
            <w:rFonts w:eastAsia="Calibri"/>
            <w:noProof/>
            <w:lang w:eastAsia="en-GB"/>
          </w:rPr>
          <w:t xml:space="preserve"> </w:t>
        </w:r>
        <w:r>
          <w:rPr>
            <w:rFonts w:eastAsia="Calibri"/>
            <w:noProof/>
            <w:lang w:eastAsia="en-GB"/>
          </w:rPr>
          <w:t xml:space="preserve">of </w:t>
        </w:r>
        <w:r w:rsidRPr="00803567">
          <w:rPr>
            <w:rFonts w:eastAsia="Calibri"/>
            <w:noProof/>
            <w:lang w:eastAsia="en-GB"/>
          </w:rPr>
          <w:t xml:space="preserve">the </w:t>
        </w:r>
        <w:commentRangeEnd w:id="12"/>
        <w:r>
          <w:rPr>
            <w:rStyle w:val="CommentReference"/>
          </w:rPr>
          <w:commentReference w:id="12"/>
        </w:r>
        <w:commentRangeEnd w:id="13"/>
        <w:r>
          <w:rPr>
            <w:rStyle w:val="CommentReference"/>
          </w:rPr>
          <w:commentReference w:id="13"/>
        </w:r>
        <w:r w:rsidRPr="00803567">
          <w:rPr>
            <w:rFonts w:eastAsia="Calibri"/>
            <w:noProof/>
            <w:lang w:eastAsia="en-GB"/>
          </w:rPr>
          <w:t>operating of the spectrum block.  The degree of degradation is still a subject of further study.</w:t>
        </w:r>
        <w:r>
          <w:rPr>
            <w:rFonts w:eastAsia="Calibri"/>
            <w:noProof/>
            <w:lang w:eastAsia="en-GB"/>
          </w:rPr>
          <w:t xml:space="preserve">  The </w:t>
        </w:r>
        <w:r>
          <w:rPr>
            <w:lang w:val="en-US"/>
          </w:rPr>
          <w:t>Combined UE CBW method requires a new UE architecture that modifies the RF and PHY sections of the UE.</w:t>
        </w:r>
      </w:ins>
    </w:p>
    <w:p w14:paraId="355B4B00" w14:textId="77777777" w:rsidR="006B1C77" w:rsidRDefault="006B1C77" w:rsidP="006B1C77">
      <w:pPr>
        <w:pStyle w:val="BodyText"/>
        <w:rPr>
          <w:ins w:id="14" w:author="Lehne, Mark A" w:date="2022-03-01T11:47:00Z"/>
          <w:lang w:val="en-US"/>
        </w:rPr>
      </w:pPr>
    </w:p>
    <w:p w14:paraId="0A591BEA" w14:textId="77777777" w:rsidR="006B1C77" w:rsidRDefault="006B1C77" w:rsidP="006B1C77">
      <w:pPr>
        <w:pStyle w:val="BodyText"/>
        <w:rPr>
          <w:ins w:id="15" w:author="Lehne, Mark A" w:date="2022-03-01T11:47:00Z"/>
          <w:rFonts w:eastAsia="Calibri"/>
          <w:noProof/>
          <w:lang w:eastAsia="en-GB"/>
        </w:rPr>
      </w:pPr>
      <w:commentRangeStart w:id="16"/>
      <w:commentRangeStart w:id="17"/>
      <w:ins w:id="18" w:author="Lehne, Mark A" w:date="2022-03-01T11:47:00Z">
        <w:r>
          <w:rPr>
            <w:lang w:val="en-US"/>
          </w:rPr>
          <w:t xml:space="preserve">The </w:t>
        </w:r>
        <w:commentRangeEnd w:id="16"/>
        <w:r>
          <w:rPr>
            <w:rStyle w:val="CommentReference"/>
          </w:rPr>
          <w:commentReference w:id="16"/>
        </w:r>
        <w:commentRangeEnd w:id="17"/>
        <w:r>
          <w:rPr>
            <w:rStyle w:val="CommentReference"/>
          </w:rPr>
          <w:commentReference w:id="17"/>
        </w:r>
        <w:r w:rsidRPr="00017283">
          <w:rPr>
            <w:lang w:val="en-US"/>
          </w:rPr>
          <w:t xml:space="preserve">Overlapping UE CBW from the </w:t>
        </w:r>
        <w:r>
          <w:rPr>
            <w:lang w:val="en-US"/>
          </w:rPr>
          <w:t>N</w:t>
        </w:r>
        <w:r w:rsidRPr="00017283">
          <w:rPr>
            <w:lang w:val="en-US"/>
          </w:rPr>
          <w:t xml:space="preserve">etwork </w:t>
        </w:r>
        <w:r>
          <w:rPr>
            <w:lang w:val="en-US"/>
          </w:rPr>
          <w:t>P</w:t>
        </w:r>
        <w:r w:rsidRPr="00017283">
          <w:rPr>
            <w:lang w:val="en-US"/>
          </w:rPr>
          <w:t>erspective</w:t>
        </w:r>
        <w:r>
          <w:rPr>
            <w:lang w:val="en-US"/>
          </w:rPr>
          <w:t xml:space="preserve"> method is the only method that achieves full benefit with a legacy UE.  For t</w:t>
        </w:r>
        <w:r>
          <w:rPr>
            <w:rFonts w:eastAsia="Calibri"/>
            <w:noProof/>
            <w:lang w:eastAsia="en-GB"/>
          </w:rPr>
          <w:t>he Larger Channel BW method, for the case of  legacy UEs the usable RBs are limited to the smaller CBW in UL and full irregularBW RBs in DL for UEs t</w:t>
        </w:r>
        <w:commentRangeStart w:id="19"/>
        <w:commentRangeStart w:id="20"/>
        <w:r>
          <w:rPr>
            <w:rFonts w:eastAsia="Calibri"/>
            <w:noProof/>
            <w:lang w:eastAsia="en-GB"/>
          </w:rPr>
          <w:t xml:space="preserve">hat support </w:t>
        </w:r>
        <w:r>
          <w:rPr>
            <w:lang w:val="en-US"/>
          </w:rPr>
          <w:t>the needed asymmetric UL and DL CBW combination</w:t>
        </w:r>
        <w:r>
          <w:rPr>
            <w:rFonts w:eastAsia="Calibri"/>
            <w:noProof/>
            <w:lang w:eastAsia="en-GB"/>
          </w:rPr>
          <w:t>.</w:t>
        </w:r>
        <w:commentRangeEnd w:id="19"/>
        <w:r>
          <w:rPr>
            <w:rStyle w:val="CommentReference"/>
          </w:rPr>
          <w:commentReference w:id="19"/>
        </w:r>
        <w:commentRangeEnd w:id="20"/>
        <w:r>
          <w:rPr>
            <w:rStyle w:val="CommentReference"/>
          </w:rPr>
          <w:commentReference w:id="20"/>
        </w:r>
        <w:r>
          <w:rPr>
            <w:rFonts w:eastAsia="Calibri"/>
            <w:noProof/>
            <w:lang w:eastAsia="en-GB"/>
          </w:rPr>
          <w:t xml:space="preserve">  </w:t>
        </w:r>
        <w:r>
          <w:rPr>
            <w:lang w:val="en-US"/>
          </w:rPr>
          <w:t xml:space="preserve">The </w:t>
        </w:r>
        <w:r>
          <w:rPr>
            <w:rFonts w:eastAsia="Calibri"/>
            <w:noProof/>
            <w:lang w:eastAsia="en-GB"/>
          </w:rPr>
          <w:t xml:space="preserve">Overlapping CA (two cells) and Combined UE CBW (one cell) methods will allow a legacy UE to connect but offer no additional RBs beyond the smaller CBW.  </w:t>
        </w:r>
      </w:ins>
    </w:p>
    <w:p w14:paraId="17909C7A" w14:textId="77777777" w:rsidR="006B1C77" w:rsidRDefault="006B1C77" w:rsidP="006B1C77">
      <w:pPr>
        <w:pStyle w:val="BodyText"/>
        <w:rPr>
          <w:ins w:id="21" w:author="Lehne, Mark A" w:date="2022-03-01T11:47:00Z"/>
          <w:lang w:val="en-US"/>
        </w:rPr>
      </w:pPr>
      <w:ins w:id="22" w:author="Lehne, Mark A" w:date="2022-03-01T11:47:00Z">
        <w:r w:rsidRPr="00A63170">
          <w:rPr>
            <w:lang w:val="en-US"/>
          </w:rPr>
          <w:lastRenderedPageBreak/>
          <w:t>For</w:t>
        </w:r>
        <w:r w:rsidRPr="005F193A">
          <w:rPr>
            <w:lang w:val="en-US"/>
          </w:rPr>
          <w:t xml:space="preserve"> spectral efficiency, a</w:t>
        </w:r>
        <w:r w:rsidRPr="00D313D4">
          <w:rPr>
            <w:lang w:val="en-US"/>
          </w:rPr>
          <w:t xml:space="preserve">ll four of the methods offer </w:t>
        </w:r>
        <w:r w:rsidRPr="00803567">
          <w:rPr>
            <w:lang w:val="en-US"/>
          </w:rPr>
          <w:t>significant benefit over the existing channel bandwidths defined in TS38.101-1</w:t>
        </w:r>
        <w:r>
          <w:rPr>
            <w:lang w:val="en-US"/>
          </w:rPr>
          <w:t xml:space="preserve"> and TS 38.104</w:t>
        </w:r>
        <w:r w:rsidRPr="00803567">
          <w:rPr>
            <w:lang w:val="en-US"/>
          </w:rPr>
          <w:t xml:space="preserve">.  </w:t>
        </w:r>
        <w:commentRangeStart w:id="23"/>
        <w:commentRangeStart w:id="24"/>
        <w:r w:rsidRPr="00190984">
          <w:rPr>
            <w:lang w:val="en-US"/>
          </w:rPr>
          <w:t xml:space="preserve">Comparison data from the </w:t>
        </w:r>
        <w:r>
          <w:rPr>
            <w:lang w:val="en-US"/>
          </w:rPr>
          <w:t xml:space="preserve">exemplary numbers from the </w:t>
        </w:r>
        <w:r w:rsidRPr="00190984">
          <w:rPr>
            <w:lang w:val="en-US"/>
          </w:rPr>
          <w:t xml:space="preserve">method descriptions in section </w:t>
        </w:r>
        <w:proofErr w:type="gramStart"/>
        <w:r w:rsidRPr="00190984">
          <w:rPr>
            <w:lang w:val="en-US"/>
          </w:rPr>
          <w:t xml:space="preserve">6, </w:t>
        </w:r>
        <w:r>
          <w:rPr>
            <w:lang w:val="en-US"/>
          </w:rPr>
          <w:t>and</w:t>
        </w:r>
        <w:proofErr w:type="gramEnd"/>
        <w:r>
          <w:rPr>
            <w:lang w:val="en-US"/>
          </w:rPr>
          <w:t xml:space="preserve"> are</w:t>
        </w:r>
        <w:r w:rsidRPr="00190984">
          <w:rPr>
            <w:lang w:val="en-US"/>
          </w:rPr>
          <w:t xml:space="preserve"> summarized below in Table 7.2-2.</w:t>
        </w:r>
        <w:commentRangeEnd w:id="23"/>
        <w:r>
          <w:rPr>
            <w:rStyle w:val="CommentReference"/>
          </w:rPr>
          <w:commentReference w:id="23"/>
        </w:r>
        <w:commentRangeEnd w:id="24"/>
        <w:r>
          <w:rPr>
            <w:rStyle w:val="CommentReference"/>
          </w:rPr>
          <w:commentReference w:id="24"/>
        </w:r>
        <w:r w:rsidRPr="00190984">
          <w:rPr>
            <w:lang w:val="en-US"/>
          </w:rPr>
          <w:t xml:space="preserve"> </w:t>
        </w:r>
        <w:r>
          <w:rPr>
            <w:lang w:val="en-US"/>
          </w:rPr>
          <w:t xml:space="preserve"> A</w:t>
        </w:r>
        <w:commentRangeStart w:id="25"/>
        <w:commentRangeStart w:id="26"/>
        <w:r w:rsidRPr="00803567">
          <w:rPr>
            <w:lang w:val="en-US"/>
          </w:rPr>
          <w:t xml:space="preserve">ll four methods </w:t>
        </w:r>
        <w:r>
          <w:rPr>
            <w:lang w:val="en-US"/>
          </w:rPr>
          <w:t>have a</w:t>
        </w:r>
        <w:r w:rsidRPr="00803567">
          <w:rPr>
            <w:lang w:val="en-US"/>
          </w:rPr>
          <w:t xml:space="preserve"> spectral efficiency </w:t>
        </w:r>
        <w:r>
          <w:rPr>
            <w:lang w:val="en-US"/>
          </w:rPr>
          <w:t>from the network perspective that</w:t>
        </w:r>
        <w:r w:rsidRPr="00803567">
          <w:rPr>
            <w:lang w:val="en-US"/>
          </w:rPr>
          <w:t xml:space="preserve"> exceeds 90% for </w:t>
        </w:r>
        <w:commentRangeStart w:id="27"/>
        <w:commentRangeStart w:id="28"/>
        <w:r w:rsidRPr="00803567">
          <w:rPr>
            <w:lang w:val="en-US"/>
          </w:rPr>
          <w:t>CBW greater than 7MHz</w:t>
        </w:r>
        <w:commentRangeEnd w:id="27"/>
        <w:r>
          <w:rPr>
            <w:rStyle w:val="CommentReference"/>
          </w:rPr>
          <w:commentReference w:id="27"/>
        </w:r>
        <w:commentRangeEnd w:id="28"/>
        <w:r>
          <w:rPr>
            <w:rStyle w:val="CommentReference"/>
          </w:rPr>
          <w:commentReference w:id="28"/>
        </w:r>
        <w:r w:rsidRPr="00803567">
          <w:rPr>
            <w:lang w:val="en-US"/>
          </w:rPr>
          <w:t xml:space="preserve">.  </w:t>
        </w:r>
        <w:commentRangeStart w:id="29"/>
        <w:commentRangeStart w:id="30"/>
        <w:r w:rsidRPr="00803567">
          <w:rPr>
            <w:lang w:val="en-US"/>
          </w:rPr>
          <w:t xml:space="preserve">For the Larger Channel BW, since the next wider guard band is used, this method is 1RB less efficient in some cases. </w:t>
        </w:r>
        <w:commentRangeEnd w:id="29"/>
        <w:r>
          <w:rPr>
            <w:rStyle w:val="CommentReference"/>
          </w:rPr>
          <w:commentReference w:id="29"/>
        </w:r>
        <w:commentRangeEnd w:id="30"/>
        <w:r>
          <w:rPr>
            <w:rStyle w:val="CommentReference"/>
          </w:rPr>
          <w:commentReference w:id="30"/>
        </w:r>
        <w:r w:rsidRPr="00803567">
          <w:rPr>
            <w:lang w:val="en-US"/>
          </w:rPr>
          <w:t xml:space="preserve"> For Overlapping UE CBW from the Network Perspective, the spectral efficiency is improved from the network side, </w:t>
        </w:r>
        <w:commentRangeStart w:id="31"/>
        <w:commentRangeStart w:id="32"/>
        <w:r w:rsidRPr="00803567">
          <w:rPr>
            <w:lang w:val="en-US"/>
          </w:rPr>
          <w:t>while the spectral efficiency from the UE side</w:t>
        </w:r>
        <w:r>
          <w:rPr>
            <w:lang w:val="en-US"/>
          </w:rPr>
          <w:t xml:space="preserve"> </w:t>
        </w:r>
        <w:r w:rsidRPr="00803567">
          <w:rPr>
            <w:lang w:val="en-US"/>
          </w:rPr>
          <w:t xml:space="preserve">sees </w:t>
        </w:r>
        <w:r>
          <w:rPr>
            <w:lang w:val="en-US"/>
          </w:rPr>
          <w:t>limited</w:t>
        </w:r>
        <w:r w:rsidRPr="00803567">
          <w:rPr>
            <w:lang w:val="en-US"/>
          </w:rPr>
          <w:t xml:space="preserve"> improvement</w:t>
        </w:r>
        <w:r>
          <w:rPr>
            <w:lang w:val="en-US"/>
          </w:rPr>
          <w:t xml:space="preserve"> in spectral efficiency</w:t>
        </w:r>
        <w:r w:rsidRPr="00803567">
          <w:rPr>
            <w:lang w:val="en-US"/>
          </w:rPr>
          <w:t xml:space="preserve">.  </w:t>
        </w:r>
        <w:commentRangeEnd w:id="31"/>
        <w:r>
          <w:rPr>
            <w:rStyle w:val="CommentReference"/>
          </w:rPr>
          <w:commentReference w:id="31"/>
        </w:r>
        <w:commentRangeEnd w:id="32"/>
        <w:r>
          <w:rPr>
            <w:rStyle w:val="CommentReference"/>
          </w:rPr>
          <w:commentReference w:id="32"/>
        </w:r>
        <w:r w:rsidRPr="00803567">
          <w:rPr>
            <w:lang w:val="en-US"/>
          </w:rPr>
          <w:t xml:space="preserve">Thus, all the methods allow the operator to utilize the </w:t>
        </w:r>
        <w:r>
          <w:rPr>
            <w:lang w:val="en-US"/>
          </w:rPr>
          <w:t xml:space="preserve">DL </w:t>
        </w:r>
        <w:r w:rsidRPr="00803567">
          <w:rPr>
            <w:lang w:val="en-US"/>
          </w:rPr>
          <w:t xml:space="preserve">full irregular </w:t>
        </w:r>
        <w:commentRangeStart w:id="33"/>
        <w:commentRangeStart w:id="34"/>
        <w:r w:rsidRPr="00803567">
          <w:rPr>
            <w:lang w:val="en-US"/>
          </w:rPr>
          <w:t>spectrum</w:t>
        </w:r>
        <w:r>
          <w:rPr>
            <w:lang w:val="en-US"/>
          </w:rPr>
          <w:t xml:space="preserve"> in some way</w:t>
        </w:r>
        <w:r w:rsidRPr="00803567">
          <w:rPr>
            <w:lang w:val="en-US"/>
          </w:rPr>
          <w:t xml:space="preserve"> </w:t>
        </w:r>
        <w:commentRangeEnd w:id="33"/>
        <w:r>
          <w:rPr>
            <w:rStyle w:val="CommentReference"/>
          </w:rPr>
          <w:commentReference w:id="33"/>
        </w:r>
        <w:commentRangeEnd w:id="34"/>
        <w:r>
          <w:rPr>
            <w:rStyle w:val="CommentReference"/>
          </w:rPr>
          <w:commentReference w:id="34"/>
        </w:r>
        <w:r w:rsidRPr="00803567">
          <w:rPr>
            <w:lang w:val="en-US"/>
          </w:rPr>
          <w:t>while some methods also improve UE spectral utilization.</w:t>
        </w:r>
        <w:r>
          <w:rPr>
            <w:lang w:val="en-US"/>
          </w:rPr>
          <w:t xml:space="preserve">  </w:t>
        </w:r>
        <w:commentRangeEnd w:id="25"/>
        <w:r>
          <w:rPr>
            <w:rStyle w:val="CommentReference"/>
          </w:rPr>
          <w:commentReference w:id="25"/>
        </w:r>
        <w:commentRangeEnd w:id="26"/>
        <w:r>
          <w:rPr>
            <w:rStyle w:val="CommentReference"/>
          </w:rPr>
          <w:commentReference w:id="26"/>
        </w:r>
        <w:r w:rsidDel="00F67875">
          <w:rPr>
            <w:lang w:val="en-US"/>
          </w:rPr>
          <w:t xml:space="preserve"> </w:t>
        </w:r>
      </w:ins>
    </w:p>
    <w:p w14:paraId="6B8B728C" w14:textId="77777777" w:rsidR="002134BB" w:rsidRDefault="002134BB" w:rsidP="00D313D4">
      <w:pPr>
        <w:pStyle w:val="BodyText"/>
        <w:rPr>
          <w:ins w:id="35" w:author="Lehne, Mark A" w:date="2022-02-28T15:24:00Z"/>
          <w:lang w:val="en-US"/>
        </w:rPr>
      </w:pPr>
    </w:p>
    <w:p w14:paraId="1AFCB216" w14:textId="64402CFC" w:rsidR="006A5767" w:rsidRPr="002134BB" w:rsidRDefault="002134BB">
      <w:pPr>
        <w:keepLines/>
        <w:spacing w:after="240"/>
        <w:jc w:val="center"/>
        <w:rPr>
          <w:ins w:id="36" w:author="Lehne, Mark A" w:date="2022-02-25T13:54:00Z"/>
          <w:rFonts w:ascii="Arial" w:hAnsi="Arial"/>
          <w:b/>
          <w:rPrChange w:id="37" w:author="Lehne, Mark A" w:date="2022-02-28T15:25:00Z">
            <w:rPr>
              <w:ins w:id="38" w:author="Lehne, Mark A" w:date="2022-02-25T13:54:00Z"/>
              <w:lang w:val="en-US"/>
            </w:rPr>
          </w:rPrChange>
        </w:rPr>
        <w:pPrChange w:id="39" w:author="Lehne, Mark A" w:date="2022-02-28T15:25:00Z">
          <w:pPr>
            <w:pStyle w:val="BodyText"/>
          </w:pPr>
        </w:pPrChange>
      </w:pPr>
      <w:commentRangeStart w:id="40"/>
      <w:commentRangeStart w:id="41"/>
      <w:ins w:id="42" w:author="Lehne, Mark A" w:date="2022-02-28T15:25:00Z">
        <w:r w:rsidRPr="003C58AF">
          <w:rPr>
            <w:rFonts w:ascii="Arial" w:hAnsi="Arial"/>
            <w:b/>
          </w:rPr>
          <w:t xml:space="preserve">Table </w:t>
        </w:r>
        <w:r>
          <w:rPr>
            <w:rFonts w:ascii="Arial" w:hAnsi="Arial"/>
            <w:b/>
          </w:rPr>
          <w:t>7</w:t>
        </w:r>
        <w:r w:rsidRPr="003C58AF">
          <w:rPr>
            <w:rFonts w:ascii="Arial" w:hAnsi="Arial"/>
            <w:b/>
          </w:rPr>
          <w:t>.</w:t>
        </w:r>
        <w:r>
          <w:rPr>
            <w:rFonts w:ascii="Arial" w:hAnsi="Arial"/>
            <w:b/>
          </w:rPr>
          <w:t>2</w:t>
        </w:r>
        <w:r w:rsidRPr="003C58AF">
          <w:rPr>
            <w:rFonts w:ascii="Arial" w:hAnsi="Arial"/>
            <w:b/>
          </w:rPr>
          <w:t>-</w:t>
        </w:r>
        <w:r>
          <w:rPr>
            <w:rFonts w:ascii="Arial" w:hAnsi="Arial"/>
            <w:b/>
          </w:rPr>
          <w:t>2</w:t>
        </w:r>
      </w:ins>
      <w:commentRangeEnd w:id="40"/>
      <w:r w:rsidR="0013770C">
        <w:rPr>
          <w:rStyle w:val="CommentReference"/>
        </w:rPr>
        <w:commentReference w:id="40"/>
      </w:r>
      <w:commentRangeEnd w:id="41"/>
      <w:r w:rsidR="0091470E">
        <w:rPr>
          <w:rStyle w:val="CommentReference"/>
        </w:rPr>
        <w:commentReference w:id="41"/>
      </w:r>
      <w:ins w:id="43" w:author="Lehne, Mark A" w:date="2022-02-28T15:25:00Z">
        <w:r w:rsidRPr="003C58AF">
          <w:rPr>
            <w:rFonts w:ascii="Arial" w:hAnsi="Arial"/>
            <w:b/>
          </w:rPr>
          <w:t xml:space="preserve">: </w:t>
        </w:r>
        <w:r>
          <w:rPr>
            <w:rFonts w:ascii="Arial" w:hAnsi="Arial"/>
            <w:b/>
          </w:rPr>
          <w:t>S</w:t>
        </w:r>
        <w:r w:rsidRPr="003C58AF">
          <w:rPr>
            <w:rFonts w:ascii="Arial" w:hAnsi="Arial"/>
            <w:b/>
          </w:rPr>
          <w:t>pectrum utilization</w:t>
        </w:r>
        <w:r>
          <w:rPr>
            <w:rFonts w:ascii="Arial" w:hAnsi="Arial"/>
            <w:b/>
          </w:rPr>
          <w:t xml:space="preserve"> of different methods (15kHz SCS)</w:t>
        </w:r>
      </w:ins>
    </w:p>
    <w:tbl>
      <w:tblPr>
        <w:tblStyle w:val="TableGrid"/>
        <w:tblW w:w="9630" w:type="dxa"/>
        <w:tblLook w:val="04A0" w:firstRow="1" w:lastRow="0" w:firstColumn="1" w:lastColumn="0" w:noHBand="0" w:noVBand="1"/>
        <w:tblPrChange w:id="44" w:author="Lehne, Mark A" w:date="2022-02-28T15:24:00Z">
          <w:tblPr>
            <w:tblStyle w:val="TableGrid"/>
            <w:tblW w:w="11557" w:type="dxa"/>
            <w:tblLook w:val="04A0" w:firstRow="1" w:lastRow="0" w:firstColumn="1" w:lastColumn="0" w:noHBand="0" w:noVBand="1"/>
          </w:tblPr>
        </w:tblPrChange>
      </w:tblPr>
      <w:tblGrid>
        <w:gridCol w:w="1926"/>
        <w:gridCol w:w="1926"/>
        <w:gridCol w:w="1926"/>
        <w:gridCol w:w="1926"/>
        <w:gridCol w:w="1926"/>
        <w:tblGridChange w:id="45">
          <w:tblGrid>
            <w:gridCol w:w="1926"/>
            <w:gridCol w:w="1926"/>
            <w:gridCol w:w="1926"/>
            <w:gridCol w:w="1926"/>
            <w:gridCol w:w="1926"/>
          </w:tblGrid>
        </w:tblGridChange>
      </w:tblGrid>
      <w:tr w:rsidR="006A5767" w14:paraId="728B4130" w14:textId="77777777" w:rsidTr="006A5767">
        <w:trPr>
          <w:ins w:id="46" w:author="Lehne, Mark A" w:date="2022-02-28T15:23:00Z"/>
        </w:trPr>
        <w:tc>
          <w:tcPr>
            <w:tcW w:w="1926" w:type="dxa"/>
            <w:tcPrChange w:id="47" w:author="Lehne, Mark A" w:date="2022-02-28T15:24:00Z">
              <w:tcPr>
                <w:tcW w:w="1926" w:type="dxa"/>
              </w:tcPr>
            </w:tcPrChange>
          </w:tcPr>
          <w:p w14:paraId="2963C6A7" w14:textId="072800B7" w:rsidR="006A5767" w:rsidRDefault="006A5767" w:rsidP="00862624">
            <w:pPr>
              <w:pStyle w:val="B1"/>
              <w:ind w:left="0" w:firstLine="0"/>
              <w:jc w:val="center"/>
              <w:rPr>
                <w:ins w:id="48" w:author="Lehne, Mark A" w:date="2022-02-28T15:24:00Z"/>
                <w:color w:val="FF0000"/>
              </w:rPr>
            </w:pPr>
            <w:ins w:id="49" w:author="Lehne, Mark A" w:date="2022-02-28T15:24:00Z">
              <w:r w:rsidRPr="003C58AF">
                <w:rPr>
                  <w:b/>
                  <w:bCs/>
                  <w:color w:val="000000"/>
                </w:rPr>
                <w:t>Spectrum block [MHz]</w:t>
              </w:r>
            </w:ins>
          </w:p>
        </w:tc>
        <w:tc>
          <w:tcPr>
            <w:tcW w:w="1926" w:type="dxa"/>
            <w:tcPrChange w:id="50" w:author="Lehne, Mark A" w:date="2022-02-28T15:24:00Z">
              <w:tcPr>
                <w:tcW w:w="1926" w:type="dxa"/>
              </w:tcPr>
            </w:tcPrChange>
          </w:tcPr>
          <w:p w14:paraId="73C8B973" w14:textId="24B0141F" w:rsidR="006A5767" w:rsidRDefault="006A5767" w:rsidP="00862624">
            <w:pPr>
              <w:pStyle w:val="B1"/>
              <w:ind w:left="0" w:firstLine="0"/>
              <w:jc w:val="center"/>
              <w:rPr>
                <w:ins w:id="51" w:author="Lehne, Mark A" w:date="2022-02-28T15:24:00Z"/>
                <w:color w:val="FF0000"/>
              </w:rPr>
            </w:pPr>
            <w:ins w:id="52" w:author="Lehne, Mark A" w:date="2022-02-28T15:24:00Z">
              <w:r w:rsidRPr="00D47EFA">
                <w:rPr>
                  <w:b/>
                  <w:bCs/>
                  <w:color w:val="000000"/>
                </w:rPr>
                <w:t>Overlapping CA (two cells) – described in Section 6.2.1</w:t>
              </w:r>
              <w:r>
                <w:rPr>
                  <w:b/>
                  <w:bCs/>
                  <w:color w:val="000000"/>
                </w:rPr>
                <w:t xml:space="preserve"> [%]</w:t>
              </w:r>
            </w:ins>
          </w:p>
        </w:tc>
        <w:tc>
          <w:tcPr>
            <w:tcW w:w="1926" w:type="dxa"/>
            <w:tcPrChange w:id="53" w:author="Lehne, Mark A" w:date="2022-02-28T15:24:00Z">
              <w:tcPr>
                <w:tcW w:w="1926" w:type="dxa"/>
              </w:tcPr>
            </w:tcPrChange>
          </w:tcPr>
          <w:p w14:paraId="1200A01D" w14:textId="77777777" w:rsidR="006A5767" w:rsidRDefault="006A5767" w:rsidP="00862624">
            <w:pPr>
              <w:spacing w:after="0"/>
              <w:jc w:val="center"/>
              <w:rPr>
                <w:ins w:id="54" w:author="Lehne, Mark A" w:date="2022-02-28T15:24:00Z"/>
                <w:b/>
                <w:bCs/>
                <w:color w:val="000000"/>
              </w:rPr>
            </w:pPr>
            <w:ins w:id="55" w:author="Lehne, Mark A" w:date="2022-02-28T15:24:00Z">
              <w:r w:rsidRPr="004310DA">
                <w:rPr>
                  <w:b/>
                  <w:bCs/>
                  <w:color w:val="000000"/>
                </w:rPr>
                <w:t>Combined UE CBW (One cell) – described in Section 6.2.2</w:t>
              </w:r>
            </w:ins>
          </w:p>
          <w:p w14:paraId="767F673C" w14:textId="3D0B2A83" w:rsidR="006A5767" w:rsidRDefault="006A5767" w:rsidP="00862624">
            <w:pPr>
              <w:pStyle w:val="B1"/>
              <w:ind w:left="0" w:firstLine="0"/>
              <w:jc w:val="center"/>
              <w:rPr>
                <w:ins w:id="56" w:author="Lehne, Mark A" w:date="2022-02-28T15:24:00Z"/>
                <w:color w:val="FF0000"/>
              </w:rPr>
            </w:pPr>
            <w:ins w:id="57" w:author="Lehne, Mark A" w:date="2022-02-28T15:24:00Z">
              <w:r>
                <w:rPr>
                  <w:b/>
                  <w:bCs/>
                  <w:color w:val="000000"/>
                </w:rPr>
                <w:t>(</w:t>
              </w:r>
              <w:proofErr w:type="gramStart"/>
              <w:r>
                <w:rPr>
                  <w:b/>
                  <w:bCs/>
                  <w:color w:val="000000"/>
                </w:rPr>
                <w:t>without</w:t>
              </w:r>
              <w:proofErr w:type="gramEnd"/>
              <w:r>
                <w:rPr>
                  <w:b/>
                  <w:bCs/>
                  <w:color w:val="000000"/>
                </w:rPr>
                <w:t xml:space="preserve"> 100kHz raster alignment) [%]</w:t>
              </w:r>
            </w:ins>
          </w:p>
        </w:tc>
        <w:tc>
          <w:tcPr>
            <w:tcW w:w="1926" w:type="dxa"/>
            <w:tcPrChange w:id="58" w:author="Lehne, Mark A" w:date="2022-02-28T15:24:00Z">
              <w:tcPr>
                <w:tcW w:w="1926" w:type="dxa"/>
              </w:tcPr>
            </w:tcPrChange>
          </w:tcPr>
          <w:p w14:paraId="706AC358" w14:textId="77777777" w:rsidR="006A5767" w:rsidRDefault="006A5767" w:rsidP="00862624">
            <w:pPr>
              <w:spacing w:after="0"/>
              <w:jc w:val="center"/>
              <w:rPr>
                <w:ins w:id="59" w:author="Lehne, Mark A" w:date="2022-02-28T15:24:00Z"/>
                <w:b/>
                <w:bCs/>
                <w:color w:val="000000"/>
              </w:rPr>
            </w:pPr>
            <w:ins w:id="60" w:author="Lehne, Mark A" w:date="2022-02-28T15:24:00Z">
              <w:r w:rsidRPr="00887CED">
                <w:rPr>
                  <w:b/>
                  <w:bCs/>
                  <w:color w:val="000000"/>
                </w:rPr>
                <w:t>Overlapping UE CBW</w:t>
              </w:r>
              <w:r>
                <w:rPr>
                  <w:b/>
                  <w:bCs/>
                  <w:color w:val="000000"/>
                </w:rPr>
                <w:t xml:space="preserve"> from Network Perspective</w:t>
              </w:r>
              <w:r w:rsidRPr="00887CED">
                <w:rPr>
                  <w:b/>
                  <w:bCs/>
                  <w:color w:val="000000"/>
                </w:rPr>
                <w:t xml:space="preserve"> – described in Section 6.2.3</w:t>
              </w:r>
              <w:r>
                <w:rPr>
                  <w:b/>
                  <w:bCs/>
                  <w:color w:val="000000"/>
                </w:rPr>
                <w:t xml:space="preserve"> [%]</w:t>
              </w:r>
            </w:ins>
          </w:p>
          <w:p w14:paraId="10A86FBF" w14:textId="77777777" w:rsidR="006A5767" w:rsidRDefault="006A5767" w:rsidP="00862624">
            <w:pPr>
              <w:pStyle w:val="B1"/>
              <w:ind w:left="0" w:firstLine="0"/>
              <w:jc w:val="center"/>
              <w:rPr>
                <w:ins w:id="61" w:author="Lehne, Mark A" w:date="2022-02-28T15:24:00Z"/>
                <w:color w:val="FF0000"/>
              </w:rPr>
            </w:pPr>
          </w:p>
        </w:tc>
        <w:tc>
          <w:tcPr>
            <w:tcW w:w="1926" w:type="dxa"/>
            <w:tcPrChange w:id="62" w:author="Lehne, Mark A" w:date="2022-02-28T15:24:00Z">
              <w:tcPr>
                <w:tcW w:w="1926" w:type="dxa"/>
              </w:tcPr>
            </w:tcPrChange>
          </w:tcPr>
          <w:p w14:paraId="28D3AB1C" w14:textId="4AD50C6A" w:rsidR="006A5767" w:rsidRDefault="006A5767" w:rsidP="00862624">
            <w:pPr>
              <w:pStyle w:val="B1"/>
              <w:ind w:left="0" w:firstLine="0"/>
              <w:jc w:val="center"/>
              <w:rPr>
                <w:ins w:id="63" w:author="Lehne, Mark A" w:date="2022-02-28T15:24:00Z"/>
                <w:color w:val="FF0000"/>
              </w:rPr>
            </w:pPr>
            <w:ins w:id="64" w:author="Lehne, Mark A" w:date="2022-02-28T15:24:00Z">
              <w:r w:rsidRPr="0000509F">
                <w:rPr>
                  <w:b/>
                  <w:bCs/>
                  <w:color w:val="000000"/>
                </w:rPr>
                <w:t xml:space="preserve">Wider </w:t>
              </w:r>
              <w:proofErr w:type="gramStart"/>
              <w:r w:rsidRPr="0000509F">
                <w:rPr>
                  <w:b/>
                  <w:bCs/>
                  <w:color w:val="000000"/>
                </w:rPr>
                <w:t>CBW  (</w:t>
              </w:r>
              <w:proofErr w:type="gramEnd"/>
              <w:r w:rsidRPr="0000509F">
                <w:rPr>
                  <w:b/>
                  <w:bCs/>
                  <w:color w:val="000000"/>
                </w:rPr>
                <w:t>one cell) – described in Section 6.</w:t>
              </w:r>
              <w:r>
                <w:rPr>
                  <w:b/>
                  <w:bCs/>
                  <w:color w:val="000000"/>
                </w:rPr>
                <w:t>1 [%]</w:t>
              </w:r>
            </w:ins>
          </w:p>
        </w:tc>
      </w:tr>
      <w:tr w:rsidR="006A5767" w14:paraId="2CE07BE8" w14:textId="77777777" w:rsidTr="006A5767">
        <w:trPr>
          <w:ins w:id="65" w:author="Lehne, Mark A" w:date="2022-02-28T15:23:00Z"/>
        </w:trPr>
        <w:tc>
          <w:tcPr>
            <w:tcW w:w="1926" w:type="dxa"/>
            <w:tcPrChange w:id="66" w:author="Lehne, Mark A" w:date="2022-02-28T15:24:00Z">
              <w:tcPr>
                <w:tcW w:w="1926" w:type="dxa"/>
              </w:tcPr>
            </w:tcPrChange>
          </w:tcPr>
          <w:p w14:paraId="4EF586F4" w14:textId="6A4A2BAD" w:rsidR="006A5767" w:rsidRDefault="006A5767" w:rsidP="00862624">
            <w:pPr>
              <w:pStyle w:val="B1"/>
              <w:ind w:left="0" w:firstLine="0"/>
              <w:jc w:val="center"/>
              <w:rPr>
                <w:ins w:id="67" w:author="Lehne, Mark A" w:date="2022-02-28T15:24:00Z"/>
                <w:color w:val="FF0000"/>
              </w:rPr>
            </w:pPr>
            <w:ins w:id="68" w:author="Lehne, Mark A" w:date="2022-02-28T15:24:00Z">
              <w:r w:rsidRPr="007F2517">
                <w:rPr>
                  <w:rFonts w:ascii="Arial" w:hAnsi="Arial" w:cs="Arial"/>
                  <w:color w:val="000000"/>
                  <w:sz w:val="18"/>
                  <w:szCs w:val="18"/>
                </w:rPr>
                <w:t>6</w:t>
              </w:r>
            </w:ins>
          </w:p>
        </w:tc>
        <w:tc>
          <w:tcPr>
            <w:tcW w:w="1926" w:type="dxa"/>
            <w:vAlign w:val="center"/>
            <w:tcPrChange w:id="69" w:author="Lehne, Mark A" w:date="2022-02-28T15:24:00Z">
              <w:tcPr>
                <w:tcW w:w="1926" w:type="dxa"/>
                <w:vAlign w:val="center"/>
              </w:tcPr>
            </w:tcPrChange>
          </w:tcPr>
          <w:p w14:paraId="3C471A21" w14:textId="3A7A7EA3" w:rsidR="006A5767" w:rsidRDefault="006A5767" w:rsidP="00862624">
            <w:pPr>
              <w:pStyle w:val="B1"/>
              <w:ind w:left="0" w:firstLine="0"/>
              <w:jc w:val="center"/>
              <w:rPr>
                <w:ins w:id="70" w:author="Lehne, Mark A" w:date="2022-02-28T15:24:00Z"/>
                <w:color w:val="FF0000"/>
              </w:rPr>
            </w:pPr>
            <w:ins w:id="71" w:author="Lehne, Mark A" w:date="2022-02-28T15:24:00Z">
              <w:r w:rsidRPr="007F2517">
                <w:rPr>
                  <w:rFonts w:ascii="Arial" w:hAnsi="Arial" w:cs="Arial"/>
                  <w:sz w:val="18"/>
                  <w:szCs w:val="18"/>
                  <w:lang w:val="en-US" w:eastAsia="en-GB"/>
                </w:rPr>
                <w:t>90</w:t>
              </w:r>
            </w:ins>
          </w:p>
        </w:tc>
        <w:tc>
          <w:tcPr>
            <w:tcW w:w="1926" w:type="dxa"/>
            <w:tcPrChange w:id="72" w:author="Lehne, Mark A" w:date="2022-02-28T15:24:00Z">
              <w:tcPr>
                <w:tcW w:w="1926" w:type="dxa"/>
              </w:tcPr>
            </w:tcPrChange>
          </w:tcPr>
          <w:p w14:paraId="0EC23583" w14:textId="0859178C" w:rsidR="006A5767" w:rsidRDefault="006A5767" w:rsidP="00862624">
            <w:pPr>
              <w:pStyle w:val="B1"/>
              <w:ind w:left="0" w:firstLine="0"/>
              <w:jc w:val="center"/>
              <w:rPr>
                <w:ins w:id="73" w:author="Lehne, Mark A" w:date="2022-02-28T15:24:00Z"/>
                <w:color w:val="FF0000"/>
              </w:rPr>
            </w:pPr>
            <w:ins w:id="74" w:author="Lehne, Mark A" w:date="2022-02-28T15:24:00Z">
              <w:r w:rsidRPr="007F2517">
                <w:rPr>
                  <w:rFonts w:ascii="Arial" w:hAnsi="Arial" w:cs="Arial"/>
                  <w:color w:val="000000"/>
                  <w:sz w:val="18"/>
                  <w:szCs w:val="18"/>
                </w:rPr>
                <w:t>90</w:t>
              </w:r>
            </w:ins>
          </w:p>
        </w:tc>
        <w:tc>
          <w:tcPr>
            <w:tcW w:w="1926" w:type="dxa"/>
            <w:tcPrChange w:id="75" w:author="Lehne, Mark A" w:date="2022-02-28T15:24:00Z">
              <w:tcPr>
                <w:tcW w:w="1926" w:type="dxa"/>
              </w:tcPr>
            </w:tcPrChange>
          </w:tcPr>
          <w:p w14:paraId="4B8BAE0B" w14:textId="5CE911A7" w:rsidR="006A5767" w:rsidRDefault="006A5767" w:rsidP="00862624">
            <w:pPr>
              <w:pStyle w:val="B1"/>
              <w:ind w:left="0" w:firstLine="0"/>
              <w:jc w:val="center"/>
              <w:rPr>
                <w:ins w:id="76" w:author="Lehne, Mark A" w:date="2022-02-28T15:24:00Z"/>
                <w:color w:val="FF0000"/>
              </w:rPr>
            </w:pPr>
            <w:ins w:id="77" w:author="Lehne, Mark A" w:date="2022-02-28T15:24:00Z">
              <w:r w:rsidRPr="007F2517">
                <w:rPr>
                  <w:rFonts w:ascii="Arial" w:hAnsi="Arial" w:cs="Arial"/>
                  <w:sz w:val="18"/>
                  <w:szCs w:val="18"/>
                  <w:lang w:eastAsia="en-GB"/>
                </w:rPr>
                <w:t>90</w:t>
              </w:r>
            </w:ins>
          </w:p>
        </w:tc>
        <w:tc>
          <w:tcPr>
            <w:tcW w:w="1926" w:type="dxa"/>
            <w:tcPrChange w:id="78" w:author="Lehne, Mark A" w:date="2022-02-28T15:24:00Z">
              <w:tcPr>
                <w:tcW w:w="1926" w:type="dxa"/>
              </w:tcPr>
            </w:tcPrChange>
          </w:tcPr>
          <w:p w14:paraId="48A0B277" w14:textId="74570B8E" w:rsidR="006A5767" w:rsidRDefault="006A5767" w:rsidP="00862624">
            <w:pPr>
              <w:pStyle w:val="B1"/>
              <w:ind w:left="0" w:firstLine="0"/>
              <w:jc w:val="center"/>
              <w:rPr>
                <w:ins w:id="79" w:author="Lehne, Mark A" w:date="2022-02-28T15:24:00Z"/>
                <w:color w:val="FF0000"/>
              </w:rPr>
            </w:pPr>
            <w:ins w:id="80" w:author="Lehne, Mark A" w:date="2022-02-28T15:24:00Z">
              <w:r w:rsidRPr="007F2517">
                <w:rPr>
                  <w:rFonts w:ascii="Arial" w:hAnsi="Arial" w:cs="Arial"/>
                  <w:sz w:val="18"/>
                  <w:szCs w:val="18"/>
                  <w:lang w:eastAsia="en-GB"/>
                </w:rPr>
                <w:t>87</w:t>
              </w:r>
            </w:ins>
          </w:p>
        </w:tc>
      </w:tr>
      <w:tr w:rsidR="006A5767" w14:paraId="73B0D3DA" w14:textId="77777777" w:rsidTr="006A5767">
        <w:trPr>
          <w:ins w:id="81" w:author="Lehne, Mark A" w:date="2022-02-28T15:23:00Z"/>
        </w:trPr>
        <w:tc>
          <w:tcPr>
            <w:tcW w:w="1926" w:type="dxa"/>
            <w:tcPrChange w:id="82" w:author="Lehne, Mark A" w:date="2022-02-28T15:24:00Z">
              <w:tcPr>
                <w:tcW w:w="1926" w:type="dxa"/>
              </w:tcPr>
            </w:tcPrChange>
          </w:tcPr>
          <w:p w14:paraId="202C00E2" w14:textId="4A634943" w:rsidR="006A5767" w:rsidRDefault="006A5767" w:rsidP="00862624">
            <w:pPr>
              <w:pStyle w:val="B1"/>
              <w:ind w:left="0" w:firstLine="0"/>
              <w:jc w:val="center"/>
              <w:rPr>
                <w:ins w:id="83" w:author="Lehne, Mark A" w:date="2022-02-28T15:24:00Z"/>
                <w:color w:val="FF0000"/>
              </w:rPr>
            </w:pPr>
            <w:ins w:id="84" w:author="Lehne, Mark A" w:date="2022-02-28T15:24:00Z">
              <w:r w:rsidRPr="007F2517">
                <w:rPr>
                  <w:rFonts w:ascii="Arial" w:hAnsi="Arial" w:cs="Arial"/>
                  <w:color w:val="000000"/>
                  <w:sz w:val="18"/>
                  <w:szCs w:val="18"/>
                </w:rPr>
                <w:t>7</w:t>
              </w:r>
            </w:ins>
          </w:p>
        </w:tc>
        <w:tc>
          <w:tcPr>
            <w:tcW w:w="1926" w:type="dxa"/>
            <w:vAlign w:val="center"/>
            <w:tcPrChange w:id="85" w:author="Lehne, Mark A" w:date="2022-02-28T15:24:00Z">
              <w:tcPr>
                <w:tcW w:w="1926" w:type="dxa"/>
                <w:vAlign w:val="center"/>
              </w:tcPr>
            </w:tcPrChange>
          </w:tcPr>
          <w:p w14:paraId="532A9134" w14:textId="5DFE60C9" w:rsidR="006A5767" w:rsidRDefault="006A5767" w:rsidP="00862624">
            <w:pPr>
              <w:pStyle w:val="B1"/>
              <w:ind w:left="0" w:firstLine="0"/>
              <w:jc w:val="center"/>
              <w:rPr>
                <w:ins w:id="86" w:author="Lehne, Mark A" w:date="2022-02-28T15:24:00Z"/>
                <w:color w:val="FF0000"/>
              </w:rPr>
            </w:pPr>
            <w:ins w:id="87" w:author="Lehne, Mark A" w:date="2022-02-28T15:24:00Z">
              <w:r w:rsidRPr="007F2517">
                <w:rPr>
                  <w:rFonts w:ascii="Arial" w:hAnsi="Arial" w:cs="Arial"/>
                  <w:sz w:val="18"/>
                  <w:szCs w:val="18"/>
                  <w:lang w:val="en-US" w:eastAsia="en-GB"/>
                </w:rPr>
                <w:t>90</w:t>
              </w:r>
            </w:ins>
          </w:p>
        </w:tc>
        <w:tc>
          <w:tcPr>
            <w:tcW w:w="1926" w:type="dxa"/>
            <w:tcPrChange w:id="88" w:author="Lehne, Mark A" w:date="2022-02-28T15:24:00Z">
              <w:tcPr>
                <w:tcW w:w="1926" w:type="dxa"/>
              </w:tcPr>
            </w:tcPrChange>
          </w:tcPr>
          <w:p w14:paraId="23114D16" w14:textId="02D3E9DF" w:rsidR="006A5767" w:rsidRDefault="006A5767" w:rsidP="00862624">
            <w:pPr>
              <w:pStyle w:val="B1"/>
              <w:ind w:left="0" w:firstLine="0"/>
              <w:jc w:val="center"/>
              <w:rPr>
                <w:ins w:id="89" w:author="Lehne, Mark A" w:date="2022-02-28T15:24:00Z"/>
                <w:color w:val="FF0000"/>
              </w:rPr>
            </w:pPr>
            <w:ins w:id="90" w:author="Lehne, Mark A" w:date="2022-02-28T15:24:00Z">
              <w:r w:rsidRPr="007F2517">
                <w:rPr>
                  <w:rFonts w:ascii="Arial" w:hAnsi="Arial" w:cs="Arial"/>
                  <w:color w:val="000000"/>
                  <w:sz w:val="18"/>
                  <w:szCs w:val="18"/>
                </w:rPr>
                <w:t>92.6</w:t>
              </w:r>
            </w:ins>
          </w:p>
        </w:tc>
        <w:tc>
          <w:tcPr>
            <w:tcW w:w="1926" w:type="dxa"/>
            <w:tcPrChange w:id="91" w:author="Lehne, Mark A" w:date="2022-02-28T15:24:00Z">
              <w:tcPr>
                <w:tcW w:w="1926" w:type="dxa"/>
              </w:tcPr>
            </w:tcPrChange>
          </w:tcPr>
          <w:p w14:paraId="69C70C9F" w14:textId="16BFC43D" w:rsidR="006A5767" w:rsidRDefault="006A5767" w:rsidP="00862624">
            <w:pPr>
              <w:pStyle w:val="B1"/>
              <w:ind w:left="0" w:firstLine="0"/>
              <w:jc w:val="center"/>
              <w:rPr>
                <w:ins w:id="92" w:author="Lehne, Mark A" w:date="2022-02-28T15:24:00Z"/>
                <w:color w:val="FF0000"/>
              </w:rPr>
            </w:pPr>
            <w:ins w:id="93" w:author="Lehne, Mark A" w:date="2022-02-28T15:24:00Z">
              <w:r w:rsidRPr="007F2517">
                <w:rPr>
                  <w:rFonts w:ascii="Arial" w:hAnsi="Arial" w:cs="Arial"/>
                  <w:sz w:val="18"/>
                  <w:szCs w:val="18"/>
                  <w:lang w:eastAsia="en-GB"/>
                </w:rPr>
                <w:t>90</w:t>
              </w:r>
            </w:ins>
          </w:p>
        </w:tc>
        <w:tc>
          <w:tcPr>
            <w:tcW w:w="1926" w:type="dxa"/>
            <w:tcPrChange w:id="94" w:author="Lehne, Mark A" w:date="2022-02-28T15:24:00Z">
              <w:tcPr>
                <w:tcW w:w="1926" w:type="dxa"/>
              </w:tcPr>
            </w:tcPrChange>
          </w:tcPr>
          <w:p w14:paraId="143C227B" w14:textId="55D822CA" w:rsidR="006A5767" w:rsidRDefault="006A5767" w:rsidP="00862624">
            <w:pPr>
              <w:pStyle w:val="B1"/>
              <w:ind w:left="0" w:firstLine="0"/>
              <w:jc w:val="center"/>
              <w:rPr>
                <w:ins w:id="95" w:author="Lehne, Mark A" w:date="2022-02-28T15:24:00Z"/>
                <w:color w:val="FF0000"/>
              </w:rPr>
            </w:pPr>
            <w:ins w:id="96" w:author="Lehne, Mark A" w:date="2022-02-28T15:24:00Z">
              <w:r w:rsidRPr="007F2517">
                <w:rPr>
                  <w:rFonts w:ascii="Arial" w:hAnsi="Arial" w:cs="Arial"/>
                  <w:sz w:val="18"/>
                  <w:szCs w:val="18"/>
                  <w:lang w:eastAsia="en-GB"/>
                </w:rPr>
                <w:t>90</w:t>
              </w:r>
            </w:ins>
          </w:p>
        </w:tc>
      </w:tr>
      <w:tr w:rsidR="006A5767" w14:paraId="25C903D1" w14:textId="77777777" w:rsidTr="006A5767">
        <w:trPr>
          <w:ins w:id="97" w:author="Lehne, Mark A" w:date="2022-02-28T15:23:00Z"/>
        </w:trPr>
        <w:tc>
          <w:tcPr>
            <w:tcW w:w="1926" w:type="dxa"/>
            <w:tcPrChange w:id="98" w:author="Lehne, Mark A" w:date="2022-02-28T15:24:00Z">
              <w:tcPr>
                <w:tcW w:w="1926" w:type="dxa"/>
              </w:tcPr>
            </w:tcPrChange>
          </w:tcPr>
          <w:p w14:paraId="560C69EE" w14:textId="5FBB8CED" w:rsidR="006A5767" w:rsidRDefault="006A5767" w:rsidP="00862624">
            <w:pPr>
              <w:pStyle w:val="B1"/>
              <w:ind w:left="0" w:firstLine="0"/>
              <w:jc w:val="center"/>
              <w:rPr>
                <w:ins w:id="99" w:author="Lehne, Mark A" w:date="2022-02-28T15:24:00Z"/>
                <w:color w:val="FF0000"/>
              </w:rPr>
            </w:pPr>
            <w:ins w:id="100" w:author="Lehne, Mark A" w:date="2022-02-28T15:24:00Z">
              <w:r w:rsidRPr="007F2517">
                <w:rPr>
                  <w:rFonts w:ascii="Arial" w:hAnsi="Arial" w:cs="Arial"/>
                  <w:color w:val="000000"/>
                  <w:sz w:val="18"/>
                  <w:szCs w:val="18"/>
                </w:rPr>
                <w:t>11</w:t>
              </w:r>
            </w:ins>
          </w:p>
        </w:tc>
        <w:tc>
          <w:tcPr>
            <w:tcW w:w="1926" w:type="dxa"/>
            <w:vAlign w:val="center"/>
            <w:tcPrChange w:id="101" w:author="Lehne, Mark A" w:date="2022-02-28T15:24:00Z">
              <w:tcPr>
                <w:tcW w:w="1926" w:type="dxa"/>
                <w:vAlign w:val="center"/>
              </w:tcPr>
            </w:tcPrChange>
          </w:tcPr>
          <w:p w14:paraId="3548B584" w14:textId="391A4F5E" w:rsidR="006A5767" w:rsidRDefault="006A5767" w:rsidP="00862624">
            <w:pPr>
              <w:pStyle w:val="B1"/>
              <w:ind w:left="0" w:firstLine="0"/>
              <w:jc w:val="center"/>
              <w:rPr>
                <w:ins w:id="102" w:author="Lehne, Mark A" w:date="2022-02-28T15:24:00Z"/>
                <w:color w:val="FF0000"/>
              </w:rPr>
            </w:pPr>
            <w:ins w:id="103" w:author="Lehne, Mark A" w:date="2022-02-28T15:24:00Z">
              <w:r w:rsidRPr="007F2517">
                <w:rPr>
                  <w:rFonts w:ascii="Arial" w:hAnsi="Arial" w:cs="Arial"/>
                  <w:sz w:val="18"/>
                  <w:szCs w:val="18"/>
                  <w:lang w:val="en-US" w:eastAsia="en-GB"/>
                </w:rPr>
                <w:t>93.3</w:t>
              </w:r>
            </w:ins>
          </w:p>
        </w:tc>
        <w:tc>
          <w:tcPr>
            <w:tcW w:w="1926" w:type="dxa"/>
            <w:tcPrChange w:id="104" w:author="Lehne, Mark A" w:date="2022-02-28T15:24:00Z">
              <w:tcPr>
                <w:tcW w:w="1926" w:type="dxa"/>
              </w:tcPr>
            </w:tcPrChange>
          </w:tcPr>
          <w:p w14:paraId="41684B91" w14:textId="416398DF" w:rsidR="006A5767" w:rsidRDefault="006A5767" w:rsidP="00862624">
            <w:pPr>
              <w:pStyle w:val="B1"/>
              <w:ind w:left="0" w:firstLine="0"/>
              <w:jc w:val="center"/>
              <w:rPr>
                <w:ins w:id="105" w:author="Lehne, Mark A" w:date="2022-02-28T15:24:00Z"/>
                <w:color w:val="FF0000"/>
              </w:rPr>
            </w:pPr>
            <w:ins w:id="106" w:author="Lehne, Mark A" w:date="2022-02-28T15:24:00Z">
              <w:r w:rsidRPr="007F2517">
                <w:rPr>
                  <w:rFonts w:ascii="Arial" w:hAnsi="Arial" w:cs="Arial"/>
                  <w:color w:val="000000"/>
                  <w:sz w:val="18"/>
                  <w:szCs w:val="18"/>
                </w:rPr>
                <w:t>94.9</w:t>
              </w:r>
            </w:ins>
          </w:p>
        </w:tc>
        <w:tc>
          <w:tcPr>
            <w:tcW w:w="1926" w:type="dxa"/>
            <w:tcPrChange w:id="107" w:author="Lehne, Mark A" w:date="2022-02-28T15:24:00Z">
              <w:tcPr>
                <w:tcW w:w="1926" w:type="dxa"/>
              </w:tcPr>
            </w:tcPrChange>
          </w:tcPr>
          <w:p w14:paraId="5927BF82" w14:textId="24EC870B" w:rsidR="006A5767" w:rsidRDefault="006A5767" w:rsidP="00862624">
            <w:pPr>
              <w:pStyle w:val="B1"/>
              <w:ind w:left="0" w:firstLine="0"/>
              <w:jc w:val="center"/>
              <w:rPr>
                <w:ins w:id="108" w:author="Lehne, Mark A" w:date="2022-02-28T15:24:00Z"/>
                <w:color w:val="FF0000"/>
              </w:rPr>
            </w:pPr>
            <w:ins w:id="109" w:author="Lehne, Mark A" w:date="2022-02-28T15:24:00Z">
              <w:r w:rsidRPr="007F2517">
                <w:rPr>
                  <w:rFonts w:ascii="Arial" w:hAnsi="Arial" w:cs="Arial"/>
                  <w:sz w:val="18"/>
                  <w:szCs w:val="18"/>
                  <w:lang w:eastAsia="en-GB"/>
                </w:rPr>
                <w:t>93.3</w:t>
              </w:r>
            </w:ins>
          </w:p>
        </w:tc>
        <w:tc>
          <w:tcPr>
            <w:tcW w:w="1926" w:type="dxa"/>
            <w:tcPrChange w:id="110" w:author="Lehne, Mark A" w:date="2022-02-28T15:24:00Z">
              <w:tcPr>
                <w:tcW w:w="1926" w:type="dxa"/>
              </w:tcPr>
            </w:tcPrChange>
          </w:tcPr>
          <w:p w14:paraId="64EAC327" w14:textId="21057748" w:rsidR="006A5767" w:rsidRDefault="006A5767" w:rsidP="00862624">
            <w:pPr>
              <w:pStyle w:val="B1"/>
              <w:ind w:left="0" w:firstLine="0"/>
              <w:jc w:val="center"/>
              <w:rPr>
                <w:ins w:id="111" w:author="Lehne, Mark A" w:date="2022-02-28T15:24:00Z"/>
                <w:color w:val="FF0000"/>
              </w:rPr>
            </w:pPr>
            <w:ins w:id="112" w:author="Lehne, Mark A" w:date="2022-02-28T15:24:00Z">
              <w:r w:rsidRPr="007F2517">
                <w:rPr>
                  <w:rFonts w:ascii="Arial" w:hAnsi="Arial" w:cs="Arial"/>
                  <w:sz w:val="18"/>
                  <w:szCs w:val="18"/>
                  <w:lang w:eastAsia="en-GB"/>
                </w:rPr>
                <w:t>91.6</w:t>
              </w:r>
            </w:ins>
          </w:p>
        </w:tc>
      </w:tr>
      <w:tr w:rsidR="006A5767" w14:paraId="73F12067" w14:textId="77777777" w:rsidTr="006A5767">
        <w:trPr>
          <w:ins w:id="113" w:author="Lehne, Mark A" w:date="2022-02-28T15:23:00Z"/>
        </w:trPr>
        <w:tc>
          <w:tcPr>
            <w:tcW w:w="1926" w:type="dxa"/>
            <w:tcPrChange w:id="114" w:author="Lehne, Mark A" w:date="2022-02-28T15:24:00Z">
              <w:tcPr>
                <w:tcW w:w="1926" w:type="dxa"/>
              </w:tcPr>
            </w:tcPrChange>
          </w:tcPr>
          <w:p w14:paraId="6B9FEE30" w14:textId="69BDC72A" w:rsidR="006A5767" w:rsidRDefault="006A5767" w:rsidP="00862624">
            <w:pPr>
              <w:pStyle w:val="B1"/>
              <w:ind w:left="0" w:firstLine="0"/>
              <w:jc w:val="center"/>
              <w:rPr>
                <w:ins w:id="115" w:author="Lehne, Mark A" w:date="2022-02-28T15:24:00Z"/>
                <w:color w:val="FF0000"/>
              </w:rPr>
            </w:pPr>
            <w:ins w:id="116" w:author="Lehne, Mark A" w:date="2022-02-28T15:24:00Z">
              <w:r w:rsidRPr="007F2517">
                <w:rPr>
                  <w:rFonts w:ascii="Arial" w:hAnsi="Arial" w:cs="Arial"/>
                  <w:color w:val="000000"/>
                  <w:sz w:val="18"/>
                  <w:szCs w:val="18"/>
                </w:rPr>
                <w:t>12</w:t>
              </w:r>
            </w:ins>
          </w:p>
        </w:tc>
        <w:tc>
          <w:tcPr>
            <w:tcW w:w="1926" w:type="dxa"/>
            <w:vAlign w:val="center"/>
            <w:tcPrChange w:id="117" w:author="Lehne, Mark A" w:date="2022-02-28T15:24:00Z">
              <w:tcPr>
                <w:tcW w:w="1926" w:type="dxa"/>
                <w:vAlign w:val="center"/>
              </w:tcPr>
            </w:tcPrChange>
          </w:tcPr>
          <w:p w14:paraId="718186E5" w14:textId="308E976F" w:rsidR="006A5767" w:rsidRDefault="006A5767" w:rsidP="00862624">
            <w:pPr>
              <w:pStyle w:val="B1"/>
              <w:ind w:left="0" w:firstLine="0"/>
              <w:jc w:val="center"/>
              <w:rPr>
                <w:ins w:id="118" w:author="Lehne, Mark A" w:date="2022-02-28T15:24:00Z"/>
                <w:color w:val="FF0000"/>
              </w:rPr>
            </w:pPr>
            <w:ins w:id="119" w:author="Lehne, Mark A" w:date="2022-02-28T15:24:00Z">
              <w:r w:rsidRPr="007F2517">
                <w:rPr>
                  <w:rFonts w:ascii="Arial" w:hAnsi="Arial" w:cs="Arial"/>
                  <w:sz w:val="18"/>
                  <w:szCs w:val="18"/>
                  <w:lang w:val="en-US" w:eastAsia="en-GB"/>
                </w:rPr>
                <w:t>93</w:t>
              </w:r>
            </w:ins>
          </w:p>
        </w:tc>
        <w:tc>
          <w:tcPr>
            <w:tcW w:w="1926" w:type="dxa"/>
            <w:tcPrChange w:id="120" w:author="Lehne, Mark A" w:date="2022-02-28T15:24:00Z">
              <w:tcPr>
                <w:tcW w:w="1926" w:type="dxa"/>
              </w:tcPr>
            </w:tcPrChange>
          </w:tcPr>
          <w:p w14:paraId="1120E8EB" w14:textId="69545CDB" w:rsidR="006A5767" w:rsidRDefault="006A5767" w:rsidP="00862624">
            <w:pPr>
              <w:pStyle w:val="B1"/>
              <w:ind w:left="0" w:firstLine="0"/>
              <w:jc w:val="center"/>
              <w:rPr>
                <w:ins w:id="121" w:author="Lehne, Mark A" w:date="2022-02-28T15:24:00Z"/>
                <w:color w:val="FF0000"/>
              </w:rPr>
            </w:pPr>
            <w:ins w:id="122" w:author="Lehne, Mark A" w:date="2022-02-28T15:24:00Z">
              <w:r w:rsidRPr="007F2517">
                <w:rPr>
                  <w:rFonts w:ascii="Arial" w:hAnsi="Arial" w:cs="Arial"/>
                  <w:color w:val="000000"/>
                  <w:sz w:val="18"/>
                  <w:szCs w:val="18"/>
                </w:rPr>
                <w:t>94.5</w:t>
              </w:r>
            </w:ins>
          </w:p>
        </w:tc>
        <w:tc>
          <w:tcPr>
            <w:tcW w:w="1926" w:type="dxa"/>
            <w:tcPrChange w:id="123" w:author="Lehne, Mark A" w:date="2022-02-28T15:24:00Z">
              <w:tcPr>
                <w:tcW w:w="1926" w:type="dxa"/>
              </w:tcPr>
            </w:tcPrChange>
          </w:tcPr>
          <w:p w14:paraId="36943E3D" w14:textId="647B2E19" w:rsidR="006A5767" w:rsidRDefault="006A5767" w:rsidP="00862624">
            <w:pPr>
              <w:pStyle w:val="B1"/>
              <w:ind w:left="0" w:firstLine="0"/>
              <w:jc w:val="center"/>
              <w:rPr>
                <w:ins w:id="124" w:author="Lehne, Mark A" w:date="2022-02-28T15:24:00Z"/>
                <w:color w:val="FF0000"/>
              </w:rPr>
            </w:pPr>
            <w:ins w:id="125" w:author="Lehne, Mark A" w:date="2022-02-28T15:24:00Z">
              <w:r w:rsidRPr="007F2517">
                <w:rPr>
                  <w:rFonts w:ascii="Arial" w:hAnsi="Arial" w:cs="Arial"/>
                  <w:sz w:val="18"/>
                  <w:szCs w:val="18"/>
                  <w:lang w:eastAsia="en-GB"/>
                </w:rPr>
                <w:t>93</w:t>
              </w:r>
            </w:ins>
          </w:p>
        </w:tc>
        <w:tc>
          <w:tcPr>
            <w:tcW w:w="1926" w:type="dxa"/>
            <w:tcPrChange w:id="126" w:author="Lehne, Mark A" w:date="2022-02-28T15:24:00Z">
              <w:tcPr>
                <w:tcW w:w="1926" w:type="dxa"/>
              </w:tcPr>
            </w:tcPrChange>
          </w:tcPr>
          <w:p w14:paraId="70246CD8" w14:textId="64A46E8A" w:rsidR="006A5767" w:rsidRDefault="006A5767" w:rsidP="00862624">
            <w:pPr>
              <w:pStyle w:val="B1"/>
              <w:ind w:left="0" w:firstLine="0"/>
              <w:jc w:val="center"/>
              <w:rPr>
                <w:ins w:id="127" w:author="Lehne, Mark A" w:date="2022-02-28T15:24:00Z"/>
                <w:color w:val="FF0000"/>
              </w:rPr>
            </w:pPr>
            <w:ins w:id="128" w:author="Lehne, Mark A" w:date="2022-02-28T15:24:00Z">
              <w:r w:rsidRPr="007F2517">
                <w:rPr>
                  <w:rFonts w:ascii="Arial" w:hAnsi="Arial" w:cs="Arial"/>
                  <w:sz w:val="18"/>
                  <w:szCs w:val="18"/>
                  <w:lang w:eastAsia="en-GB"/>
                </w:rPr>
                <w:t>93</w:t>
              </w:r>
            </w:ins>
          </w:p>
        </w:tc>
      </w:tr>
      <w:tr w:rsidR="006A5767" w14:paraId="1D0C75D6" w14:textId="77777777" w:rsidTr="0094162B">
        <w:trPr>
          <w:trHeight w:val="305"/>
          <w:ins w:id="129" w:author="Lehne, Mark A" w:date="2022-02-28T15:23:00Z"/>
        </w:trPr>
        <w:tc>
          <w:tcPr>
            <w:tcW w:w="1926" w:type="dxa"/>
            <w:tcPrChange w:id="130" w:author="Lehne, Mark A" w:date="2022-02-28T15:24:00Z">
              <w:tcPr>
                <w:tcW w:w="1926" w:type="dxa"/>
              </w:tcPr>
            </w:tcPrChange>
          </w:tcPr>
          <w:p w14:paraId="4D628791" w14:textId="13318ED5" w:rsidR="006A5767" w:rsidRDefault="006A5767" w:rsidP="00862624">
            <w:pPr>
              <w:pStyle w:val="B1"/>
              <w:ind w:left="0" w:firstLine="0"/>
              <w:jc w:val="center"/>
              <w:rPr>
                <w:ins w:id="131" w:author="Lehne, Mark A" w:date="2022-02-28T15:24:00Z"/>
                <w:color w:val="FF0000"/>
              </w:rPr>
            </w:pPr>
            <w:ins w:id="132" w:author="Lehne, Mark A" w:date="2022-02-28T15:24:00Z">
              <w:r w:rsidRPr="007F2517">
                <w:rPr>
                  <w:rFonts w:ascii="Arial" w:hAnsi="Arial" w:cs="Arial"/>
                  <w:color w:val="000000"/>
                  <w:sz w:val="18"/>
                  <w:szCs w:val="18"/>
                </w:rPr>
                <w:t>13</w:t>
              </w:r>
            </w:ins>
          </w:p>
        </w:tc>
        <w:tc>
          <w:tcPr>
            <w:tcW w:w="1926" w:type="dxa"/>
            <w:vAlign w:val="center"/>
            <w:tcPrChange w:id="133" w:author="Lehne, Mark A" w:date="2022-02-28T15:24:00Z">
              <w:tcPr>
                <w:tcW w:w="1926" w:type="dxa"/>
                <w:vAlign w:val="center"/>
              </w:tcPr>
            </w:tcPrChange>
          </w:tcPr>
          <w:p w14:paraId="57F7B71E" w14:textId="6F414E07" w:rsidR="006A5767" w:rsidRDefault="006A5767" w:rsidP="00862624">
            <w:pPr>
              <w:pStyle w:val="B1"/>
              <w:ind w:left="0" w:firstLine="0"/>
              <w:jc w:val="center"/>
              <w:rPr>
                <w:ins w:id="134" w:author="Lehne, Mark A" w:date="2022-02-28T15:24:00Z"/>
                <w:color w:val="FF0000"/>
              </w:rPr>
            </w:pPr>
            <w:ins w:id="135" w:author="Lehne, Mark A" w:date="2022-02-28T15:24:00Z">
              <w:r w:rsidRPr="007F2517">
                <w:rPr>
                  <w:rFonts w:ascii="Arial" w:hAnsi="Arial" w:cs="Arial"/>
                  <w:sz w:val="18"/>
                  <w:szCs w:val="18"/>
                  <w:lang w:val="en-US" w:eastAsia="en-GB"/>
                </w:rPr>
                <w:t>92.8</w:t>
              </w:r>
            </w:ins>
          </w:p>
        </w:tc>
        <w:tc>
          <w:tcPr>
            <w:tcW w:w="1926" w:type="dxa"/>
            <w:tcPrChange w:id="136" w:author="Lehne, Mark A" w:date="2022-02-28T15:24:00Z">
              <w:tcPr>
                <w:tcW w:w="1926" w:type="dxa"/>
              </w:tcPr>
            </w:tcPrChange>
          </w:tcPr>
          <w:p w14:paraId="5538D3E3" w14:textId="375B5BC7" w:rsidR="006A5767" w:rsidRDefault="006A5767" w:rsidP="00862624">
            <w:pPr>
              <w:pStyle w:val="B1"/>
              <w:ind w:left="0" w:firstLine="0"/>
              <w:jc w:val="center"/>
              <w:rPr>
                <w:ins w:id="137" w:author="Lehne, Mark A" w:date="2022-02-28T15:24:00Z"/>
                <w:color w:val="FF0000"/>
              </w:rPr>
            </w:pPr>
            <w:ins w:id="138" w:author="Lehne, Mark A" w:date="2022-02-28T15:24:00Z">
              <w:r w:rsidRPr="007F2517">
                <w:rPr>
                  <w:rFonts w:ascii="Arial" w:hAnsi="Arial" w:cs="Arial"/>
                  <w:color w:val="000000"/>
                  <w:sz w:val="18"/>
                  <w:szCs w:val="18"/>
                </w:rPr>
                <w:t>95.5</w:t>
              </w:r>
            </w:ins>
          </w:p>
        </w:tc>
        <w:tc>
          <w:tcPr>
            <w:tcW w:w="1926" w:type="dxa"/>
            <w:tcPrChange w:id="139" w:author="Lehne, Mark A" w:date="2022-02-28T15:24:00Z">
              <w:tcPr>
                <w:tcW w:w="1926" w:type="dxa"/>
              </w:tcPr>
            </w:tcPrChange>
          </w:tcPr>
          <w:p w14:paraId="00258B14" w14:textId="46DCB73C" w:rsidR="006A5767" w:rsidRDefault="006A5767" w:rsidP="00862624">
            <w:pPr>
              <w:pStyle w:val="B1"/>
              <w:ind w:left="0" w:firstLine="0"/>
              <w:jc w:val="center"/>
              <w:rPr>
                <w:ins w:id="140" w:author="Lehne, Mark A" w:date="2022-02-28T15:24:00Z"/>
                <w:color w:val="FF0000"/>
              </w:rPr>
            </w:pPr>
            <w:ins w:id="141" w:author="Lehne, Mark A" w:date="2022-02-28T15:24:00Z">
              <w:r w:rsidRPr="007F2517">
                <w:rPr>
                  <w:rFonts w:ascii="Arial" w:hAnsi="Arial" w:cs="Arial"/>
                  <w:sz w:val="18"/>
                  <w:szCs w:val="18"/>
                  <w:lang w:eastAsia="en-GB"/>
                </w:rPr>
                <w:t>92.8</w:t>
              </w:r>
            </w:ins>
          </w:p>
        </w:tc>
        <w:tc>
          <w:tcPr>
            <w:tcW w:w="1926" w:type="dxa"/>
            <w:tcPrChange w:id="142" w:author="Lehne, Mark A" w:date="2022-02-28T15:24:00Z">
              <w:tcPr>
                <w:tcW w:w="1926" w:type="dxa"/>
              </w:tcPr>
            </w:tcPrChange>
          </w:tcPr>
          <w:p w14:paraId="3B55290D" w14:textId="1C6E5FC0" w:rsidR="006A5767" w:rsidRDefault="006A5767" w:rsidP="00862624">
            <w:pPr>
              <w:pStyle w:val="B1"/>
              <w:ind w:left="0" w:firstLine="0"/>
              <w:jc w:val="center"/>
              <w:rPr>
                <w:ins w:id="143" w:author="Lehne, Mark A" w:date="2022-02-28T15:24:00Z"/>
                <w:color w:val="FF0000"/>
              </w:rPr>
            </w:pPr>
            <w:ins w:id="144" w:author="Lehne, Mark A" w:date="2022-02-28T15:24:00Z">
              <w:r w:rsidRPr="007F2517">
                <w:rPr>
                  <w:rFonts w:ascii="Arial" w:hAnsi="Arial" w:cs="Arial"/>
                  <w:sz w:val="18"/>
                  <w:szCs w:val="18"/>
                  <w:lang w:eastAsia="en-GB"/>
                </w:rPr>
                <w:t>92.8</w:t>
              </w:r>
            </w:ins>
          </w:p>
        </w:tc>
      </w:tr>
      <w:tr w:rsidR="00047E6D" w14:paraId="27D58D4F" w14:textId="77777777" w:rsidTr="00A05D07">
        <w:trPr>
          <w:trHeight w:val="305"/>
          <w:ins w:id="145" w:author="Lehne, Mark A" w:date="2022-03-01T09:30:00Z"/>
        </w:trPr>
        <w:tc>
          <w:tcPr>
            <w:tcW w:w="9630" w:type="dxa"/>
            <w:gridSpan w:val="5"/>
          </w:tcPr>
          <w:p w14:paraId="6E0DF0A3" w14:textId="12323FC2" w:rsidR="00047E6D" w:rsidRPr="007F2517" w:rsidRDefault="00047E6D">
            <w:pPr>
              <w:pStyle w:val="B1"/>
              <w:ind w:left="0" w:firstLine="0"/>
              <w:rPr>
                <w:ins w:id="146" w:author="Lehne, Mark A" w:date="2022-03-01T09:30:00Z"/>
                <w:rFonts w:ascii="Arial" w:hAnsi="Arial" w:cs="Arial"/>
                <w:sz w:val="18"/>
                <w:szCs w:val="18"/>
                <w:lang w:eastAsia="en-GB"/>
              </w:rPr>
              <w:pPrChange w:id="147" w:author="Lehne, Mark A" w:date="2022-03-01T09:31:00Z">
                <w:pPr>
                  <w:pStyle w:val="B1"/>
                  <w:ind w:left="0" w:firstLine="0"/>
                  <w:jc w:val="center"/>
                </w:pPr>
              </w:pPrChange>
            </w:pPr>
            <w:commentRangeStart w:id="148"/>
            <w:ins w:id="149" w:author="Lehne, Mark A" w:date="2022-03-01T09:31:00Z">
              <w:r>
                <w:rPr>
                  <w:rFonts w:ascii="Arial" w:eastAsia="Yu Mincho" w:hAnsi="Arial" w:cs="Arial" w:hint="eastAsia"/>
                  <w:sz w:val="18"/>
                  <w:szCs w:val="18"/>
                  <w:lang w:eastAsia="ja-JP"/>
                </w:rPr>
                <w:t>N</w:t>
              </w:r>
              <w:r>
                <w:rPr>
                  <w:rFonts w:ascii="Arial" w:eastAsia="Yu Mincho" w:hAnsi="Arial" w:cs="Arial"/>
                  <w:sz w:val="18"/>
                  <w:szCs w:val="18"/>
                  <w:lang w:eastAsia="ja-JP"/>
                </w:rPr>
                <w:t>ote 1: The Overlapping UE CBW from Network Perspective method can achieve the same spectrum utilization as the Combined UE CBW method if the same implementation is used for the base station</w:t>
              </w:r>
              <w:commentRangeEnd w:id="148"/>
              <w:r>
                <w:rPr>
                  <w:rStyle w:val="CommentReference"/>
                </w:rPr>
                <w:commentReference w:id="148"/>
              </w:r>
            </w:ins>
          </w:p>
        </w:tc>
      </w:tr>
    </w:tbl>
    <w:p w14:paraId="40FC0DB4" w14:textId="77777777" w:rsidR="00D313D4" w:rsidRDefault="00D313D4" w:rsidP="001F020D">
      <w:pPr>
        <w:pStyle w:val="B1"/>
        <w:ind w:left="0" w:firstLine="0"/>
        <w:rPr>
          <w:color w:val="FF0000"/>
        </w:rPr>
      </w:pPr>
    </w:p>
    <w:p w14:paraId="750E6962" w14:textId="44DF2E32" w:rsidR="001F020D" w:rsidRPr="00AD4838" w:rsidRDefault="001F020D" w:rsidP="001F020D">
      <w:pPr>
        <w:pStyle w:val="B1"/>
        <w:ind w:left="0" w:firstLine="0"/>
        <w:rPr>
          <w:color w:val="FF0000"/>
        </w:rPr>
      </w:pPr>
      <w:r w:rsidRPr="00AD4838">
        <w:rPr>
          <w:color w:val="FF0000"/>
        </w:rPr>
        <w:t>&lt;&lt;</w:t>
      </w:r>
      <w:r>
        <w:rPr>
          <w:color w:val="FF0000"/>
        </w:rPr>
        <w:t>END</w:t>
      </w:r>
      <w:r w:rsidRPr="00AD4838">
        <w:rPr>
          <w:color w:val="FF0000"/>
        </w:rPr>
        <w:t xml:space="preserve"> OF CHANGES&gt;&gt;</w:t>
      </w:r>
    </w:p>
    <w:p w14:paraId="6BF71AB6" w14:textId="1F22B8F4" w:rsidR="006569E3" w:rsidRPr="006569E3" w:rsidRDefault="006569E3" w:rsidP="001200B1">
      <w:pPr>
        <w:rPr>
          <w:rFonts w:ascii="Arial" w:hAnsi="Arial" w:cs="Arial"/>
          <w:sz w:val="22"/>
          <w:szCs w:val="22"/>
        </w:rPr>
      </w:pPr>
    </w:p>
    <w:bookmarkEnd w:id="1"/>
    <w:p w14:paraId="446075F6" w14:textId="488A1E43" w:rsidR="001A4A9A" w:rsidRPr="00D20165" w:rsidRDefault="006A26D7" w:rsidP="001A4A9A">
      <w:pPr>
        <w:pStyle w:val="Heading1"/>
      </w:pPr>
      <w:r>
        <w:t>4</w:t>
      </w:r>
      <w:r w:rsidR="001A4A9A" w:rsidRPr="00D20165">
        <w:tab/>
        <w:t>References</w:t>
      </w:r>
    </w:p>
    <w:p w14:paraId="4D040DB0" w14:textId="77777777" w:rsidR="00586F2D" w:rsidRPr="00D20165" w:rsidRDefault="00586F2D" w:rsidP="00586F2D">
      <w:pPr>
        <w:pStyle w:val="EX"/>
      </w:pPr>
      <w:bookmarkStart w:id="150" w:name="_Ref54370374"/>
      <w:r w:rsidRPr="002315A5">
        <w:t>RP-202103</w:t>
      </w:r>
      <w:r>
        <w:t xml:space="preserve">, "New SID: Study on Efficient utilization of licensed </w:t>
      </w:r>
      <w:r>
        <w:tab/>
        <w:t>spectrum that is not aligned with existing NR channel bandwidths", T-Mobile USA, Ericsson</w:t>
      </w:r>
      <w:bookmarkEnd w:id="150"/>
    </w:p>
    <w:p w14:paraId="5CA8A663" w14:textId="77777777" w:rsidR="00586F2D" w:rsidRDefault="00586F2D" w:rsidP="00586F2D">
      <w:pPr>
        <w:pStyle w:val="EX"/>
        <w:numPr>
          <w:ilvl w:val="0"/>
          <w:numId w:val="0"/>
        </w:numPr>
        <w:ind w:left="369"/>
      </w:pPr>
    </w:p>
    <w:p w14:paraId="4B66D901" w14:textId="4847404E" w:rsidR="00C76D42" w:rsidRPr="00D20165" w:rsidRDefault="00C76D42" w:rsidP="00654CEA">
      <w:pPr>
        <w:pStyle w:val="EX"/>
        <w:numPr>
          <w:ilvl w:val="0"/>
          <w:numId w:val="0"/>
        </w:numPr>
      </w:pPr>
    </w:p>
    <w:sectPr w:rsidR="00C76D42" w:rsidRPr="00D2016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Ericsson" w:date="2022-02-14T12:19:00Z" w:initials="ES">
    <w:p w14:paraId="155C4B0C" w14:textId="77777777" w:rsidR="0062278D" w:rsidRDefault="0062278D" w:rsidP="0062278D">
      <w:pPr>
        <w:pStyle w:val="CommentText"/>
      </w:pPr>
      <w:r>
        <w:rPr>
          <w:rStyle w:val="CommentReference"/>
        </w:rPr>
        <w:annotationRef/>
      </w:r>
      <w:r>
        <w:t>Format Updated</w:t>
      </w:r>
    </w:p>
  </w:comment>
  <w:comment w:id="12" w:author="Nokia" w:date="2022-03-02T01:23:00Z" w:initials="Nokia">
    <w:p w14:paraId="21CFBE34" w14:textId="77777777" w:rsidR="006B1C77" w:rsidRDefault="006B1C77" w:rsidP="006B1C77">
      <w:pPr>
        <w:pStyle w:val="CommentText"/>
      </w:pPr>
      <w:r>
        <w:rPr>
          <w:rStyle w:val="CommentReference"/>
        </w:rPr>
        <w:annotationRef/>
      </w:r>
      <w:r>
        <w:t>1) A preposition is missing between the highlighted words.</w:t>
      </w:r>
    </w:p>
    <w:p w14:paraId="39C0881D" w14:textId="77777777" w:rsidR="006B1C77" w:rsidRDefault="006B1C77" w:rsidP="006B1C77">
      <w:pPr>
        <w:pStyle w:val="CommentText"/>
      </w:pPr>
      <w:r>
        <w:t>2) The ACS is anyway degraded if the irregular spectrum is only a little bit wider than the next smaller CBW. Hence 'ACI' may fit better than 'ACS'.</w:t>
      </w:r>
    </w:p>
    <w:p w14:paraId="2A32955B" w14:textId="77777777" w:rsidR="006B1C77" w:rsidRDefault="006B1C77" w:rsidP="006B1C77">
      <w:pPr>
        <w:pStyle w:val="CommentText"/>
      </w:pPr>
      <w:r>
        <w:t xml:space="preserve">3) The degradation can also occur if there is only a blocker on one </w:t>
      </w:r>
      <w:proofErr w:type="gramStart"/>
      <w:r>
        <w:t>side</w:t>
      </w:r>
      <w:proofErr w:type="gramEnd"/>
      <w:r>
        <w:t xml:space="preserve"> but the network cannot command the optimum CBW position, e.g. because there may be in principle blockers on either side so that a suitable configuration is not possible in advance. </w:t>
      </w:r>
      <w:proofErr w:type="gramStart"/>
      <w:r>
        <w:t>Hence</w:t>
      </w:r>
      <w:proofErr w:type="gramEnd"/>
      <w:r>
        <w:t xml:space="preserve"> we suggest inserting ", at least" before 'when'.</w:t>
      </w:r>
    </w:p>
  </w:comment>
  <w:comment w:id="13" w:author="Lehne, Mark A" w:date="2022-03-01T09:48:00Z" w:initials="LMA">
    <w:p w14:paraId="71988F35" w14:textId="77777777" w:rsidR="006B1C77" w:rsidRDefault="006B1C77" w:rsidP="006B1C77">
      <w:pPr>
        <w:pStyle w:val="CommentText"/>
      </w:pPr>
      <w:r>
        <w:rPr>
          <w:rStyle w:val="CommentReference"/>
        </w:rPr>
        <w:annotationRef/>
      </w:r>
      <w:r>
        <w:t>These changes have been made.  Please double check</w:t>
      </w:r>
    </w:p>
  </w:comment>
  <w:comment w:id="16" w:author="Ericsson" w:date="2022-03-01T02:43:00Z" w:initials="ES">
    <w:p w14:paraId="04BAEB94" w14:textId="77777777" w:rsidR="006B1C77" w:rsidRDefault="006B1C77" w:rsidP="006B1C77">
      <w:pPr>
        <w:pStyle w:val="CommentText"/>
      </w:pPr>
      <w:r>
        <w:rPr>
          <w:rStyle w:val="CommentReference"/>
        </w:rPr>
        <w:annotationRef/>
      </w:r>
      <w:r>
        <w:t xml:space="preserve">To have the full benefit of the </w:t>
      </w:r>
      <w:proofErr w:type="spellStart"/>
      <w:r>
        <w:t>irregularCBW</w:t>
      </w:r>
      <w:proofErr w:type="spellEnd"/>
      <w:r>
        <w:t xml:space="preserve"> overlapping CA (both methods) will require new UEs and therefore even though legacy UEs can access the </w:t>
      </w:r>
      <w:proofErr w:type="spellStart"/>
      <w:r>
        <w:t>smallerCBW</w:t>
      </w:r>
      <w:proofErr w:type="spellEnd"/>
      <w:r>
        <w:t xml:space="preserve"> it is not the full intention of the study </w:t>
      </w:r>
      <w:proofErr w:type="gramStart"/>
      <w:r>
        <w:t>i.e.</w:t>
      </w:r>
      <w:proofErr w:type="gramEnd"/>
      <w:r>
        <w:t xml:space="preserve"> to access the full licensed spectrum allocation</w:t>
      </w:r>
    </w:p>
  </w:comment>
  <w:comment w:id="17" w:author="Lehne, Mark A" w:date="2022-03-01T07:35:00Z" w:initials="LMA">
    <w:p w14:paraId="11EC420B" w14:textId="77777777" w:rsidR="006B1C77" w:rsidRDefault="006B1C77" w:rsidP="006B1C77">
      <w:pPr>
        <w:pStyle w:val="CommentText"/>
      </w:pPr>
      <w:r>
        <w:rPr>
          <w:rStyle w:val="CommentReference"/>
        </w:rPr>
        <w:annotationRef/>
      </w:r>
      <w:r>
        <w:t>Isn’t the intention of the study to fully utilize irregular licensed spectrum?</w:t>
      </w:r>
    </w:p>
  </w:comment>
  <w:comment w:id="19" w:author="ChinaTelecom - Lei Gao" w:date="2022-03-01T09:41:00Z" w:initials="CTC- LG">
    <w:p w14:paraId="2FAE5918" w14:textId="77777777" w:rsidR="006B1C77" w:rsidRDefault="006B1C77" w:rsidP="006B1C77">
      <w:pPr>
        <w:pStyle w:val="CommentText"/>
      </w:pPr>
      <w:r>
        <w:rPr>
          <w:rStyle w:val="CommentReference"/>
        </w:rPr>
        <w:annotationRef/>
      </w:r>
      <w:r>
        <w:rPr>
          <w:lang w:val="en-US"/>
        </w:rPr>
        <w:t xml:space="preserve">Legacy UEs supporting asymmetric CBW can use the whole irregular bandwidth RBs </w:t>
      </w:r>
    </w:p>
  </w:comment>
  <w:comment w:id="20" w:author="Lehne, Mark A" w:date="2022-03-01T09:47:00Z" w:initials="LMA">
    <w:p w14:paraId="4E9CB0EE" w14:textId="77777777" w:rsidR="006B1C77" w:rsidRDefault="006B1C77" w:rsidP="006B1C77">
      <w:pPr>
        <w:pStyle w:val="CommentText"/>
      </w:pPr>
      <w:r>
        <w:rPr>
          <w:rStyle w:val="CommentReference"/>
        </w:rPr>
        <w:annotationRef/>
      </w:r>
      <w:r>
        <w:t>Agreed.  Tried to clear make this more clear, please double check</w:t>
      </w:r>
    </w:p>
  </w:comment>
  <w:comment w:id="23" w:author="Nokia" w:date="2022-03-02T01:28:00Z" w:initials="Nokia">
    <w:p w14:paraId="6C3C71AD" w14:textId="77777777" w:rsidR="006B1C77" w:rsidRDefault="006B1C77" w:rsidP="006B1C77">
      <w:pPr>
        <w:pStyle w:val="CommentText"/>
      </w:pPr>
      <w:r>
        <w:rPr>
          <w:rStyle w:val="CommentReference"/>
        </w:rPr>
        <w:annotationRef/>
      </w:r>
      <w:r w:rsidRPr="00C153C4">
        <w:t>The numbers from table 6.1.1-1 are exemplary numbers based on the unconfirmed assumption that the guard bands of the next larger channel bandwidth are sufficiently large. However, this still needs confirmation by meaningful UE performance evaluations. Hence a comparison based on these numbers is premature for a conclusions section. This entire paragraph including table 7.2-2 should not be there yet. We are still discussing if the UE-specific CBW needs to be on the 100 kHz raster. If this is not the case, even the spectrum utilization of the overlapping CBWs from network perspective can increase.</w:t>
      </w:r>
    </w:p>
  </w:comment>
  <w:comment w:id="24" w:author="Lehne, Mark A" w:date="2022-03-01T09:51:00Z" w:initials="LMA">
    <w:p w14:paraId="65E1E42B" w14:textId="77777777" w:rsidR="006B1C77" w:rsidRDefault="006B1C77" w:rsidP="006B1C77">
      <w:pPr>
        <w:pStyle w:val="CommentText"/>
      </w:pPr>
      <w:r>
        <w:rPr>
          <w:rStyle w:val="CommentReference"/>
        </w:rPr>
        <w:annotationRef/>
      </w:r>
      <w:r>
        <w:t>This is a new issue.  No one has previously raised concern about the GB not being sufficiently large in past several meetings. The data used in this table from sections 6.1-6.2.3 has been agreed for several meetings.</w:t>
      </w:r>
    </w:p>
    <w:p w14:paraId="25FB3C3C" w14:textId="77777777" w:rsidR="006B1C77" w:rsidRDefault="006B1C77" w:rsidP="006B1C77">
      <w:pPr>
        <w:pStyle w:val="CommentText"/>
      </w:pPr>
      <w:r>
        <w:t>Phrase “exemplary numbers” added.</w:t>
      </w:r>
    </w:p>
  </w:comment>
  <w:comment w:id="27" w:author="Ericsson" w:date="2022-03-01T02:57:00Z" w:initials="ES">
    <w:p w14:paraId="324291E1" w14:textId="77777777" w:rsidR="006B1C77" w:rsidRDefault="006B1C77" w:rsidP="006B1C77">
      <w:pPr>
        <w:pStyle w:val="CommentText"/>
      </w:pPr>
      <w:r>
        <w:rPr>
          <w:rStyle w:val="CommentReference"/>
        </w:rPr>
        <w:annotationRef/>
      </w:r>
      <w:r>
        <w:t>Greater than today’s 7MHz allocation? Is this sentence to imply that the methods studied in this SI all help to improve today’s allocation – where for an operator’s 7 MHz spectrum allocation only 5 MHz is utilized?</w:t>
      </w:r>
    </w:p>
  </w:comment>
  <w:comment w:id="28" w:author="Lehne, Mark A" w:date="2022-03-01T07:30:00Z" w:initials="LMA">
    <w:p w14:paraId="3EE3348A" w14:textId="77777777" w:rsidR="006B1C77" w:rsidRDefault="006B1C77" w:rsidP="006B1C77">
      <w:pPr>
        <w:pStyle w:val="CommentText"/>
      </w:pPr>
      <w:r>
        <w:rPr>
          <w:rStyle w:val="CommentReference"/>
        </w:rPr>
        <w:annotationRef/>
      </w:r>
      <w:r>
        <w:t xml:space="preserve">Added summary table to make the SU discussion </w:t>
      </w:r>
      <w:proofErr w:type="gramStart"/>
      <w:r>
        <w:t>more clear</w:t>
      </w:r>
      <w:proofErr w:type="gramEnd"/>
      <w:r>
        <w:t>.  Data is directly copied from each of the sections 6.1 – 6.2.3.</w:t>
      </w:r>
    </w:p>
  </w:comment>
  <w:comment w:id="29" w:author="Ericsson" w:date="2022-03-01T02:58:00Z" w:initials="ES">
    <w:p w14:paraId="2D6356C5" w14:textId="77777777" w:rsidR="006B1C77" w:rsidRDefault="006B1C77" w:rsidP="006B1C77">
      <w:pPr>
        <w:pStyle w:val="CommentText"/>
      </w:pPr>
      <w:r>
        <w:rPr>
          <w:rStyle w:val="CommentReference"/>
        </w:rPr>
        <w:annotationRef/>
      </w:r>
      <w:r>
        <w:t>Is this a specific case?  We shall perhaps keep more generalities in the conclusion.</w:t>
      </w:r>
    </w:p>
  </w:comment>
  <w:comment w:id="30" w:author="Lehne, Mark A" w:date="2022-03-01T09:55:00Z" w:initials="LMA">
    <w:p w14:paraId="570485BA" w14:textId="77777777" w:rsidR="006B1C77" w:rsidRDefault="006B1C77" w:rsidP="006B1C77">
      <w:pPr>
        <w:pStyle w:val="CommentText"/>
      </w:pPr>
      <w:r>
        <w:rPr>
          <w:rStyle w:val="CommentReference"/>
        </w:rPr>
        <w:annotationRef/>
      </w:r>
      <w:r>
        <w:t xml:space="preserve">Added summary table to make the SU discussion </w:t>
      </w:r>
      <w:proofErr w:type="gramStart"/>
      <w:r>
        <w:t>more clear</w:t>
      </w:r>
      <w:proofErr w:type="gramEnd"/>
      <w:r>
        <w:t>.  Data is directly copied from each of the sections 6.1 – 6.2.3.  Please comment if this is clear</w:t>
      </w:r>
    </w:p>
  </w:comment>
  <w:comment w:id="31" w:author="MediaTek" w:date="2022-03-01T06:48:00Z" w:initials="TF">
    <w:p w14:paraId="638B1951" w14:textId="77777777" w:rsidR="006B1C77" w:rsidRDefault="006B1C77" w:rsidP="006B1C77">
      <w:pPr>
        <w:pStyle w:val="CommentText"/>
      </w:pPr>
      <w:r>
        <w:rPr>
          <w:rStyle w:val="CommentReference"/>
        </w:rPr>
        <w:annotationRef/>
      </w:r>
      <w:r>
        <w:t xml:space="preserve">This suggests there is no benefit to the UE, which seems a bit inaccurate. If you increase spectrum efficiency this increases capacity which allows data to be delivered more rapidly to each user in a network with multiple UEs. </w:t>
      </w:r>
    </w:p>
  </w:comment>
  <w:comment w:id="32" w:author="Lehne, Mark A" w:date="2022-03-01T07:28:00Z" w:initials="LMA">
    <w:p w14:paraId="6A573614" w14:textId="77777777" w:rsidR="006B1C77" w:rsidRDefault="006B1C77" w:rsidP="006B1C77">
      <w:pPr>
        <w:pStyle w:val="CommentText"/>
      </w:pPr>
      <w:r>
        <w:rPr>
          <w:rStyle w:val="CommentReference"/>
        </w:rPr>
        <w:annotationRef/>
      </w:r>
      <w:r w:rsidRPr="00C620C4">
        <w:t>Added qualifier that the limited improvement is in spectral efficiency not something else</w:t>
      </w:r>
      <w:r>
        <w:t>.  Please double check</w:t>
      </w:r>
    </w:p>
  </w:comment>
  <w:comment w:id="33" w:author="Ericsson" w:date="2022-03-01T02:59:00Z" w:initials="ES">
    <w:p w14:paraId="2EC28E8F" w14:textId="77777777" w:rsidR="006B1C77" w:rsidRDefault="006B1C77" w:rsidP="006B1C77">
      <w:pPr>
        <w:pStyle w:val="CommentText"/>
      </w:pPr>
      <w:r>
        <w:rPr>
          <w:rStyle w:val="CommentReference"/>
        </w:rPr>
        <w:annotationRef/>
      </w:r>
      <w:r>
        <w:t xml:space="preserve">DL has improvement for </w:t>
      </w:r>
      <w:proofErr w:type="spellStart"/>
      <w:r>
        <w:t>widerCBW</w:t>
      </w:r>
      <w:proofErr w:type="spellEnd"/>
      <w:r>
        <w:t xml:space="preserve"> approach but not UL </w:t>
      </w:r>
    </w:p>
  </w:comment>
  <w:comment w:id="34" w:author="Lehne, Mark A" w:date="2022-03-01T10:08:00Z" w:initials="LMA">
    <w:p w14:paraId="78E3D000" w14:textId="77777777" w:rsidR="006B1C77" w:rsidRDefault="006B1C77" w:rsidP="006B1C77">
      <w:pPr>
        <w:pStyle w:val="CommentText"/>
      </w:pPr>
      <w:r>
        <w:rPr>
          <w:rStyle w:val="CommentReference"/>
        </w:rPr>
        <w:annotationRef/>
      </w:r>
      <w:r>
        <w:t>Added limitation “DL” to statement</w:t>
      </w:r>
    </w:p>
  </w:comment>
  <w:comment w:id="25" w:author="Ericsson" w:date="2022-03-01T03:01:00Z" w:initials="ES">
    <w:p w14:paraId="56AF77D9" w14:textId="77777777" w:rsidR="006B1C77" w:rsidRDefault="006B1C77" w:rsidP="006B1C77">
      <w:pPr>
        <w:pStyle w:val="CommentText"/>
      </w:pPr>
      <w:r>
        <w:rPr>
          <w:rStyle w:val="CommentReference"/>
        </w:rPr>
        <w:annotationRef/>
      </w:r>
      <w:r>
        <w:t>Perhaps the last added sentence provides a more concise a clear conclusions statement.</w:t>
      </w:r>
    </w:p>
  </w:comment>
  <w:comment w:id="26" w:author="Lehne, Mark A" w:date="2022-03-01T09:55:00Z" w:initials="LMA">
    <w:p w14:paraId="2495B6BF" w14:textId="77777777" w:rsidR="006B1C77" w:rsidRDefault="006B1C77" w:rsidP="006B1C77">
      <w:pPr>
        <w:pStyle w:val="CommentText"/>
      </w:pPr>
      <w:r>
        <w:rPr>
          <w:rStyle w:val="CommentReference"/>
        </w:rPr>
        <w:annotationRef/>
      </w:r>
      <w:r>
        <w:t>Agreed</w:t>
      </w:r>
    </w:p>
  </w:comment>
  <w:comment w:id="40" w:author="Nokia" w:date="2022-03-02T01:35:00Z" w:initials="Nokia">
    <w:p w14:paraId="7CD3EA1C" w14:textId="1EDAE507" w:rsidR="0014230F" w:rsidRDefault="0013770C">
      <w:pPr>
        <w:pStyle w:val="CommentText"/>
      </w:pPr>
      <w:r>
        <w:rPr>
          <w:rStyle w:val="CommentReference"/>
        </w:rPr>
        <w:annotationRef/>
      </w:r>
      <w:r>
        <w:t xml:space="preserve">As commented above, this table is misleading </w:t>
      </w:r>
      <w:r w:rsidR="0014230F">
        <w:t xml:space="preserve">because it is not a fair comparison. It is proposed to delete the table and include the necessary information in </w:t>
      </w:r>
      <w:r w:rsidR="0014230F" w:rsidRPr="0014230F">
        <w:t>Table 7.2.1</w:t>
      </w:r>
      <w:r w:rsidR="0014230F">
        <w:t>, where you have the row for spectral utilization.</w:t>
      </w:r>
    </w:p>
    <w:p w14:paraId="42385284" w14:textId="27474D7E" w:rsidR="0014230F" w:rsidRDefault="0014230F">
      <w:pPr>
        <w:pStyle w:val="CommentText"/>
      </w:pPr>
    </w:p>
  </w:comment>
  <w:comment w:id="41" w:author="Lehne, Mark A" w:date="2022-03-01T10:11:00Z" w:initials="LMA">
    <w:p w14:paraId="0A140517" w14:textId="7DFE4C16" w:rsidR="003907F5" w:rsidRDefault="0091470E">
      <w:pPr>
        <w:pStyle w:val="CommentText"/>
      </w:pPr>
      <w:r>
        <w:rPr>
          <w:rStyle w:val="CommentReference"/>
        </w:rPr>
        <w:annotationRef/>
      </w:r>
      <w:r>
        <w:t xml:space="preserve">The data in this table is taken directly from </w:t>
      </w:r>
      <w:r w:rsidR="00414301">
        <w:t xml:space="preserve">each method description in 6.1-6.2.3.  </w:t>
      </w:r>
      <w:r w:rsidR="008B6A04">
        <w:t xml:space="preserve">This data has </w:t>
      </w:r>
      <w:r w:rsidR="00FC53CE">
        <w:t xml:space="preserve">already </w:t>
      </w:r>
      <w:r w:rsidR="008B6A04">
        <w:t>been agreed in previous TPs</w:t>
      </w:r>
      <w:r w:rsidR="00FC53CE">
        <w:t xml:space="preserve"> several meetings ago</w:t>
      </w:r>
      <w:r w:rsidR="008B6A04">
        <w:t xml:space="preserve">.  </w:t>
      </w:r>
    </w:p>
    <w:p w14:paraId="33A61320" w14:textId="275DC6CA" w:rsidR="0091470E" w:rsidRDefault="00C108BD">
      <w:pPr>
        <w:pStyle w:val="CommentText"/>
      </w:pPr>
      <w:r>
        <w:t>Th</w:t>
      </w:r>
      <w:r w:rsidR="004F3366">
        <w:t xml:space="preserve">e best performance </w:t>
      </w:r>
      <w:r w:rsidR="003907F5">
        <w:t xml:space="preserve">data </w:t>
      </w:r>
      <w:r w:rsidR="004F3366">
        <w:t xml:space="preserve">for the Combined UE method is included which </w:t>
      </w:r>
      <w:r w:rsidR="003907F5">
        <w:t>is without 100kHz raster.</w:t>
      </w:r>
      <w:r w:rsidR="00980007">
        <w:t xml:space="preserve">  </w:t>
      </w:r>
    </w:p>
  </w:comment>
  <w:comment w:id="148" w:author="Lehne, Mark A" w:date="2022-03-01T09:31:00Z" w:initials="LMA">
    <w:p w14:paraId="2CACB19F" w14:textId="7CF39DE9" w:rsidR="00047E6D" w:rsidRDefault="00047E6D">
      <w:pPr>
        <w:pStyle w:val="CommentText"/>
      </w:pPr>
      <w:r>
        <w:rPr>
          <w:rStyle w:val="CommentReference"/>
        </w:rPr>
        <w:annotationRef/>
      </w:r>
      <w:r>
        <w:t xml:space="preserve">Added </w:t>
      </w:r>
      <w:r w:rsidR="00C57CE3">
        <w:t>QC’s comment from version *v05_CT_QC.doc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5C4B0C" w15:done="0"/>
  <w15:commentEx w15:paraId="2A32955B" w15:done="0"/>
  <w15:commentEx w15:paraId="71988F35" w15:paraIdParent="2A32955B" w15:done="0"/>
  <w15:commentEx w15:paraId="04BAEB94" w15:done="0"/>
  <w15:commentEx w15:paraId="11EC420B" w15:paraIdParent="04BAEB94" w15:done="0"/>
  <w15:commentEx w15:paraId="2FAE5918" w15:done="0"/>
  <w15:commentEx w15:paraId="4E9CB0EE" w15:paraIdParent="2FAE5918" w15:done="0"/>
  <w15:commentEx w15:paraId="6C3C71AD" w15:done="0"/>
  <w15:commentEx w15:paraId="25FB3C3C" w15:paraIdParent="6C3C71AD" w15:done="0"/>
  <w15:commentEx w15:paraId="324291E1" w15:done="0"/>
  <w15:commentEx w15:paraId="3EE3348A" w15:paraIdParent="324291E1" w15:done="0"/>
  <w15:commentEx w15:paraId="2D6356C5" w15:done="0"/>
  <w15:commentEx w15:paraId="570485BA" w15:paraIdParent="2D6356C5" w15:done="0"/>
  <w15:commentEx w15:paraId="638B1951" w15:done="0"/>
  <w15:commentEx w15:paraId="6A573614" w15:paraIdParent="638B1951" w15:done="0"/>
  <w15:commentEx w15:paraId="2EC28E8F" w15:done="0"/>
  <w15:commentEx w15:paraId="78E3D000" w15:paraIdParent="2EC28E8F" w15:done="0"/>
  <w15:commentEx w15:paraId="56AF77D9" w15:done="0"/>
  <w15:commentEx w15:paraId="2495B6BF" w15:paraIdParent="56AF77D9" w15:done="0"/>
  <w15:commentEx w15:paraId="42385284" w15:done="0"/>
  <w15:commentEx w15:paraId="33A61320" w15:paraIdParent="42385284" w15:done="0"/>
  <w15:commentEx w15:paraId="2CACB19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3E667" w16cex:dateUtc="2022-02-14T04:19:00Z"/>
  <w16cex:commentExtensible w16cex:durableId="25C945A1" w16cex:dateUtc="2022-03-01T16:23:00Z"/>
  <w16cex:commentExtensible w16cex:durableId="25C86A77" w16cex:dateUtc="2022-03-01T17:48:00Z"/>
  <w16cex:commentExtensible w16cex:durableId="25C74FE7" w16cex:dateUtc="2022-02-28T18:43:00Z"/>
  <w16cex:commentExtensible w16cex:durableId="25C76A3B" w16cex:dateUtc="2022-02-28T23:35:00Z"/>
  <w16cex:commentExtensible w16cex:durableId="25C868C4" w16cex:dateUtc="2022-03-01T01:41:00Z"/>
  <w16cex:commentExtensible w16cex:durableId="25C86A45" w16cex:dateUtc="2022-03-01T17:47:00Z"/>
  <w16cex:commentExtensible w16cex:durableId="25C946BB" w16cex:dateUtc="2022-03-01T16:28:00Z"/>
  <w16cex:commentExtensible w16cex:durableId="25C86B06" w16cex:dateUtc="2022-03-01T17:51:00Z"/>
  <w16cex:commentExtensible w16cex:durableId="25C75352" w16cex:dateUtc="2022-02-28T18:57:00Z"/>
  <w16cex:commentExtensible w16cex:durableId="25C76904" w16cex:dateUtc="2022-02-28T23:30:00Z"/>
  <w16cex:commentExtensible w16cex:durableId="25C7539E" w16cex:dateUtc="2022-02-28T18:58:00Z"/>
  <w16cex:commentExtensible w16cex:durableId="25C86C13" w16cex:dateUtc="2022-03-01T17:55:00Z"/>
  <w16cex:commentExtensible w16cex:durableId="25C7DDB5" w16cex:dateUtc="2022-02-28T22:48:00Z"/>
  <w16cex:commentExtensible w16cex:durableId="25C76887" w16cex:dateUtc="2022-02-28T23:28:00Z"/>
  <w16cex:commentExtensible w16cex:durableId="25C753CF" w16cex:dateUtc="2022-02-28T18:59:00Z"/>
  <w16cex:commentExtensible w16cex:durableId="25C86F04" w16cex:dateUtc="2022-03-01T18:08:00Z"/>
  <w16cex:commentExtensible w16cex:durableId="25C7543A" w16cex:dateUtc="2022-02-28T19:01:00Z"/>
  <w16cex:commentExtensible w16cex:durableId="25C86BFA" w16cex:dateUtc="2022-03-01T17:55:00Z"/>
  <w16cex:commentExtensible w16cex:durableId="25C94872" w16cex:dateUtc="2022-03-01T16:35:00Z"/>
  <w16cex:commentExtensible w16cex:durableId="25C86FBD" w16cex:dateUtc="2022-03-01T18:11:00Z"/>
  <w16cex:commentExtensible w16cex:durableId="25C8666F" w16cex:dateUtc="2022-03-01T1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5C4B0C" w16cid:durableId="25B3E667"/>
  <w16cid:commentId w16cid:paraId="2A32955B" w16cid:durableId="25C945A1"/>
  <w16cid:commentId w16cid:paraId="71988F35" w16cid:durableId="25C86A77"/>
  <w16cid:commentId w16cid:paraId="04BAEB94" w16cid:durableId="25C74FE7"/>
  <w16cid:commentId w16cid:paraId="11EC420B" w16cid:durableId="25C76A3B"/>
  <w16cid:commentId w16cid:paraId="2FAE5918" w16cid:durableId="25C868C4"/>
  <w16cid:commentId w16cid:paraId="4E9CB0EE" w16cid:durableId="25C86A45"/>
  <w16cid:commentId w16cid:paraId="6C3C71AD" w16cid:durableId="25C946BB"/>
  <w16cid:commentId w16cid:paraId="25FB3C3C" w16cid:durableId="25C86B06"/>
  <w16cid:commentId w16cid:paraId="324291E1" w16cid:durableId="25C75352"/>
  <w16cid:commentId w16cid:paraId="3EE3348A" w16cid:durableId="25C76904"/>
  <w16cid:commentId w16cid:paraId="2D6356C5" w16cid:durableId="25C7539E"/>
  <w16cid:commentId w16cid:paraId="570485BA" w16cid:durableId="25C86C13"/>
  <w16cid:commentId w16cid:paraId="638B1951" w16cid:durableId="25C7DDB5"/>
  <w16cid:commentId w16cid:paraId="6A573614" w16cid:durableId="25C76887"/>
  <w16cid:commentId w16cid:paraId="2EC28E8F" w16cid:durableId="25C753CF"/>
  <w16cid:commentId w16cid:paraId="78E3D000" w16cid:durableId="25C86F04"/>
  <w16cid:commentId w16cid:paraId="56AF77D9" w16cid:durableId="25C7543A"/>
  <w16cid:commentId w16cid:paraId="2495B6BF" w16cid:durableId="25C86BFA"/>
  <w16cid:commentId w16cid:paraId="42385284" w16cid:durableId="25C94872"/>
  <w16cid:commentId w16cid:paraId="33A61320" w16cid:durableId="25C86FBD"/>
  <w16cid:commentId w16cid:paraId="2CACB19F" w16cid:durableId="25C866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C6683" w14:textId="77777777" w:rsidR="00096B90" w:rsidRDefault="00096B90">
      <w:r>
        <w:separator/>
      </w:r>
    </w:p>
  </w:endnote>
  <w:endnote w:type="continuationSeparator" w:id="0">
    <w:p w14:paraId="423FE2D1" w14:textId="77777777" w:rsidR="00096B90" w:rsidRDefault="00096B90">
      <w:r>
        <w:continuationSeparator/>
      </w:r>
    </w:p>
  </w:endnote>
  <w:endnote w:type="continuationNotice" w:id="1">
    <w:p w14:paraId="523E9D08" w14:textId="77777777" w:rsidR="00096B90" w:rsidRDefault="00096B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4940E" w14:textId="77777777" w:rsidR="00096B90" w:rsidRDefault="00096B90">
      <w:r>
        <w:separator/>
      </w:r>
    </w:p>
  </w:footnote>
  <w:footnote w:type="continuationSeparator" w:id="0">
    <w:p w14:paraId="17D80A04" w14:textId="77777777" w:rsidR="00096B90" w:rsidRDefault="00096B90">
      <w:r>
        <w:continuationSeparator/>
      </w:r>
    </w:p>
  </w:footnote>
  <w:footnote w:type="continuationNotice" w:id="1">
    <w:p w14:paraId="18FB135B" w14:textId="77777777" w:rsidR="00096B90" w:rsidRDefault="00096B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73F01"/>
    <w:multiLevelType w:val="hybridMultilevel"/>
    <w:tmpl w:val="97F2866C"/>
    <w:lvl w:ilvl="0" w:tplc="234C6074">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1904D6"/>
    <w:multiLevelType w:val="hybridMultilevel"/>
    <w:tmpl w:val="6FCA3304"/>
    <w:lvl w:ilvl="0" w:tplc="F4F8726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CF533B2"/>
    <w:multiLevelType w:val="hybridMultilevel"/>
    <w:tmpl w:val="E5D01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C04FD1"/>
    <w:multiLevelType w:val="hybridMultilevel"/>
    <w:tmpl w:val="537C3DB0"/>
    <w:lvl w:ilvl="0" w:tplc="66AC4B2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906220"/>
    <w:multiLevelType w:val="hybridMultilevel"/>
    <w:tmpl w:val="8682C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353ED"/>
    <w:multiLevelType w:val="hybridMultilevel"/>
    <w:tmpl w:val="33EAF3AA"/>
    <w:lvl w:ilvl="0" w:tplc="B872856E">
      <w:numFmt w:val="bullet"/>
      <w:lvlText w:val=""/>
      <w:lvlJc w:val="left"/>
      <w:pPr>
        <w:ind w:left="928" w:hanging="360"/>
      </w:pPr>
      <w:rPr>
        <w:rFonts w:ascii="Symbol" w:eastAsia="Times New Roman" w:hAnsi="Symbo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AD97B43"/>
    <w:multiLevelType w:val="hybridMultilevel"/>
    <w:tmpl w:val="2F36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C867CC"/>
    <w:multiLevelType w:val="hybridMultilevel"/>
    <w:tmpl w:val="A3DE0A76"/>
    <w:lvl w:ilvl="0" w:tplc="8730A3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8E0EC5"/>
    <w:multiLevelType w:val="hybridMultilevel"/>
    <w:tmpl w:val="A3709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96789A"/>
    <w:multiLevelType w:val="multilevel"/>
    <w:tmpl w:val="EC40D2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1782A49"/>
    <w:multiLevelType w:val="hybridMultilevel"/>
    <w:tmpl w:val="8F44C6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826BCF"/>
    <w:multiLevelType w:val="hybridMultilevel"/>
    <w:tmpl w:val="12BC0DDE"/>
    <w:lvl w:ilvl="0" w:tplc="7B2013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B8306F"/>
    <w:multiLevelType w:val="multilevel"/>
    <w:tmpl w:val="61BE29A8"/>
    <w:lvl w:ilvl="0">
      <w:start w:val="2"/>
      <w:numFmt w:val="decimal"/>
      <w:lvlText w:val="%1"/>
      <w:lvlJc w:val="left"/>
      <w:pPr>
        <w:ind w:left="72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00" w:hanging="72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20" w:hanging="1440"/>
      </w:pPr>
      <w:rPr>
        <w:rFonts w:hint="default"/>
      </w:rPr>
    </w:lvl>
    <w:lvl w:ilvl="8">
      <w:start w:val="1"/>
      <w:numFmt w:val="decimal"/>
      <w:lvlText w:val="%1.%2.%3.%4.%5.%6.%7.%8.%9"/>
      <w:lvlJc w:val="left"/>
      <w:pPr>
        <w:ind w:left="1620" w:hanging="1440"/>
      </w:pPr>
      <w:rPr>
        <w:rFonts w:hint="default"/>
      </w:rPr>
    </w:lvl>
  </w:abstractNum>
  <w:abstractNum w:abstractNumId="22" w15:restartNumberingAfterBreak="0">
    <w:nsid w:val="59B95DB3"/>
    <w:multiLevelType w:val="hybridMultilevel"/>
    <w:tmpl w:val="D8AE3C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CE61F4E"/>
    <w:multiLevelType w:val="hybridMultilevel"/>
    <w:tmpl w:val="63205694"/>
    <w:lvl w:ilvl="0" w:tplc="B872856E">
      <w:numFmt w:val="bullet"/>
      <w:lvlText w:val=""/>
      <w:lvlJc w:val="left"/>
      <w:pPr>
        <w:ind w:left="928"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D26DC4"/>
    <w:multiLevelType w:val="hybridMultilevel"/>
    <w:tmpl w:val="9B2C75B6"/>
    <w:lvl w:ilvl="0" w:tplc="E27094F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1816B95"/>
    <w:multiLevelType w:val="hybridMultilevel"/>
    <w:tmpl w:val="EED64CE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622B5E20"/>
    <w:multiLevelType w:val="hybridMultilevel"/>
    <w:tmpl w:val="852435B6"/>
    <w:lvl w:ilvl="0" w:tplc="E27094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7" w15:restartNumberingAfterBreak="0">
    <w:nsid w:val="648343DD"/>
    <w:multiLevelType w:val="hybridMultilevel"/>
    <w:tmpl w:val="47C02808"/>
    <w:lvl w:ilvl="0" w:tplc="E27094F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9B0BDC"/>
    <w:multiLevelType w:val="hybridMultilevel"/>
    <w:tmpl w:val="561CD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EF475F"/>
    <w:multiLevelType w:val="hybridMultilevel"/>
    <w:tmpl w:val="654EC0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70427B"/>
    <w:multiLevelType w:val="hybridMultilevel"/>
    <w:tmpl w:val="61C67A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93127D1"/>
    <w:multiLevelType w:val="hybridMultilevel"/>
    <w:tmpl w:val="790C3BF6"/>
    <w:lvl w:ilvl="0" w:tplc="E27094F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8"/>
  </w:num>
  <w:num w:numId="5">
    <w:abstractNumId w:val="3"/>
  </w:num>
  <w:num w:numId="6">
    <w:abstractNumId w:val="3"/>
  </w:num>
  <w:num w:numId="7">
    <w:abstractNumId w:val="15"/>
  </w:num>
  <w:num w:numId="8">
    <w:abstractNumId w:val="5"/>
  </w:num>
  <w:num w:numId="9">
    <w:abstractNumId w:val="13"/>
  </w:num>
  <w:num w:numId="10">
    <w:abstractNumId w:val="3"/>
  </w:num>
  <w:num w:numId="11">
    <w:abstractNumId w:val="16"/>
  </w:num>
  <w:num w:numId="12">
    <w:abstractNumId w:val="7"/>
  </w:num>
  <w:num w:numId="13">
    <w:abstractNumId w:val="12"/>
  </w:num>
  <w:num w:numId="14">
    <w:abstractNumId w:val="17"/>
  </w:num>
  <w:num w:numId="15">
    <w:abstractNumId w:val="18"/>
  </w:num>
  <w:num w:numId="16">
    <w:abstractNumId w:val="10"/>
  </w:num>
  <w:num w:numId="17">
    <w:abstractNumId w:val="21"/>
  </w:num>
  <w:num w:numId="18">
    <w:abstractNumId w:val="4"/>
  </w:num>
  <w:num w:numId="19">
    <w:abstractNumId w:val="20"/>
  </w:num>
  <w:num w:numId="20">
    <w:abstractNumId w:val="6"/>
  </w:num>
  <w:num w:numId="21">
    <w:abstractNumId w:val="30"/>
  </w:num>
  <w:num w:numId="22">
    <w:abstractNumId w:val="25"/>
  </w:num>
  <w:num w:numId="23">
    <w:abstractNumId w:val="11"/>
  </w:num>
  <w:num w:numId="24">
    <w:abstractNumId w:val="23"/>
  </w:num>
  <w:num w:numId="25">
    <w:abstractNumId w:val="9"/>
  </w:num>
  <w:num w:numId="26">
    <w:abstractNumId w:val="8"/>
  </w:num>
  <w:num w:numId="27">
    <w:abstractNumId w:val="19"/>
  </w:num>
  <w:num w:numId="28">
    <w:abstractNumId w:val="31"/>
  </w:num>
  <w:num w:numId="29">
    <w:abstractNumId w:val="1"/>
  </w:num>
  <w:num w:numId="30">
    <w:abstractNumId w:val="29"/>
  </w:num>
  <w:num w:numId="31">
    <w:abstractNumId w:val="14"/>
  </w:num>
  <w:num w:numId="32">
    <w:abstractNumId w:val="22"/>
  </w:num>
  <w:num w:numId="33">
    <w:abstractNumId w:val="32"/>
  </w:num>
  <w:num w:numId="34">
    <w:abstractNumId w:val="24"/>
  </w:num>
  <w:num w:numId="35">
    <w:abstractNumId w:val="27"/>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hne, Mark A">
    <w15:presenceInfo w15:providerId="AD" w15:userId="S::mark.a.lehne@intel.com::1a939748-37e8-4456-8aae-1d8ae891f42c"/>
  </w15:person>
  <w15:person w15:author="Ericsson">
    <w15:presenceInfo w15:providerId="None" w15:userId="Ericsson"/>
  </w15:person>
  <w15:person w15:author="Nokia">
    <w15:presenceInfo w15:providerId="None" w15:userId="Nokia"/>
  </w15:person>
  <w15:person w15:author="ChinaTelecom - Lei Gao">
    <w15:presenceInfo w15:providerId="None" w15:userId="ChinaTelecom - Lei Gao"/>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63"/>
    <w:rsid w:val="00004AD2"/>
    <w:rsid w:val="000054EA"/>
    <w:rsid w:val="00006BD2"/>
    <w:rsid w:val="00010CF5"/>
    <w:rsid w:val="00011A68"/>
    <w:rsid w:val="00012728"/>
    <w:rsid w:val="000138FF"/>
    <w:rsid w:val="00014116"/>
    <w:rsid w:val="0001418C"/>
    <w:rsid w:val="00014928"/>
    <w:rsid w:val="000153AE"/>
    <w:rsid w:val="00015948"/>
    <w:rsid w:val="00015E4F"/>
    <w:rsid w:val="00015E95"/>
    <w:rsid w:val="00016EE5"/>
    <w:rsid w:val="00017283"/>
    <w:rsid w:val="00020326"/>
    <w:rsid w:val="00020A6E"/>
    <w:rsid w:val="00020B5F"/>
    <w:rsid w:val="00020C04"/>
    <w:rsid w:val="00021F7F"/>
    <w:rsid w:val="00023AB9"/>
    <w:rsid w:val="000255A7"/>
    <w:rsid w:val="00025CDD"/>
    <w:rsid w:val="00026576"/>
    <w:rsid w:val="000277F1"/>
    <w:rsid w:val="000309BF"/>
    <w:rsid w:val="00031969"/>
    <w:rsid w:val="00031B18"/>
    <w:rsid w:val="00031C32"/>
    <w:rsid w:val="00032C6C"/>
    <w:rsid w:val="00033397"/>
    <w:rsid w:val="00033534"/>
    <w:rsid w:val="000366BF"/>
    <w:rsid w:val="00036A6D"/>
    <w:rsid w:val="00036B6E"/>
    <w:rsid w:val="00036DDA"/>
    <w:rsid w:val="000375F3"/>
    <w:rsid w:val="0003769D"/>
    <w:rsid w:val="00037838"/>
    <w:rsid w:val="00040095"/>
    <w:rsid w:val="00041B57"/>
    <w:rsid w:val="000423FF"/>
    <w:rsid w:val="00043032"/>
    <w:rsid w:val="00043CEE"/>
    <w:rsid w:val="0004520D"/>
    <w:rsid w:val="00045505"/>
    <w:rsid w:val="00046102"/>
    <w:rsid w:val="00047B62"/>
    <w:rsid w:val="00047E6D"/>
    <w:rsid w:val="0005003F"/>
    <w:rsid w:val="00051834"/>
    <w:rsid w:val="00051976"/>
    <w:rsid w:val="00052248"/>
    <w:rsid w:val="00053808"/>
    <w:rsid w:val="00054A22"/>
    <w:rsid w:val="00055B36"/>
    <w:rsid w:val="00055E8B"/>
    <w:rsid w:val="000574E5"/>
    <w:rsid w:val="000612D2"/>
    <w:rsid w:val="00061A86"/>
    <w:rsid w:val="00061E44"/>
    <w:rsid w:val="00062023"/>
    <w:rsid w:val="0006281A"/>
    <w:rsid w:val="00063C78"/>
    <w:rsid w:val="00063D26"/>
    <w:rsid w:val="00063ED4"/>
    <w:rsid w:val="0006419E"/>
    <w:rsid w:val="000655A6"/>
    <w:rsid w:val="000655CA"/>
    <w:rsid w:val="00065C77"/>
    <w:rsid w:val="0006735E"/>
    <w:rsid w:val="0006758E"/>
    <w:rsid w:val="000678C0"/>
    <w:rsid w:val="000705E7"/>
    <w:rsid w:val="00070EEC"/>
    <w:rsid w:val="00071512"/>
    <w:rsid w:val="00071F67"/>
    <w:rsid w:val="00072FB5"/>
    <w:rsid w:val="00074AB0"/>
    <w:rsid w:val="000752E8"/>
    <w:rsid w:val="00075343"/>
    <w:rsid w:val="000759ED"/>
    <w:rsid w:val="000762F6"/>
    <w:rsid w:val="00080512"/>
    <w:rsid w:val="00080C5B"/>
    <w:rsid w:val="00081BC4"/>
    <w:rsid w:val="00082B33"/>
    <w:rsid w:val="000835A0"/>
    <w:rsid w:val="0008375C"/>
    <w:rsid w:val="000837B8"/>
    <w:rsid w:val="000852CB"/>
    <w:rsid w:val="00085DEC"/>
    <w:rsid w:val="00086B64"/>
    <w:rsid w:val="000874DA"/>
    <w:rsid w:val="00087CFA"/>
    <w:rsid w:val="00090321"/>
    <w:rsid w:val="00091420"/>
    <w:rsid w:val="00092734"/>
    <w:rsid w:val="00092DB5"/>
    <w:rsid w:val="00093669"/>
    <w:rsid w:val="000951DF"/>
    <w:rsid w:val="00095CF8"/>
    <w:rsid w:val="00096B90"/>
    <w:rsid w:val="00096C94"/>
    <w:rsid w:val="00096CA8"/>
    <w:rsid w:val="0009755D"/>
    <w:rsid w:val="000A0B51"/>
    <w:rsid w:val="000A15EB"/>
    <w:rsid w:val="000A2BB8"/>
    <w:rsid w:val="000A2DD7"/>
    <w:rsid w:val="000A2DFC"/>
    <w:rsid w:val="000A365D"/>
    <w:rsid w:val="000A3959"/>
    <w:rsid w:val="000A3ADF"/>
    <w:rsid w:val="000A3E20"/>
    <w:rsid w:val="000A46B9"/>
    <w:rsid w:val="000A4D92"/>
    <w:rsid w:val="000A50C1"/>
    <w:rsid w:val="000A536F"/>
    <w:rsid w:val="000A5611"/>
    <w:rsid w:val="000A5B8B"/>
    <w:rsid w:val="000A5BEB"/>
    <w:rsid w:val="000A658D"/>
    <w:rsid w:val="000A6845"/>
    <w:rsid w:val="000A7DDF"/>
    <w:rsid w:val="000A7E3A"/>
    <w:rsid w:val="000B14F0"/>
    <w:rsid w:val="000B35AA"/>
    <w:rsid w:val="000B3F5A"/>
    <w:rsid w:val="000B64B8"/>
    <w:rsid w:val="000B6E4A"/>
    <w:rsid w:val="000C130B"/>
    <w:rsid w:val="000C16B5"/>
    <w:rsid w:val="000C2775"/>
    <w:rsid w:val="000C34C1"/>
    <w:rsid w:val="000C47C3"/>
    <w:rsid w:val="000C49F1"/>
    <w:rsid w:val="000C512C"/>
    <w:rsid w:val="000C60E0"/>
    <w:rsid w:val="000C7B5A"/>
    <w:rsid w:val="000D0B14"/>
    <w:rsid w:val="000D0D17"/>
    <w:rsid w:val="000D1EC0"/>
    <w:rsid w:val="000D2B45"/>
    <w:rsid w:val="000D31CD"/>
    <w:rsid w:val="000D4DE7"/>
    <w:rsid w:val="000D50C1"/>
    <w:rsid w:val="000D56E0"/>
    <w:rsid w:val="000D58AB"/>
    <w:rsid w:val="000D5EA3"/>
    <w:rsid w:val="000D5F38"/>
    <w:rsid w:val="000E0686"/>
    <w:rsid w:val="000E0EC4"/>
    <w:rsid w:val="000E0FB7"/>
    <w:rsid w:val="000E2E08"/>
    <w:rsid w:val="000E3893"/>
    <w:rsid w:val="000E6105"/>
    <w:rsid w:val="000E6278"/>
    <w:rsid w:val="000E745B"/>
    <w:rsid w:val="000E74AB"/>
    <w:rsid w:val="000F01B8"/>
    <w:rsid w:val="000F06B2"/>
    <w:rsid w:val="000F0EAD"/>
    <w:rsid w:val="000F16C1"/>
    <w:rsid w:val="000F22CB"/>
    <w:rsid w:val="000F2FBE"/>
    <w:rsid w:val="000F3194"/>
    <w:rsid w:val="000F3455"/>
    <w:rsid w:val="000F3F50"/>
    <w:rsid w:val="000F4A6D"/>
    <w:rsid w:val="000F572F"/>
    <w:rsid w:val="000F68C3"/>
    <w:rsid w:val="000F7371"/>
    <w:rsid w:val="00100253"/>
    <w:rsid w:val="001023D7"/>
    <w:rsid w:val="00102D44"/>
    <w:rsid w:val="001032F3"/>
    <w:rsid w:val="00104BC6"/>
    <w:rsid w:val="00105674"/>
    <w:rsid w:val="00107896"/>
    <w:rsid w:val="00112BF4"/>
    <w:rsid w:val="001133AB"/>
    <w:rsid w:val="00114F8F"/>
    <w:rsid w:val="001152D7"/>
    <w:rsid w:val="00117F50"/>
    <w:rsid w:val="001200B1"/>
    <w:rsid w:val="0012087C"/>
    <w:rsid w:val="0012090B"/>
    <w:rsid w:val="00122B1F"/>
    <w:rsid w:val="0012372A"/>
    <w:rsid w:val="00123ECB"/>
    <w:rsid w:val="00124EE8"/>
    <w:rsid w:val="00124FD7"/>
    <w:rsid w:val="0012507F"/>
    <w:rsid w:val="00125821"/>
    <w:rsid w:val="00125BA7"/>
    <w:rsid w:val="00127E86"/>
    <w:rsid w:val="00130742"/>
    <w:rsid w:val="00132DC9"/>
    <w:rsid w:val="00133451"/>
    <w:rsid w:val="00133525"/>
    <w:rsid w:val="001339E1"/>
    <w:rsid w:val="00133AE1"/>
    <w:rsid w:val="0013414B"/>
    <w:rsid w:val="00136554"/>
    <w:rsid w:val="00136FA6"/>
    <w:rsid w:val="0013714F"/>
    <w:rsid w:val="0013770C"/>
    <w:rsid w:val="001404AD"/>
    <w:rsid w:val="00140CE3"/>
    <w:rsid w:val="00141611"/>
    <w:rsid w:val="0014230F"/>
    <w:rsid w:val="00143737"/>
    <w:rsid w:val="00143A78"/>
    <w:rsid w:val="001451DE"/>
    <w:rsid w:val="00145453"/>
    <w:rsid w:val="00145FD8"/>
    <w:rsid w:val="00146EA0"/>
    <w:rsid w:val="00150382"/>
    <w:rsid w:val="00150836"/>
    <w:rsid w:val="00152B26"/>
    <w:rsid w:val="001536CD"/>
    <w:rsid w:val="00155E1F"/>
    <w:rsid w:val="001560B6"/>
    <w:rsid w:val="001579A6"/>
    <w:rsid w:val="00157FC7"/>
    <w:rsid w:val="001602BE"/>
    <w:rsid w:val="001609EF"/>
    <w:rsid w:val="001611DF"/>
    <w:rsid w:val="001642D7"/>
    <w:rsid w:val="00164A2C"/>
    <w:rsid w:val="001659B8"/>
    <w:rsid w:val="00165DB8"/>
    <w:rsid w:val="00166FC9"/>
    <w:rsid w:val="00167F1A"/>
    <w:rsid w:val="00167F7C"/>
    <w:rsid w:val="001707E3"/>
    <w:rsid w:val="00170D5C"/>
    <w:rsid w:val="001712BB"/>
    <w:rsid w:val="00171EAE"/>
    <w:rsid w:val="001723D0"/>
    <w:rsid w:val="00173C11"/>
    <w:rsid w:val="00175496"/>
    <w:rsid w:val="001802C7"/>
    <w:rsid w:val="0018051C"/>
    <w:rsid w:val="00181BBB"/>
    <w:rsid w:val="00181F82"/>
    <w:rsid w:val="001823BF"/>
    <w:rsid w:val="00182F3E"/>
    <w:rsid w:val="001846B7"/>
    <w:rsid w:val="00186519"/>
    <w:rsid w:val="00187362"/>
    <w:rsid w:val="001901B5"/>
    <w:rsid w:val="00190984"/>
    <w:rsid w:val="00193A9B"/>
    <w:rsid w:val="00196962"/>
    <w:rsid w:val="00196EAF"/>
    <w:rsid w:val="0019748B"/>
    <w:rsid w:val="001A00EB"/>
    <w:rsid w:val="001A1523"/>
    <w:rsid w:val="001A29F8"/>
    <w:rsid w:val="001A40B2"/>
    <w:rsid w:val="001A4A9A"/>
    <w:rsid w:val="001A4C42"/>
    <w:rsid w:val="001A5D00"/>
    <w:rsid w:val="001A608A"/>
    <w:rsid w:val="001A716A"/>
    <w:rsid w:val="001B034A"/>
    <w:rsid w:val="001B0980"/>
    <w:rsid w:val="001B1C40"/>
    <w:rsid w:val="001B345B"/>
    <w:rsid w:val="001B4A62"/>
    <w:rsid w:val="001B4ED7"/>
    <w:rsid w:val="001B77D8"/>
    <w:rsid w:val="001C1EC7"/>
    <w:rsid w:val="001C21C3"/>
    <w:rsid w:val="001C238C"/>
    <w:rsid w:val="001C4438"/>
    <w:rsid w:val="001C461F"/>
    <w:rsid w:val="001C4B4E"/>
    <w:rsid w:val="001C51F8"/>
    <w:rsid w:val="001C5F1A"/>
    <w:rsid w:val="001C7542"/>
    <w:rsid w:val="001D02C2"/>
    <w:rsid w:val="001D165D"/>
    <w:rsid w:val="001D1BD7"/>
    <w:rsid w:val="001D46C3"/>
    <w:rsid w:val="001E1F91"/>
    <w:rsid w:val="001E349F"/>
    <w:rsid w:val="001E55C2"/>
    <w:rsid w:val="001E5743"/>
    <w:rsid w:val="001E5822"/>
    <w:rsid w:val="001E5DC9"/>
    <w:rsid w:val="001E7EB8"/>
    <w:rsid w:val="001F020D"/>
    <w:rsid w:val="001F086F"/>
    <w:rsid w:val="001F0C1D"/>
    <w:rsid w:val="001F1132"/>
    <w:rsid w:val="001F168B"/>
    <w:rsid w:val="001F1A1D"/>
    <w:rsid w:val="001F1F8F"/>
    <w:rsid w:val="001F2F62"/>
    <w:rsid w:val="001F4E95"/>
    <w:rsid w:val="001F602A"/>
    <w:rsid w:val="001F61DB"/>
    <w:rsid w:val="001F6911"/>
    <w:rsid w:val="001F6FA7"/>
    <w:rsid w:val="001F6FEF"/>
    <w:rsid w:val="00200D36"/>
    <w:rsid w:val="002023B6"/>
    <w:rsid w:val="00203C41"/>
    <w:rsid w:val="00205ACA"/>
    <w:rsid w:val="00206799"/>
    <w:rsid w:val="00206B8E"/>
    <w:rsid w:val="00206BED"/>
    <w:rsid w:val="00207223"/>
    <w:rsid w:val="00207D30"/>
    <w:rsid w:val="0021047D"/>
    <w:rsid w:val="002108CE"/>
    <w:rsid w:val="00212802"/>
    <w:rsid w:val="002134BB"/>
    <w:rsid w:val="00221094"/>
    <w:rsid w:val="00223880"/>
    <w:rsid w:val="00226222"/>
    <w:rsid w:val="00227ABB"/>
    <w:rsid w:val="0023097D"/>
    <w:rsid w:val="002315A5"/>
    <w:rsid w:val="002316BE"/>
    <w:rsid w:val="002317C5"/>
    <w:rsid w:val="00231D38"/>
    <w:rsid w:val="00231F7B"/>
    <w:rsid w:val="00232834"/>
    <w:rsid w:val="002329A0"/>
    <w:rsid w:val="00233CDA"/>
    <w:rsid w:val="002347A2"/>
    <w:rsid w:val="00235E75"/>
    <w:rsid w:val="0023645E"/>
    <w:rsid w:val="002366A3"/>
    <w:rsid w:val="00240197"/>
    <w:rsid w:val="0024285C"/>
    <w:rsid w:val="00243D91"/>
    <w:rsid w:val="002450D8"/>
    <w:rsid w:val="00245539"/>
    <w:rsid w:val="00245ED0"/>
    <w:rsid w:val="00246739"/>
    <w:rsid w:val="00246D18"/>
    <w:rsid w:val="00247926"/>
    <w:rsid w:val="00247B38"/>
    <w:rsid w:val="002513AD"/>
    <w:rsid w:val="00253BAB"/>
    <w:rsid w:val="00253F4E"/>
    <w:rsid w:val="00253FE8"/>
    <w:rsid w:val="00255B0C"/>
    <w:rsid w:val="00256FCD"/>
    <w:rsid w:val="002574EC"/>
    <w:rsid w:val="00257889"/>
    <w:rsid w:val="00257DD8"/>
    <w:rsid w:val="00260C88"/>
    <w:rsid w:val="0026218D"/>
    <w:rsid w:val="00265884"/>
    <w:rsid w:val="00266BA8"/>
    <w:rsid w:val="0026732A"/>
    <w:rsid w:val="002675F0"/>
    <w:rsid w:val="002704B1"/>
    <w:rsid w:val="002718BD"/>
    <w:rsid w:val="00271908"/>
    <w:rsid w:val="0027353C"/>
    <w:rsid w:val="0027384C"/>
    <w:rsid w:val="00275C99"/>
    <w:rsid w:val="00276EE4"/>
    <w:rsid w:val="002778FF"/>
    <w:rsid w:val="0028092A"/>
    <w:rsid w:val="00281AB7"/>
    <w:rsid w:val="00284FC8"/>
    <w:rsid w:val="0029138C"/>
    <w:rsid w:val="00293217"/>
    <w:rsid w:val="00293D1A"/>
    <w:rsid w:val="00293D3A"/>
    <w:rsid w:val="00294172"/>
    <w:rsid w:val="002942F6"/>
    <w:rsid w:val="002954D8"/>
    <w:rsid w:val="00296765"/>
    <w:rsid w:val="002967D2"/>
    <w:rsid w:val="00296ABC"/>
    <w:rsid w:val="00297672"/>
    <w:rsid w:val="00297A9D"/>
    <w:rsid w:val="00297EDE"/>
    <w:rsid w:val="002A295A"/>
    <w:rsid w:val="002A3AF6"/>
    <w:rsid w:val="002A4147"/>
    <w:rsid w:val="002A5128"/>
    <w:rsid w:val="002A5741"/>
    <w:rsid w:val="002A5EC7"/>
    <w:rsid w:val="002A64D3"/>
    <w:rsid w:val="002A7569"/>
    <w:rsid w:val="002B0A1B"/>
    <w:rsid w:val="002B1EFD"/>
    <w:rsid w:val="002B2391"/>
    <w:rsid w:val="002B34E7"/>
    <w:rsid w:val="002B5AFE"/>
    <w:rsid w:val="002B5E86"/>
    <w:rsid w:val="002B6339"/>
    <w:rsid w:val="002B6B5A"/>
    <w:rsid w:val="002B6D37"/>
    <w:rsid w:val="002B74E8"/>
    <w:rsid w:val="002C0306"/>
    <w:rsid w:val="002C37D7"/>
    <w:rsid w:val="002C43C3"/>
    <w:rsid w:val="002C484D"/>
    <w:rsid w:val="002C4C21"/>
    <w:rsid w:val="002C52A2"/>
    <w:rsid w:val="002C7029"/>
    <w:rsid w:val="002C7076"/>
    <w:rsid w:val="002D1886"/>
    <w:rsid w:val="002D2057"/>
    <w:rsid w:val="002D2B06"/>
    <w:rsid w:val="002D2CA7"/>
    <w:rsid w:val="002D3731"/>
    <w:rsid w:val="002D375A"/>
    <w:rsid w:val="002D4494"/>
    <w:rsid w:val="002D4B6D"/>
    <w:rsid w:val="002D4ED6"/>
    <w:rsid w:val="002D506C"/>
    <w:rsid w:val="002D5328"/>
    <w:rsid w:val="002D601C"/>
    <w:rsid w:val="002D692B"/>
    <w:rsid w:val="002E00EE"/>
    <w:rsid w:val="002E05C2"/>
    <w:rsid w:val="002E16C1"/>
    <w:rsid w:val="002E2561"/>
    <w:rsid w:val="002E43D1"/>
    <w:rsid w:val="002E4EA8"/>
    <w:rsid w:val="002E5973"/>
    <w:rsid w:val="002E5C76"/>
    <w:rsid w:val="002E6E67"/>
    <w:rsid w:val="002E7463"/>
    <w:rsid w:val="002F057E"/>
    <w:rsid w:val="002F2CF6"/>
    <w:rsid w:val="002F4522"/>
    <w:rsid w:val="002F534A"/>
    <w:rsid w:val="002F553F"/>
    <w:rsid w:val="002F5DDF"/>
    <w:rsid w:val="002F6258"/>
    <w:rsid w:val="002F6A3B"/>
    <w:rsid w:val="00300E63"/>
    <w:rsid w:val="00300EB5"/>
    <w:rsid w:val="00302E5F"/>
    <w:rsid w:val="00304A66"/>
    <w:rsid w:val="00304B83"/>
    <w:rsid w:val="003050AC"/>
    <w:rsid w:val="00305EAE"/>
    <w:rsid w:val="003100C8"/>
    <w:rsid w:val="0031034F"/>
    <w:rsid w:val="0031063C"/>
    <w:rsid w:val="00310690"/>
    <w:rsid w:val="00310DB2"/>
    <w:rsid w:val="0031249F"/>
    <w:rsid w:val="00313552"/>
    <w:rsid w:val="00313DC5"/>
    <w:rsid w:val="00313DE0"/>
    <w:rsid w:val="0031557D"/>
    <w:rsid w:val="003157DB"/>
    <w:rsid w:val="003172DC"/>
    <w:rsid w:val="0032162E"/>
    <w:rsid w:val="00321A8A"/>
    <w:rsid w:val="003228EA"/>
    <w:rsid w:val="003244F6"/>
    <w:rsid w:val="003261C8"/>
    <w:rsid w:val="00327856"/>
    <w:rsid w:val="00330C16"/>
    <w:rsid w:val="00331CA9"/>
    <w:rsid w:val="00331CF3"/>
    <w:rsid w:val="00332088"/>
    <w:rsid w:val="0033249E"/>
    <w:rsid w:val="003325AB"/>
    <w:rsid w:val="00333733"/>
    <w:rsid w:val="003337AD"/>
    <w:rsid w:val="0033425A"/>
    <w:rsid w:val="00340890"/>
    <w:rsid w:val="00340926"/>
    <w:rsid w:val="0034255A"/>
    <w:rsid w:val="00343024"/>
    <w:rsid w:val="00343EEF"/>
    <w:rsid w:val="00344432"/>
    <w:rsid w:val="00344606"/>
    <w:rsid w:val="00344F82"/>
    <w:rsid w:val="00345921"/>
    <w:rsid w:val="00345A40"/>
    <w:rsid w:val="00345F92"/>
    <w:rsid w:val="003477A5"/>
    <w:rsid w:val="003478E1"/>
    <w:rsid w:val="0035169A"/>
    <w:rsid w:val="00351897"/>
    <w:rsid w:val="003520A7"/>
    <w:rsid w:val="00352341"/>
    <w:rsid w:val="003527B1"/>
    <w:rsid w:val="00352E88"/>
    <w:rsid w:val="0035462D"/>
    <w:rsid w:val="00354A7E"/>
    <w:rsid w:val="00354AFC"/>
    <w:rsid w:val="00356834"/>
    <w:rsid w:val="00360686"/>
    <w:rsid w:val="00360FA2"/>
    <w:rsid w:val="0036141E"/>
    <w:rsid w:val="00361BB6"/>
    <w:rsid w:val="003622A5"/>
    <w:rsid w:val="003631EB"/>
    <w:rsid w:val="0036611E"/>
    <w:rsid w:val="00366A6D"/>
    <w:rsid w:val="0037004F"/>
    <w:rsid w:val="003701AC"/>
    <w:rsid w:val="00370BB7"/>
    <w:rsid w:val="0037197D"/>
    <w:rsid w:val="00372597"/>
    <w:rsid w:val="00372E45"/>
    <w:rsid w:val="00373100"/>
    <w:rsid w:val="0037330B"/>
    <w:rsid w:val="003753AF"/>
    <w:rsid w:val="003765B8"/>
    <w:rsid w:val="00376C04"/>
    <w:rsid w:val="003776AE"/>
    <w:rsid w:val="00377BF5"/>
    <w:rsid w:val="00380281"/>
    <w:rsid w:val="0038066E"/>
    <w:rsid w:val="00380AB1"/>
    <w:rsid w:val="00381858"/>
    <w:rsid w:val="00381990"/>
    <w:rsid w:val="003825D4"/>
    <w:rsid w:val="00382CDA"/>
    <w:rsid w:val="00382EF8"/>
    <w:rsid w:val="003843E6"/>
    <w:rsid w:val="00384639"/>
    <w:rsid w:val="0038508E"/>
    <w:rsid w:val="003863D3"/>
    <w:rsid w:val="00387B22"/>
    <w:rsid w:val="003907F5"/>
    <w:rsid w:val="003941C9"/>
    <w:rsid w:val="00394D23"/>
    <w:rsid w:val="00396185"/>
    <w:rsid w:val="003961CB"/>
    <w:rsid w:val="00397EA1"/>
    <w:rsid w:val="003A0414"/>
    <w:rsid w:val="003A0483"/>
    <w:rsid w:val="003A0B3D"/>
    <w:rsid w:val="003A6074"/>
    <w:rsid w:val="003A7BCF"/>
    <w:rsid w:val="003B013A"/>
    <w:rsid w:val="003B3595"/>
    <w:rsid w:val="003B3715"/>
    <w:rsid w:val="003B400D"/>
    <w:rsid w:val="003B4143"/>
    <w:rsid w:val="003B53DF"/>
    <w:rsid w:val="003B5784"/>
    <w:rsid w:val="003B6417"/>
    <w:rsid w:val="003B6684"/>
    <w:rsid w:val="003B7061"/>
    <w:rsid w:val="003B7FCF"/>
    <w:rsid w:val="003C13E2"/>
    <w:rsid w:val="003C244E"/>
    <w:rsid w:val="003C3971"/>
    <w:rsid w:val="003C3A79"/>
    <w:rsid w:val="003C498D"/>
    <w:rsid w:val="003C564B"/>
    <w:rsid w:val="003C6155"/>
    <w:rsid w:val="003D080D"/>
    <w:rsid w:val="003D19E0"/>
    <w:rsid w:val="003D2C06"/>
    <w:rsid w:val="003D2F32"/>
    <w:rsid w:val="003D4705"/>
    <w:rsid w:val="003D4B13"/>
    <w:rsid w:val="003D5D30"/>
    <w:rsid w:val="003D6553"/>
    <w:rsid w:val="003D67FD"/>
    <w:rsid w:val="003E148E"/>
    <w:rsid w:val="003E2302"/>
    <w:rsid w:val="003E3CF2"/>
    <w:rsid w:val="003E3E78"/>
    <w:rsid w:val="003E4934"/>
    <w:rsid w:val="003E7651"/>
    <w:rsid w:val="003E7753"/>
    <w:rsid w:val="003E7D70"/>
    <w:rsid w:val="003F0253"/>
    <w:rsid w:val="003F03F2"/>
    <w:rsid w:val="003F10A2"/>
    <w:rsid w:val="003F1D6E"/>
    <w:rsid w:val="003F24A3"/>
    <w:rsid w:val="003F260B"/>
    <w:rsid w:val="003F27D4"/>
    <w:rsid w:val="003F27DA"/>
    <w:rsid w:val="003F2DDD"/>
    <w:rsid w:val="003F36C1"/>
    <w:rsid w:val="003F4864"/>
    <w:rsid w:val="003F68DA"/>
    <w:rsid w:val="003F7340"/>
    <w:rsid w:val="003F7F27"/>
    <w:rsid w:val="0040103B"/>
    <w:rsid w:val="004016FE"/>
    <w:rsid w:val="004064B6"/>
    <w:rsid w:val="004064EB"/>
    <w:rsid w:val="004065BD"/>
    <w:rsid w:val="004117CD"/>
    <w:rsid w:val="00411846"/>
    <w:rsid w:val="004127D9"/>
    <w:rsid w:val="00413124"/>
    <w:rsid w:val="00413528"/>
    <w:rsid w:val="00414216"/>
    <w:rsid w:val="004142CA"/>
    <w:rsid w:val="00414301"/>
    <w:rsid w:val="00414518"/>
    <w:rsid w:val="00415280"/>
    <w:rsid w:val="004154D0"/>
    <w:rsid w:val="004166F7"/>
    <w:rsid w:val="00416935"/>
    <w:rsid w:val="00417F89"/>
    <w:rsid w:val="00420481"/>
    <w:rsid w:val="00420C77"/>
    <w:rsid w:val="004211F1"/>
    <w:rsid w:val="00421F35"/>
    <w:rsid w:val="00423334"/>
    <w:rsid w:val="00424356"/>
    <w:rsid w:val="00424FE0"/>
    <w:rsid w:val="00425F68"/>
    <w:rsid w:val="0042644D"/>
    <w:rsid w:val="004267DF"/>
    <w:rsid w:val="00426CF8"/>
    <w:rsid w:val="004302F3"/>
    <w:rsid w:val="00431772"/>
    <w:rsid w:val="00433E14"/>
    <w:rsid w:val="004345EC"/>
    <w:rsid w:val="00440440"/>
    <w:rsid w:val="00442521"/>
    <w:rsid w:val="004439C2"/>
    <w:rsid w:val="0044429D"/>
    <w:rsid w:val="00444E20"/>
    <w:rsid w:val="0045015D"/>
    <w:rsid w:val="004507F1"/>
    <w:rsid w:val="00454D81"/>
    <w:rsid w:val="00455F03"/>
    <w:rsid w:val="0045703E"/>
    <w:rsid w:val="004601F7"/>
    <w:rsid w:val="00460FE4"/>
    <w:rsid w:val="00462636"/>
    <w:rsid w:val="004635FF"/>
    <w:rsid w:val="004645AC"/>
    <w:rsid w:val="004647B0"/>
    <w:rsid w:val="004647BD"/>
    <w:rsid w:val="004647C4"/>
    <w:rsid w:val="004648D3"/>
    <w:rsid w:val="00464CC0"/>
    <w:rsid w:val="0046536C"/>
    <w:rsid w:val="0046613A"/>
    <w:rsid w:val="00466DBC"/>
    <w:rsid w:val="0046742D"/>
    <w:rsid w:val="004712E9"/>
    <w:rsid w:val="0047280B"/>
    <w:rsid w:val="00473684"/>
    <w:rsid w:val="00473A1A"/>
    <w:rsid w:val="00475331"/>
    <w:rsid w:val="004759B8"/>
    <w:rsid w:val="00477FFD"/>
    <w:rsid w:val="00481E34"/>
    <w:rsid w:val="004826A9"/>
    <w:rsid w:val="00482CA3"/>
    <w:rsid w:val="00483A87"/>
    <w:rsid w:val="00484400"/>
    <w:rsid w:val="00485EB8"/>
    <w:rsid w:val="00486160"/>
    <w:rsid w:val="00486617"/>
    <w:rsid w:val="00486941"/>
    <w:rsid w:val="004877F2"/>
    <w:rsid w:val="00491418"/>
    <w:rsid w:val="00492184"/>
    <w:rsid w:val="00492441"/>
    <w:rsid w:val="00493D51"/>
    <w:rsid w:val="00494253"/>
    <w:rsid w:val="004A0F3A"/>
    <w:rsid w:val="004A225B"/>
    <w:rsid w:val="004A3C50"/>
    <w:rsid w:val="004A4600"/>
    <w:rsid w:val="004A634D"/>
    <w:rsid w:val="004A6E73"/>
    <w:rsid w:val="004B003A"/>
    <w:rsid w:val="004B1289"/>
    <w:rsid w:val="004B223C"/>
    <w:rsid w:val="004B25EE"/>
    <w:rsid w:val="004B2602"/>
    <w:rsid w:val="004B354A"/>
    <w:rsid w:val="004B5103"/>
    <w:rsid w:val="004B5884"/>
    <w:rsid w:val="004B632A"/>
    <w:rsid w:val="004B634D"/>
    <w:rsid w:val="004B6A9C"/>
    <w:rsid w:val="004B7D84"/>
    <w:rsid w:val="004C0509"/>
    <w:rsid w:val="004C154B"/>
    <w:rsid w:val="004C1601"/>
    <w:rsid w:val="004C18F2"/>
    <w:rsid w:val="004C2C2C"/>
    <w:rsid w:val="004C36E7"/>
    <w:rsid w:val="004C4DCD"/>
    <w:rsid w:val="004C6E0D"/>
    <w:rsid w:val="004C6E27"/>
    <w:rsid w:val="004C6FBE"/>
    <w:rsid w:val="004C7B52"/>
    <w:rsid w:val="004D034A"/>
    <w:rsid w:val="004D3578"/>
    <w:rsid w:val="004D3C34"/>
    <w:rsid w:val="004D4001"/>
    <w:rsid w:val="004D40A9"/>
    <w:rsid w:val="004D43AC"/>
    <w:rsid w:val="004D4B30"/>
    <w:rsid w:val="004D5686"/>
    <w:rsid w:val="004D5C5B"/>
    <w:rsid w:val="004D6E8D"/>
    <w:rsid w:val="004E05B7"/>
    <w:rsid w:val="004E1BB4"/>
    <w:rsid w:val="004E1FFB"/>
    <w:rsid w:val="004E213A"/>
    <w:rsid w:val="004E3119"/>
    <w:rsid w:val="004E323C"/>
    <w:rsid w:val="004E3505"/>
    <w:rsid w:val="004E5493"/>
    <w:rsid w:val="004E72B4"/>
    <w:rsid w:val="004F0988"/>
    <w:rsid w:val="004F15FA"/>
    <w:rsid w:val="004F1EEB"/>
    <w:rsid w:val="004F1F9A"/>
    <w:rsid w:val="004F3340"/>
    <w:rsid w:val="004F3366"/>
    <w:rsid w:val="004F3E3D"/>
    <w:rsid w:val="004F60BA"/>
    <w:rsid w:val="004F624E"/>
    <w:rsid w:val="004F6680"/>
    <w:rsid w:val="004F72EC"/>
    <w:rsid w:val="004F7744"/>
    <w:rsid w:val="004F7F0A"/>
    <w:rsid w:val="0050054E"/>
    <w:rsid w:val="00500864"/>
    <w:rsid w:val="005020AC"/>
    <w:rsid w:val="005024B8"/>
    <w:rsid w:val="005027E7"/>
    <w:rsid w:val="00503775"/>
    <w:rsid w:val="00504189"/>
    <w:rsid w:val="005056C9"/>
    <w:rsid w:val="005077EB"/>
    <w:rsid w:val="00507E83"/>
    <w:rsid w:val="00511B0A"/>
    <w:rsid w:val="0051480A"/>
    <w:rsid w:val="0051538A"/>
    <w:rsid w:val="005155EF"/>
    <w:rsid w:val="00515BB2"/>
    <w:rsid w:val="00515C37"/>
    <w:rsid w:val="00516403"/>
    <w:rsid w:val="00516EC5"/>
    <w:rsid w:val="005214A0"/>
    <w:rsid w:val="00521C56"/>
    <w:rsid w:val="005244C8"/>
    <w:rsid w:val="005250C8"/>
    <w:rsid w:val="005265E0"/>
    <w:rsid w:val="00526671"/>
    <w:rsid w:val="00526CFF"/>
    <w:rsid w:val="00526E1F"/>
    <w:rsid w:val="005277AE"/>
    <w:rsid w:val="0053083C"/>
    <w:rsid w:val="00531ADC"/>
    <w:rsid w:val="00531FCF"/>
    <w:rsid w:val="00533050"/>
    <w:rsid w:val="0053388B"/>
    <w:rsid w:val="00533C0B"/>
    <w:rsid w:val="00533DCC"/>
    <w:rsid w:val="00533DE9"/>
    <w:rsid w:val="00535759"/>
    <w:rsid w:val="00535773"/>
    <w:rsid w:val="005357C8"/>
    <w:rsid w:val="00535D41"/>
    <w:rsid w:val="00535F56"/>
    <w:rsid w:val="00536087"/>
    <w:rsid w:val="0053639B"/>
    <w:rsid w:val="00536F81"/>
    <w:rsid w:val="005371EF"/>
    <w:rsid w:val="00537630"/>
    <w:rsid w:val="00537AB4"/>
    <w:rsid w:val="00540914"/>
    <w:rsid w:val="00540A6B"/>
    <w:rsid w:val="0054214E"/>
    <w:rsid w:val="00543E6C"/>
    <w:rsid w:val="00544EBD"/>
    <w:rsid w:val="00545D43"/>
    <w:rsid w:val="005464A8"/>
    <w:rsid w:val="00551FC5"/>
    <w:rsid w:val="00552FF3"/>
    <w:rsid w:val="005530D3"/>
    <w:rsid w:val="0055382C"/>
    <w:rsid w:val="005543FD"/>
    <w:rsid w:val="005561D1"/>
    <w:rsid w:val="00556D59"/>
    <w:rsid w:val="00557DC3"/>
    <w:rsid w:val="00565087"/>
    <w:rsid w:val="00566BE2"/>
    <w:rsid w:val="00566F0E"/>
    <w:rsid w:val="0057070A"/>
    <w:rsid w:val="00570DD5"/>
    <w:rsid w:val="005721BB"/>
    <w:rsid w:val="00572750"/>
    <w:rsid w:val="0057294F"/>
    <w:rsid w:val="00572E14"/>
    <w:rsid w:val="005732FB"/>
    <w:rsid w:val="005741E8"/>
    <w:rsid w:val="005757C6"/>
    <w:rsid w:val="00576D58"/>
    <w:rsid w:val="00580798"/>
    <w:rsid w:val="00581893"/>
    <w:rsid w:val="0058282B"/>
    <w:rsid w:val="005856CE"/>
    <w:rsid w:val="005866C9"/>
    <w:rsid w:val="00586815"/>
    <w:rsid w:val="00586F2D"/>
    <w:rsid w:val="00586FC9"/>
    <w:rsid w:val="005870EC"/>
    <w:rsid w:val="0058752E"/>
    <w:rsid w:val="00590B8D"/>
    <w:rsid w:val="00590FFD"/>
    <w:rsid w:val="005911B3"/>
    <w:rsid w:val="00593137"/>
    <w:rsid w:val="00593896"/>
    <w:rsid w:val="00593990"/>
    <w:rsid w:val="00593DA4"/>
    <w:rsid w:val="00593E81"/>
    <w:rsid w:val="00594924"/>
    <w:rsid w:val="00594BC9"/>
    <w:rsid w:val="0059516D"/>
    <w:rsid w:val="00595294"/>
    <w:rsid w:val="00595E75"/>
    <w:rsid w:val="00596FFF"/>
    <w:rsid w:val="005970E7"/>
    <w:rsid w:val="005973BE"/>
    <w:rsid w:val="00597AD4"/>
    <w:rsid w:val="005A02B7"/>
    <w:rsid w:val="005A126C"/>
    <w:rsid w:val="005A1C1C"/>
    <w:rsid w:val="005A2A65"/>
    <w:rsid w:val="005A3F5C"/>
    <w:rsid w:val="005A45D9"/>
    <w:rsid w:val="005A5380"/>
    <w:rsid w:val="005A56E8"/>
    <w:rsid w:val="005A5986"/>
    <w:rsid w:val="005A6A5F"/>
    <w:rsid w:val="005A7113"/>
    <w:rsid w:val="005A7382"/>
    <w:rsid w:val="005A7621"/>
    <w:rsid w:val="005A7AFD"/>
    <w:rsid w:val="005B1366"/>
    <w:rsid w:val="005B5B10"/>
    <w:rsid w:val="005B62A2"/>
    <w:rsid w:val="005B7D52"/>
    <w:rsid w:val="005C00F7"/>
    <w:rsid w:val="005C05F2"/>
    <w:rsid w:val="005C0A9C"/>
    <w:rsid w:val="005C1B3E"/>
    <w:rsid w:val="005C2015"/>
    <w:rsid w:val="005C2252"/>
    <w:rsid w:val="005C36F8"/>
    <w:rsid w:val="005C3E99"/>
    <w:rsid w:val="005C57A0"/>
    <w:rsid w:val="005C6F1E"/>
    <w:rsid w:val="005D1519"/>
    <w:rsid w:val="005D17CF"/>
    <w:rsid w:val="005D1D51"/>
    <w:rsid w:val="005D2E01"/>
    <w:rsid w:val="005D4120"/>
    <w:rsid w:val="005D500D"/>
    <w:rsid w:val="005D6580"/>
    <w:rsid w:val="005D69E2"/>
    <w:rsid w:val="005D71A3"/>
    <w:rsid w:val="005D7526"/>
    <w:rsid w:val="005E0705"/>
    <w:rsid w:val="005E0A65"/>
    <w:rsid w:val="005E17CB"/>
    <w:rsid w:val="005E2535"/>
    <w:rsid w:val="005E26F5"/>
    <w:rsid w:val="005E3230"/>
    <w:rsid w:val="005E47FF"/>
    <w:rsid w:val="005E6713"/>
    <w:rsid w:val="005E69AE"/>
    <w:rsid w:val="005F02E7"/>
    <w:rsid w:val="005F03B0"/>
    <w:rsid w:val="005F193A"/>
    <w:rsid w:val="005F27DE"/>
    <w:rsid w:val="005F33A4"/>
    <w:rsid w:val="005F3D3E"/>
    <w:rsid w:val="005F5922"/>
    <w:rsid w:val="005F5FF0"/>
    <w:rsid w:val="00600C3E"/>
    <w:rsid w:val="00601905"/>
    <w:rsid w:val="00601A49"/>
    <w:rsid w:val="006024BC"/>
    <w:rsid w:val="00602AEA"/>
    <w:rsid w:val="0060311B"/>
    <w:rsid w:val="006032AD"/>
    <w:rsid w:val="00603942"/>
    <w:rsid w:val="00603A9E"/>
    <w:rsid w:val="00605EEC"/>
    <w:rsid w:val="00606265"/>
    <w:rsid w:val="00607429"/>
    <w:rsid w:val="00607E3C"/>
    <w:rsid w:val="00610910"/>
    <w:rsid w:val="00610CBE"/>
    <w:rsid w:val="00610E21"/>
    <w:rsid w:val="006120F0"/>
    <w:rsid w:val="00613E08"/>
    <w:rsid w:val="006144DF"/>
    <w:rsid w:val="00614FDF"/>
    <w:rsid w:val="00615385"/>
    <w:rsid w:val="00615E9E"/>
    <w:rsid w:val="006161C1"/>
    <w:rsid w:val="0061665D"/>
    <w:rsid w:val="00616C79"/>
    <w:rsid w:val="0061762A"/>
    <w:rsid w:val="00621344"/>
    <w:rsid w:val="0062258B"/>
    <w:rsid w:val="0062278D"/>
    <w:rsid w:val="00622A93"/>
    <w:rsid w:val="00623AF2"/>
    <w:rsid w:val="006246A7"/>
    <w:rsid w:val="006247CC"/>
    <w:rsid w:val="006249E8"/>
    <w:rsid w:val="0062595A"/>
    <w:rsid w:val="00625D55"/>
    <w:rsid w:val="0062602D"/>
    <w:rsid w:val="00627940"/>
    <w:rsid w:val="006302FC"/>
    <w:rsid w:val="00630F4E"/>
    <w:rsid w:val="00631151"/>
    <w:rsid w:val="006318C0"/>
    <w:rsid w:val="00632E7E"/>
    <w:rsid w:val="006337FE"/>
    <w:rsid w:val="00633E71"/>
    <w:rsid w:val="00634730"/>
    <w:rsid w:val="00634B50"/>
    <w:rsid w:val="0063543D"/>
    <w:rsid w:val="006367CD"/>
    <w:rsid w:val="00637890"/>
    <w:rsid w:val="00644843"/>
    <w:rsid w:val="00646C22"/>
    <w:rsid w:val="00647114"/>
    <w:rsid w:val="00647C55"/>
    <w:rsid w:val="00650BC1"/>
    <w:rsid w:val="00651717"/>
    <w:rsid w:val="00654CEA"/>
    <w:rsid w:val="00654D3E"/>
    <w:rsid w:val="006569E3"/>
    <w:rsid w:val="006619E2"/>
    <w:rsid w:val="00662404"/>
    <w:rsid w:val="006638C0"/>
    <w:rsid w:val="0066490B"/>
    <w:rsid w:val="0066515B"/>
    <w:rsid w:val="00665EBE"/>
    <w:rsid w:val="006660E1"/>
    <w:rsid w:val="00666762"/>
    <w:rsid w:val="006675E6"/>
    <w:rsid w:val="00667B0D"/>
    <w:rsid w:val="00667F31"/>
    <w:rsid w:val="00670496"/>
    <w:rsid w:val="006704EC"/>
    <w:rsid w:val="00670595"/>
    <w:rsid w:val="00670877"/>
    <w:rsid w:val="00670DA6"/>
    <w:rsid w:val="00671089"/>
    <w:rsid w:val="00672BC4"/>
    <w:rsid w:val="00672E51"/>
    <w:rsid w:val="006759F5"/>
    <w:rsid w:val="0067634F"/>
    <w:rsid w:val="0067717F"/>
    <w:rsid w:val="00677E0D"/>
    <w:rsid w:val="00680D8B"/>
    <w:rsid w:val="00681DC1"/>
    <w:rsid w:val="0068207C"/>
    <w:rsid w:val="0068287E"/>
    <w:rsid w:val="0068291C"/>
    <w:rsid w:val="00682F42"/>
    <w:rsid w:val="006834F4"/>
    <w:rsid w:val="00683563"/>
    <w:rsid w:val="00685A7B"/>
    <w:rsid w:val="00685FB5"/>
    <w:rsid w:val="006868BE"/>
    <w:rsid w:val="00686B2A"/>
    <w:rsid w:val="00687CAA"/>
    <w:rsid w:val="00690B2A"/>
    <w:rsid w:val="0069226A"/>
    <w:rsid w:val="0069226D"/>
    <w:rsid w:val="00692F54"/>
    <w:rsid w:val="00695B01"/>
    <w:rsid w:val="00695CB4"/>
    <w:rsid w:val="00697978"/>
    <w:rsid w:val="006A0851"/>
    <w:rsid w:val="006A0BB4"/>
    <w:rsid w:val="006A0CD3"/>
    <w:rsid w:val="006A0CE5"/>
    <w:rsid w:val="006A13A8"/>
    <w:rsid w:val="006A26D7"/>
    <w:rsid w:val="006A279E"/>
    <w:rsid w:val="006A323F"/>
    <w:rsid w:val="006A421E"/>
    <w:rsid w:val="006A5767"/>
    <w:rsid w:val="006A5ABB"/>
    <w:rsid w:val="006A5F2B"/>
    <w:rsid w:val="006A6160"/>
    <w:rsid w:val="006A6972"/>
    <w:rsid w:val="006B1014"/>
    <w:rsid w:val="006B10A9"/>
    <w:rsid w:val="006B1755"/>
    <w:rsid w:val="006B1A8E"/>
    <w:rsid w:val="006B1C77"/>
    <w:rsid w:val="006B22AE"/>
    <w:rsid w:val="006B30D0"/>
    <w:rsid w:val="006B3885"/>
    <w:rsid w:val="006B75C3"/>
    <w:rsid w:val="006B7A3F"/>
    <w:rsid w:val="006C0033"/>
    <w:rsid w:val="006C0661"/>
    <w:rsid w:val="006C23F1"/>
    <w:rsid w:val="006C32F5"/>
    <w:rsid w:val="006C3D95"/>
    <w:rsid w:val="006C54D9"/>
    <w:rsid w:val="006C70BE"/>
    <w:rsid w:val="006C7168"/>
    <w:rsid w:val="006D01E9"/>
    <w:rsid w:val="006D029A"/>
    <w:rsid w:val="006D052D"/>
    <w:rsid w:val="006D0E46"/>
    <w:rsid w:val="006D13A0"/>
    <w:rsid w:val="006D16B5"/>
    <w:rsid w:val="006D2B91"/>
    <w:rsid w:val="006D3151"/>
    <w:rsid w:val="006D43A6"/>
    <w:rsid w:val="006D45A7"/>
    <w:rsid w:val="006D4777"/>
    <w:rsid w:val="006D646C"/>
    <w:rsid w:val="006D65DE"/>
    <w:rsid w:val="006D6A91"/>
    <w:rsid w:val="006D713E"/>
    <w:rsid w:val="006D75A5"/>
    <w:rsid w:val="006D775B"/>
    <w:rsid w:val="006E17EE"/>
    <w:rsid w:val="006E329F"/>
    <w:rsid w:val="006E44CF"/>
    <w:rsid w:val="006E4938"/>
    <w:rsid w:val="006E5C86"/>
    <w:rsid w:val="006E79DC"/>
    <w:rsid w:val="006F0E21"/>
    <w:rsid w:val="006F27B6"/>
    <w:rsid w:val="006F27EE"/>
    <w:rsid w:val="006F5688"/>
    <w:rsid w:val="006F63DC"/>
    <w:rsid w:val="006F689A"/>
    <w:rsid w:val="006F73F1"/>
    <w:rsid w:val="006F7605"/>
    <w:rsid w:val="006F788D"/>
    <w:rsid w:val="006F7FBA"/>
    <w:rsid w:val="00700818"/>
    <w:rsid w:val="00700CDC"/>
    <w:rsid w:val="00700DE9"/>
    <w:rsid w:val="00701D6F"/>
    <w:rsid w:val="0070276C"/>
    <w:rsid w:val="00702DEA"/>
    <w:rsid w:val="00702F40"/>
    <w:rsid w:val="00703188"/>
    <w:rsid w:val="007037D0"/>
    <w:rsid w:val="007058C2"/>
    <w:rsid w:val="0070599E"/>
    <w:rsid w:val="0070758C"/>
    <w:rsid w:val="007078D9"/>
    <w:rsid w:val="00707CF3"/>
    <w:rsid w:val="00711013"/>
    <w:rsid w:val="00711290"/>
    <w:rsid w:val="00713146"/>
    <w:rsid w:val="00713C44"/>
    <w:rsid w:val="00714223"/>
    <w:rsid w:val="00715490"/>
    <w:rsid w:val="007154C0"/>
    <w:rsid w:val="0071558E"/>
    <w:rsid w:val="00715995"/>
    <w:rsid w:val="00716B02"/>
    <w:rsid w:val="00716FAD"/>
    <w:rsid w:val="0071783B"/>
    <w:rsid w:val="00720AD0"/>
    <w:rsid w:val="00721F55"/>
    <w:rsid w:val="007228F6"/>
    <w:rsid w:val="00722D26"/>
    <w:rsid w:val="00725A1A"/>
    <w:rsid w:val="00726EF5"/>
    <w:rsid w:val="00727AD8"/>
    <w:rsid w:val="007320D1"/>
    <w:rsid w:val="00732E98"/>
    <w:rsid w:val="007335A1"/>
    <w:rsid w:val="0073367B"/>
    <w:rsid w:val="00733736"/>
    <w:rsid w:val="00734566"/>
    <w:rsid w:val="007345D3"/>
    <w:rsid w:val="00734A5B"/>
    <w:rsid w:val="0073541F"/>
    <w:rsid w:val="00736731"/>
    <w:rsid w:val="007368AE"/>
    <w:rsid w:val="0073690E"/>
    <w:rsid w:val="00737D7D"/>
    <w:rsid w:val="00737DB9"/>
    <w:rsid w:val="0074026F"/>
    <w:rsid w:val="007403F0"/>
    <w:rsid w:val="00740E0D"/>
    <w:rsid w:val="007429F6"/>
    <w:rsid w:val="00744148"/>
    <w:rsid w:val="00744E76"/>
    <w:rsid w:val="00746ED5"/>
    <w:rsid w:val="00750020"/>
    <w:rsid w:val="00752198"/>
    <w:rsid w:val="007522D2"/>
    <w:rsid w:val="0075242E"/>
    <w:rsid w:val="007537DE"/>
    <w:rsid w:val="00753881"/>
    <w:rsid w:val="0075447E"/>
    <w:rsid w:val="007548DA"/>
    <w:rsid w:val="00754AE1"/>
    <w:rsid w:val="0075501F"/>
    <w:rsid w:val="007604F7"/>
    <w:rsid w:val="00760548"/>
    <w:rsid w:val="007618D1"/>
    <w:rsid w:val="00762F58"/>
    <w:rsid w:val="007639E7"/>
    <w:rsid w:val="00763BBA"/>
    <w:rsid w:val="007650E6"/>
    <w:rsid w:val="007653AE"/>
    <w:rsid w:val="007656F8"/>
    <w:rsid w:val="00765854"/>
    <w:rsid w:val="00765CF6"/>
    <w:rsid w:val="00765D86"/>
    <w:rsid w:val="007662B4"/>
    <w:rsid w:val="00766E0C"/>
    <w:rsid w:val="00766F1F"/>
    <w:rsid w:val="00766FFC"/>
    <w:rsid w:val="00767064"/>
    <w:rsid w:val="007672D0"/>
    <w:rsid w:val="00767FA0"/>
    <w:rsid w:val="00770370"/>
    <w:rsid w:val="00770E5E"/>
    <w:rsid w:val="007712DF"/>
    <w:rsid w:val="007713D4"/>
    <w:rsid w:val="00773805"/>
    <w:rsid w:val="007738A4"/>
    <w:rsid w:val="00773A19"/>
    <w:rsid w:val="00774DA4"/>
    <w:rsid w:val="00774F1E"/>
    <w:rsid w:val="00775EFA"/>
    <w:rsid w:val="007764C2"/>
    <w:rsid w:val="007773E8"/>
    <w:rsid w:val="00781A53"/>
    <w:rsid w:val="00781D07"/>
    <w:rsid w:val="00781F0F"/>
    <w:rsid w:val="00782965"/>
    <w:rsid w:val="0078318F"/>
    <w:rsid w:val="00787853"/>
    <w:rsid w:val="00791222"/>
    <w:rsid w:val="007917AA"/>
    <w:rsid w:val="007923A1"/>
    <w:rsid w:val="00792BC0"/>
    <w:rsid w:val="00793392"/>
    <w:rsid w:val="00794B9F"/>
    <w:rsid w:val="00795D47"/>
    <w:rsid w:val="0079679C"/>
    <w:rsid w:val="007A0324"/>
    <w:rsid w:val="007A115F"/>
    <w:rsid w:val="007A2BDB"/>
    <w:rsid w:val="007A315C"/>
    <w:rsid w:val="007A337A"/>
    <w:rsid w:val="007A5AAB"/>
    <w:rsid w:val="007A634D"/>
    <w:rsid w:val="007A6CA2"/>
    <w:rsid w:val="007A742C"/>
    <w:rsid w:val="007A7BA6"/>
    <w:rsid w:val="007B03EA"/>
    <w:rsid w:val="007B057D"/>
    <w:rsid w:val="007B05D4"/>
    <w:rsid w:val="007B16EC"/>
    <w:rsid w:val="007B263C"/>
    <w:rsid w:val="007B600E"/>
    <w:rsid w:val="007C08E3"/>
    <w:rsid w:val="007C1214"/>
    <w:rsid w:val="007C1AD8"/>
    <w:rsid w:val="007C2483"/>
    <w:rsid w:val="007C24D1"/>
    <w:rsid w:val="007C2EB4"/>
    <w:rsid w:val="007C3D09"/>
    <w:rsid w:val="007C42E3"/>
    <w:rsid w:val="007C5542"/>
    <w:rsid w:val="007C6640"/>
    <w:rsid w:val="007C6CB7"/>
    <w:rsid w:val="007C7259"/>
    <w:rsid w:val="007C7412"/>
    <w:rsid w:val="007D1492"/>
    <w:rsid w:val="007D1834"/>
    <w:rsid w:val="007D1C06"/>
    <w:rsid w:val="007D414F"/>
    <w:rsid w:val="007D451F"/>
    <w:rsid w:val="007D495F"/>
    <w:rsid w:val="007D64A4"/>
    <w:rsid w:val="007D6D85"/>
    <w:rsid w:val="007D7A53"/>
    <w:rsid w:val="007E1F1A"/>
    <w:rsid w:val="007E405D"/>
    <w:rsid w:val="007E4E58"/>
    <w:rsid w:val="007E5F27"/>
    <w:rsid w:val="007E708D"/>
    <w:rsid w:val="007E7A9C"/>
    <w:rsid w:val="007E7E99"/>
    <w:rsid w:val="007F0F4A"/>
    <w:rsid w:val="007F1AC8"/>
    <w:rsid w:val="007F210D"/>
    <w:rsid w:val="007F23A8"/>
    <w:rsid w:val="007F3312"/>
    <w:rsid w:val="007F3BC0"/>
    <w:rsid w:val="007F3D06"/>
    <w:rsid w:val="007F580A"/>
    <w:rsid w:val="007F6527"/>
    <w:rsid w:val="007F72DE"/>
    <w:rsid w:val="007F7E5F"/>
    <w:rsid w:val="008007D9"/>
    <w:rsid w:val="008014F5"/>
    <w:rsid w:val="0080275C"/>
    <w:rsid w:val="008028A4"/>
    <w:rsid w:val="00802901"/>
    <w:rsid w:val="00802D8C"/>
    <w:rsid w:val="008038B1"/>
    <w:rsid w:val="00805E8A"/>
    <w:rsid w:val="008075CE"/>
    <w:rsid w:val="00811FF4"/>
    <w:rsid w:val="00812AD7"/>
    <w:rsid w:val="008139E9"/>
    <w:rsid w:val="00813EF0"/>
    <w:rsid w:val="008141FA"/>
    <w:rsid w:val="00814651"/>
    <w:rsid w:val="00815B1B"/>
    <w:rsid w:val="0081768E"/>
    <w:rsid w:val="00820B25"/>
    <w:rsid w:val="00821CEA"/>
    <w:rsid w:val="00822184"/>
    <w:rsid w:val="008225CE"/>
    <w:rsid w:val="00822A2A"/>
    <w:rsid w:val="00824333"/>
    <w:rsid w:val="00825C96"/>
    <w:rsid w:val="00826C15"/>
    <w:rsid w:val="00826D98"/>
    <w:rsid w:val="00827062"/>
    <w:rsid w:val="0082719B"/>
    <w:rsid w:val="0082761D"/>
    <w:rsid w:val="00830747"/>
    <w:rsid w:val="00830829"/>
    <w:rsid w:val="008309F2"/>
    <w:rsid w:val="00832B15"/>
    <w:rsid w:val="008349EE"/>
    <w:rsid w:val="00834EEA"/>
    <w:rsid w:val="0083621F"/>
    <w:rsid w:val="00836541"/>
    <w:rsid w:val="00841D04"/>
    <w:rsid w:val="008424E7"/>
    <w:rsid w:val="0084384E"/>
    <w:rsid w:val="00843B82"/>
    <w:rsid w:val="00843D2B"/>
    <w:rsid w:val="00845BF2"/>
    <w:rsid w:val="00846810"/>
    <w:rsid w:val="0084712E"/>
    <w:rsid w:val="00847331"/>
    <w:rsid w:val="008502D4"/>
    <w:rsid w:val="00852B07"/>
    <w:rsid w:val="00852C13"/>
    <w:rsid w:val="00852D2C"/>
    <w:rsid w:val="00853449"/>
    <w:rsid w:val="00853F31"/>
    <w:rsid w:val="00854AE6"/>
    <w:rsid w:val="00854D96"/>
    <w:rsid w:val="00856003"/>
    <w:rsid w:val="00856811"/>
    <w:rsid w:val="0085784B"/>
    <w:rsid w:val="00857D82"/>
    <w:rsid w:val="00860AFB"/>
    <w:rsid w:val="00861FF7"/>
    <w:rsid w:val="00862624"/>
    <w:rsid w:val="00862EC3"/>
    <w:rsid w:val="00863269"/>
    <w:rsid w:val="008639F8"/>
    <w:rsid w:val="008640FB"/>
    <w:rsid w:val="00865711"/>
    <w:rsid w:val="00865CA4"/>
    <w:rsid w:val="00865DDB"/>
    <w:rsid w:val="00866564"/>
    <w:rsid w:val="008675CA"/>
    <w:rsid w:val="008676B6"/>
    <w:rsid w:val="00872018"/>
    <w:rsid w:val="00873765"/>
    <w:rsid w:val="00874E28"/>
    <w:rsid w:val="00875EC2"/>
    <w:rsid w:val="008763B3"/>
    <w:rsid w:val="008768CA"/>
    <w:rsid w:val="0087799E"/>
    <w:rsid w:val="00877E7D"/>
    <w:rsid w:val="00877F82"/>
    <w:rsid w:val="00881585"/>
    <w:rsid w:val="0088271A"/>
    <w:rsid w:val="00883852"/>
    <w:rsid w:val="008851FB"/>
    <w:rsid w:val="0088522E"/>
    <w:rsid w:val="00885B16"/>
    <w:rsid w:val="0089002A"/>
    <w:rsid w:val="008904DB"/>
    <w:rsid w:val="00890FAA"/>
    <w:rsid w:val="00891D2D"/>
    <w:rsid w:val="00891D7A"/>
    <w:rsid w:val="0089246D"/>
    <w:rsid w:val="008929F3"/>
    <w:rsid w:val="00893D96"/>
    <w:rsid w:val="00894DCC"/>
    <w:rsid w:val="008959E6"/>
    <w:rsid w:val="00895A10"/>
    <w:rsid w:val="00895ECE"/>
    <w:rsid w:val="00897030"/>
    <w:rsid w:val="00897CC6"/>
    <w:rsid w:val="008A00BB"/>
    <w:rsid w:val="008A1000"/>
    <w:rsid w:val="008A13CF"/>
    <w:rsid w:val="008A1D54"/>
    <w:rsid w:val="008A311D"/>
    <w:rsid w:val="008A419C"/>
    <w:rsid w:val="008A4827"/>
    <w:rsid w:val="008A5E75"/>
    <w:rsid w:val="008A6038"/>
    <w:rsid w:val="008B0466"/>
    <w:rsid w:val="008B131D"/>
    <w:rsid w:val="008B32C2"/>
    <w:rsid w:val="008B4D9E"/>
    <w:rsid w:val="008B513B"/>
    <w:rsid w:val="008B6464"/>
    <w:rsid w:val="008B64DA"/>
    <w:rsid w:val="008B64E7"/>
    <w:rsid w:val="008B697A"/>
    <w:rsid w:val="008B6A04"/>
    <w:rsid w:val="008C03F0"/>
    <w:rsid w:val="008C2C6C"/>
    <w:rsid w:val="008C2CF3"/>
    <w:rsid w:val="008C3098"/>
    <w:rsid w:val="008C3127"/>
    <w:rsid w:val="008C384C"/>
    <w:rsid w:val="008C4501"/>
    <w:rsid w:val="008C50B8"/>
    <w:rsid w:val="008C518D"/>
    <w:rsid w:val="008C5478"/>
    <w:rsid w:val="008C68DE"/>
    <w:rsid w:val="008C78CB"/>
    <w:rsid w:val="008C7B4D"/>
    <w:rsid w:val="008D0580"/>
    <w:rsid w:val="008D0940"/>
    <w:rsid w:val="008D158F"/>
    <w:rsid w:val="008D1E88"/>
    <w:rsid w:val="008D1F8C"/>
    <w:rsid w:val="008D2D74"/>
    <w:rsid w:val="008D31F5"/>
    <w:rsid w:val="008D383D"/>
    <w:rsid w:val="008D5675"/>
    <w:rsid w:val="008D577D"/>
    <w:rsid w:val="008D6A9B"/>
    <w:rsid w:val="008D6FC7"/>
    <w:rsid w:val="008E0463"/>
    <w:rsid w:val="008E1378"/>
    <w:rsid w:val="008E13B5"/>
    <w:rsid w:val="008E1FF8"/>
    <w:rsid w:val="008E231F"/>
    <w:rsid w:val="008E28BC"/>
    <w:rsid w:val="008E2D4A"/>
    <w:rsid w:val="008E3954"/>
    <w:rsid w:val="008E4A2F"/>
    <w:rsid w:val="008E4EB9"/>
    <w:rsid w:val="008E51E3"/>
    <w:rsid w:val="008E6297"/>
    <w:rsid w:val="008E7986"/>
    <w:rsid w:val="008F0727"/>
    <w:rsid w:val="008F123E"/>
    <w:rsid w:val="008F13C3"/>
    <w:rsid w:val="008F14C5"/>
    <w:rsid w:val="008F1963"/>
    <w:rsid w:val="008F1F84"/>
    <w:rsid w:val="008F331A"/>
    <w:rsid w:val="008F4449"/>
    <w:rsid w:val="008F4519"/>
    <w:rsid w:val="008F4DFB"/>
    <w:rsid w:val="008F5D10"/>
    <w:rsid w:val="008F694A"/>
    <w:rsid w:val="008F6E93"/>
    <w:rsid w:val="00900D6F"/>
    <w:rsid w:val="00901C92"/>
    <w:rsid w:val="0090271F"/>
    <w:rsid w:val="00902E23"/>
    <w:rsid w:val="009049B0"/>
    <w:rsid w:val="00906D6D"/>
    <w:rsid w:val="00907E53"/>
    <w:rsid w:val="009105D2"/>
    <w:rsid w:val="009107CB"/>
    <w:rsid w:val="00911239"/>
    <w:rsid w:val="009114D7"/>
    <w:rsid w:val="00911868"/>
    <w:rsid w:val="00912603"/>
    <w:rsid w:val="0091348E"/>
    <w:rsid w:val="0091383D"/>
    <w:rsid w:val="0091470E"/>
    <w:rsid w:val="00915525"/>
    <w:rsid w:val="00915BCA"/>
    <w:rsid w:val="00916BC2"/>
    <w:rsid w:val="00917CCB"/>
    <w:rsid w:val="0092171B"/>
    <w:rsid w:val="00922558"/>
    <w:rsid w:val="0092488F"/>
    <w:rsid w:val="009249C2"/>
    <w:rsid w:val="009251DF"/>
    <w:rsid w:val="00925657"/>
    <w:rsid w:val="0092652F"/>
    <w:rsid w:val="00926846"/>
    <w:rsid w:val="0092700D"/>
    <w:rsid w:val="0093143D"/>
    <w:rsid w:val="009351A2"/>
    <w:rsid w:val="00935611"/>
    <w:rsid w:val="00935F19"/>
    <w:rsid w:val="00937157"/>
    <w:rsid w:val="0094066C"/>
    <w:rsid w:val="00940D54"/>
    <w:rsid w:val="00940E1F"/>
    <w:rsid w:val="00941253"/>
    <w:rsid w:val="0094135E"/>
    <w:rsid w:val="0094162B"/>
    <w:rsid w:val="0094205B"/>
    <w:rsid w:val="00942EC2"/>
    <w:rsid w:val="00944935"/>
    <w:rsid w:val="00946AB6"/>
    <w:rsid w:val="00947294"/>
    <w:rsid w:val="009510B7"/>
    <w:rsid w:val="0095112C"/>
    <w:rsid w:val="0095221C"/>
    <w:rsid w:val="00953258"/>
    <w:rsid w:val="009536FA"/>
    <w:rsid w:val="00954B41"/>
    <w:rsid w:val="009557AC"/>
    <w:rsid w:val="009568A6"/>
    <w:rsid w:val="00956F25"/>
    <w:rsid w:val="009571C4"/>
    <w:rsid w:val="00957A2C"/>
    <w:rsid w:val="00962AFA"/>
    <w:rsid w:val="00963494"/>
    <w:rsid w:val="00963916"/>
    <w:rsid w:val="0096479E"/>
    <w:rsid w:val="0096543A"/>
    <w:rsid w:val="00967219"/>
    <w:rsid w:val="0097058E"/>
    <w:rsid w:val="00970DDE"/>
    <w:rsid w:val="009712E8"/>
    <w:rsid w:val="00972238"/>
    <w:rsid w:val="00972D6A"/>
    <w:rsid w:val="00973C07"/>
    <w:rsid w:val="00973F6E"/>
    <w:rsid w:val="00976417"/>
    <w:rsid w:val="00976917"/>
    <w:rsid w:val="00980007"/>
    <w:rsid w:val="00981FFE"/>
    <w:rsid w:val="009826B3"/>
    <w:rsid w:val="00984200"/>
    <w:rsid w:val="009852FF"/>
    <w:rsid w:val="009872EB"/>
    <w:rsid w:val="0099026F"/>
    <w:rsid w:val="00994730"/>
    <w:rsid w:val="00996113"/>
    <w:rsid w:val="00996594"/>
    <w:rsid w:val="00996BF2"/>
    <w:rsid w:val="00997281"/>
    <w:rsid w:val="009A0FEF"/>
    <w:rsid w:val="009A194F"/>
    <w:rsid w:val="009A19E2"/>
    <w:rsid w:val="009A228E"/>
    <w:rsid w:val="009A29ED"/>
    <w:rsid w:val="009A2BFA"/>
    <w:rsid w:val="009A3AFC"/>
    <w:rsid w:val="009A6DA8"/>
    <w:rsid w:val="009B02D8"/>
    <w:rsid w:val="009B106B"/>
    <w:rsid w:val="009B2ABE"/>
    <w:rsid w:val="009B2B8E"/>
    <w:rsid w:val="009B3164"/>
    <w:rsid w:val="009B34C5"/>
    <w:rsid w:val="009B379E"/>
    <w:rsid w:val="009B37C6"/>
    <w:rsid w:val="009B4E05"/>
    <w:rsid w:val="009B5FA1"/>
    <w:rsid w:val="009C128C"/>
    <w:rsid w:val="009C1778"/>
    <w:rsid w:val="009C4098"/>
    <w:rsid w:val="009C4BC2"/>
    <w:rsid w:val="009C6C10"/>
    <w:rsid w:val="009D0269"/>
    <w:rsid w:val="009D0B77"/>
    <w:rsid w:val="009D2A34"/>
    <w:rsid w:val="009D5E7A"/>
    <w:rsid w:val="009E00AF"/>
    <w:rsid w:val="009E1465"/>
    <w:rsid w:val="009E18A7"/>
    <w:rsid w:val="009E258C"/>
    <w:rsid w:val="009E2A8F"/>
    <w:rsid w:val="009E2BC6"/>
    <w:rsid w:val="009E55FD"/>
    <w:rsid w:val="009E5E7E"/>
    <w:rsid w:val="009E683F"/>
    <w:rsid w:val="009E6CD6"/>
    <w:rsid w:val="009E6E52"/>
    <w:rsid w:val="009E715D"/>
    <w:rsid w:val="009E76AC"/>
    <w:rsid w:val="009F1642"/>
    <w:rsid w:val="009F23DD"/>
    <w:rsid w:val="009F2F62"/>
    <w:rsid w:val="009F37B7"/>
    <w:rsid w:val="009F39E4"/>
    <w:rsid w:val="009F4843"/>
    <w:rsid w:val="009F4850"/>
    <w:rsid w:val="009F4A81"/>
    <w:rsid w:val="009F532A"/>
    <w:rsid w:val="009F5E43"/>
    <w:rsid w:val="009F653F"/>
    <w:rsid w:val="009F6F20"/>
    <w:rsid w:val="009F7347"/>
    <w:rsid w:val="009F7D16"/>
    <w:rsid w:val="009F7EB0"/>
    <w:rsid w:val="00A002C4"/>
    <w:rsid w:val="00A017D0"/>
    <w:rsid w:val="00A01D4A"/>
    <w:rsid w:val="00A02D80"/>
    <w:rsid w:val="00A03520"/>
    <w:rsid w:val="00A05B92"/>
    <w:rsid w:val="00A06295"/>
    <w:rsid w:val="00A06422"/>
    <w:rsid w:val="00A06C93"/>
    <w:rsid w:val="00A06D74"/>
    <w:rsid w:val="00A06F33"/>
    <w:rsid w:val="00A1046F"/>
    <w:rsid w:val="00A10F02"/>
    <w:rsid w:val="00A1122F"/>
    <w:rsid w:val="00A11833"/>
    <w:rsid w:val="00A12D6F"/>
    <w:rsid w:val="00A13F96"/>
    <w:rsid w:val="00A1575E"/>
    <w:rsid w:val="00A15927"/>
    <w:rsid w:val="00A15A8A"/>
    <w:rsid w:val="00A16444"/>
    <w:rsid w:val="00A164B4"/>
    <w:rsid w:val="00A16F12"/>
    <w:rsid w:val="00A1717C"/>
    <w:rsid w:val="00A17686"/>
    <w:rsid w:val="00A178D5"/>
    <w:rsid w:val="00A179BD"/>
    <w:rsid w:val="00A2021E"/>
    <w:rsid w:val="00A2152E"/>
    <w:rsid w:val="00A223AA"/>
    <w:rsid w:val="00A2312D"/>
    <w:rsid w:val="00A2361B"/>
    <w:rsid w:val="00A23DBE"/>
    <w:rsid w:val="00A246F9"/>
    <w:rsid w:val="00A260BD"/>
    <w:rsid w:val="00A26956"/>
    <w:rsid w:val="00A301CD"/>
    <w:rsid w:val="00A3271F"/>
    <w:rsid w:val="00A327A1"/>
    <w:rsid w:val="00A32AF0"/>
    <w:rsid w:val="00A33AD2"/>
    <w:rsid w:val="00A33D26"/>
    <w:rsid w:val="00A34AD4"/>
    <w:rsid w:val="00A364A2"/>
    <w:rsid w:val="00A36A3E"/>
    <w:rsid w:val="00A42751"/>
    <w:rsid w:val="00A4298D"/>
    <w:rsid w:val="00A42C78"/>
    <w:rsid w:val="00A443CE"/>
    <w:rsid w:val="00A446EC"/>
    <w:rsid w:val="00A4499E"/>
    <w:rsid w:val="00A44F41"/>
    <w:rsid w:val="00A45A0B"/>
    <w:rsid w:val="00A45AE6"/>
    <w:rsid w:val="00A45B26"/>
    <w:rsid w:val="00A47372"/>
    <w:rsid w:val="00A4743D"/>
    <w:rsid w:val="00A47671"/>
    <w:rsid w:val="00A477AA"/>
    <w:rsid w:val="00A47B6A"/>
    <w:rsid w:val="00A5067F"/>
    <w:rsid w:val="00A514DF"/>
    <w:rsid w:val="00A52721"/>
    <w:rsid w:val="00A52A73"/>
    <w:rsid w:val="00A53724"/>
    <w:rsid w:val="00A545B5"/>
    <w:rsid w:val="00A55310"/>
    <w:rsid w:val="00A56A5B"/>
    <w:rsid w:val="00A60300"/>
    <w:rsid w:val="00A611AD"/>
    <w:rsid w:val="00A6165E"/>
    <w:rsid w:val="00A6171D"/>
    <w:rsid w:val="00A62A0A"/>
    <w:rsid w:val="00A63170"/>
    <w:rsid w:val="00A6476A"/>
    <w:rsid w:val="00A66054"/>
    <w:rsid w:val="00A665DC"/>
    <w:rsid w:val="00A6685D"/>
    <w:rsid w:val="00A6717A"/>
    <w:rsid w:val="00A7165F"/>
    <w:rsid w:val="00A716E8"/>
    <w:rsid w:val="00A72A35"/>
    <w:rsid w:val="00A7302D"/>
    <w:rsid w:val="00A73129"/>
    <w:rsid w:val="00A73779"/>
    <w:rsid w:val="00A747BC"/>
    <w:rsid w:val="00A74AA1"/>
    <w:rsid w:val="00A74FAB"/>
    <w:rsid w:val="00A758B0"/>
    <w:rsid w:val="00A758C6"/>
    <w:rsid w:val="00A75A83"/>
    <w:rsid w:val="00A761A4"/>
    <w:rsid w:val="00A7650B"/>
    <w:rsid w:val="00A765FF"/>
    <w:rsid w:val="00A77DB9"/>
    <w:rsid w:val="00A8010A"/>
    <w:rsid w:val="00A8130C"/>
    <w:rsid w:val="00A81444"/>
    <w:rsid w:val="00A814CB"/>
    <w:rsid w:val="00A817F1"/>
    <w:rsid w:val="00A81D3A"/>
    <w:rsid w:val="00A82346"/>
    <w:rsid w:val="00A839DB"/>
    <w:rsid w:val="00A8428B"/>
    <w:rsid w:val="00A85890"/>
    <w:rsid w:val="00A86823"/>
    <w:rsid w:val="00A87259"/>
    <w:rsid w:val="00A87471"/>
    <w:rsid w:val="00A90EC1"/>
    <w:rsid w:val="00A91741"/>
    <w:rsid w:val="00A92086"/>
    <w:rsid w:val="00A923F9"/>
    <w:rsid w:val="00A92BA1"/>
    <w:rsid w:val="00A95F59"/>
    <w:rsid w:val="00A96132"/>
    <w:rsid w:val="00A9617B"/>
    <w:rsid w:val="00A9697B"/>
    <w:rsid w:val="00A96AA9"/>
    <w:rsid w:val="00AA071F"/>
    <w:rsid w:val="00AA0EE7"/>
    <w:rsid w:val="00AA16A5"/>
    <w:rsid w:val="00AA2071"/>
    <w:rsid w:val="00AA35D0"/>
    <w:rsid w:val="00AA3BD4"/>
    <w:rsid w:val="00AA3C99"/>
    <w:rsid w:val="00AA40A2"/>
    <w:rsid w:val="00AA5667"/>
    <w:rsid w:val="00AA70B5"/>
    <w:rsid w:val="00AB03E7"/>
    <w:rsid w:val="00AB277F"/>
    <w:rsid w:val="00AB460E"/>
    <w:rsid w:val="00AB55DA"/>
    <w:rsid w:val="00AB66C0"/>
    <w:rsid w:val="00AB6BDA"/>
    <w:rsid w:val="00AB7E21"/>
    <w:rsid w:val="00AC326E"/>
    <w:rsid w:val="00AC580E"/>
    <w:rsid w:val="00AC6343"/>
    <w:rsid w:val="00AC6BC6"/>
    <w:rsid w:val="00AC77A2"/>
    <w:rsid w:val="00AD081C"/>
    <w:rsid w:val="00AD0968"/>
    <w:rsid w:val="00AD0B43"/>
    <w:rsid w:val="00AD1729"/>
    <w:rsid w:val="00AD3F96"/>
    <w:rsid w:val="00AD41DD"/>
    <w:rsid w:val="00AD4708"/>
    <w:rsid w:val="00AD5530"/>
    <w:rsid w:val="00AD70D8"/>
    <w:rsid w:val="00AD7C32"/>
    <w:rsid w:val="00AE0099"/>
    <w:rsid w:val="00AE1826"/>
    <w:rsid w:val="00AE1E47"/>
    <w:rsid w:val="00AE2688"/>
    <w:rsid w:val="00AE27BF"/>
    <w:rsid w:val="00AE3797"/>
    <w:rsid w:val="00AE387F"/>
    <w:rsid w:val="00AE4057"/>
    <w:rsid w:val="00AE421B"/>
    <w:rsid w:val="00AE444A"/>
    <w:rsid w:val="00AE53F4"/>
    <w:rsid w:val="00AE5F17"/>
    <w:rsid w:val="00AF11C1"/>
    <w:rsid w:val="00AF2EE7"/>
    <w:rsid w:val="00AF3221"/>
    <w:rsid w:val="00AF474F"/>
    <w:rsid w:val="00AF58E2"/>
    <w:rsid w:val="00AF58F9"/>
    <w:rsid w:val="00B01CF7"/>
    <w:rsid w:val="00B02490"/>
    <w:rsid w:val="00B0337A"/>
    <w:rsid w:val="00B03B5E"/>
    <w:rsid w:val="00B0543A"/>
    <w:rsid w:val="00B0564C"/>
    <w:rsid w:val="00B058F4"/>
    <w:rsid w:val="00B05E13"/>
    <w:rsid w:val="00B06BC3"/>
    <w:rsid w:val="00B1129D"/>
    <w:rsid w:val="00B11E93"/>
    <w:rsid w:val="00B12B6F"/>
    <w:rsid w:val="00B15449"/>
    <w:rsid w:val="00B1579A"/>
    <w:rsid w:val="00B17447"/>
    <w:rsid w:val="00B20856"/>
    <w:rsid w:val="00B20BD9"/>
    <w:rsid w:val="00B20C41"/>
    <w:rsid w:val="00B20ED8"/>
    <w:rsid w:val="00B20FFE"/>
    <w:rsid w:val="00B21E86"/>
    <w:rsid w:val="00B22C4C"/>
    <w:rsid w:val="00B236CC"/>
    <w:rsid w:val="00B25034"/>
    <w:rsid w:val="00B2576F"/>
    <w:rsid w:val="00B270C3"/>
    <w:rsid w:val="00B271B7"/>
    <w:rsid w:val="00B306D3"/>
    <w:rsid w:val="00B30E95"/>
    <w:rsid w:val="00B3255A"/>
    <w:rsid w:val="00B3282C"/>
    <w:rsid w:val="00B32D9A"/>
    <w:rsid w:val="00B33BB2"/>
    <w:rsid w:val="00B34334"/>
    <w:rsid w:val="00B35288"/>
    <w:rsid w:val="00B35A6A"/>
    <w:rsid w:val="00B36419"/>
    <w:rsid w:val="00B37241"/>
    <w:rsid w:val="00B3740A"/>
    <w:rsid w:val="00B40497"/>
    <w:rsid w:val="00B4220D"/>
    <w:rsid w:val="00B423BE"/>
    <w:rsid w:val="00B427C2"/>
    <w:rsid w:val="00B43ADC"/>
    <w:rsid w:val="00B43DD5"/>
    <w:rsid w:val="00B441D1"/>
    <w:rsid w:val="00B44474"/>
    <w:rsid w:val="00B449E0"/>
    <w:rsid w:val="00B44A6E"/>
    <w:rsid w:val="00B45302"/>
    <w:rsid w:val="00B461B1"/>
    <w:rsid w:val="00B467E3"/>
    <w:rsid w:val="00B474C6"/>
    <w:rsid w:val="00B513B0"/>
    <w:rsid w:val="00B513CB"/>
    <w:rsid w:val="00B51AE6"/>
    <w:rsid w:val="00B5202D"/>
    <w:rsid w:val="00B529F0"/>
    <w:rsid w:val="00B537C8"/>
    <w:rsid w:val="00B557B6"/>
    <w:rsid w:val="00B55820"/>
    <w:rsid w:val="00B56382"/>
    <w:rsid w:val="00B5689A"/>
    <w:rsid w:val="00B57059"/>
    <w:rsid w:val="00B60C87"/>
    <w:rsid w:val="00B61020"/>
    <w:rsid w:val="00B63063"/>
    <w:rsid w:val="00B66F4E"/>
    <w:rsid w:val="00B67309"/>
    <w:rsid w:val="00B67762"/>
    <w:rsid w:val="00B67E05"/>
    <w:rsid w:val="00B70D6F"/>
    <w:rsid w:val="00B718E4"/>
    <w:rsid w:val="00B7326D"/>
    <w:rsid w:val="00B74A3A"/>
    <w:rsid w:val="00B7596F"/>
    <w:rsid w:val="00B760A7"/>
    <w:rsid w:val="00B7778C"/>
    <w:rsid w:val="00B77941"/>
    <w:rsid w:val="00B77FE5"/>
    <w:rsid w:val="00B80112"/>
    <w:rsid w:val="00B80E06"/>
    <w:rsid w:val="00B81363"/>
    <w:rsid w:val="00B825C9"/>
    <w:rsid w:val="00B83DC0"/>
    <w:rsid w:val="00B850E5"/>
    <w:rsid w:val="00B85DF8"/>
    <w:rsid w:val="00B85E13"/>
    <w:rsid w:val="00B87DB1"/>
    <w:rsid w:val="00B9180E"/>
    <w:rsid w:val="00B91812"/>
    <w:rsid w:val="00B91918"/>
    <w:rsid w:val="00B921E1"/>
    <w:rsid w:val="00B92610"/>
    <w:rsid w:val="00B9261A"/>
    <w:rsid w:val="00B93086"/>
    <w:rsid w:val="00B935AE"/>
    <w:rsid w:val="00B93610"/>
    <w:rsid w:val="00B93CEE"/>
    <w:rsid w:val="00B95263"/>
    <w:rsid w:val="00B95610"/>
    <w:rsid w:val="00B95620"/>
    <w:rsid w:val="00B97220"/>
    <w:rsid w:val="00B97957"/>
    <w:rsid w:val="00BA13F1"/>
    <w:rsid w:val="00BA19ED"/>
    <w:rsid w:val="00BA20FA"/>
    <w:rsid w:val="00BA300B"/>
    <w:rsid w:val="00BA42B5"/>
    <w:rsid w:val="00BA4499"/>
    <w:rsid w:val="00BA4B8D"/>
    <w:rsid w:val="00BA4F28"/>
    <w:rsid w:val="00BA672B"/>
    <w:rsid w:val="00BB0101"/>
    <w:rsid w:val="00BB09F3"/>
    <w:rsid w:val="00BB0AA2"/>
    <w:rsid w:val="00BB1427"/>
    <w:rsid w:val="00BB277C"/>
    <w:rsid w:val="00BB295A"/>
    <w:rsid w:val="00BB2F30"/>
    <w:rsid w:val="00BB38C0"/>
    <w:rsid w:val="00BB3B26"/>
    <w:rsid w:val="00BB3CA0"/>
    <w:rsid w:val="00BB45B4"/>
    <w:rsid w:val="00BB5214"/>
    <w:rsid w:val="00BB59EA"/>
    <w:rsid w:val="00BB6457"/>
    <w:rsid w:val="00BB73DD"/>
    <w:rsid w:val="00BC020D"/>
    <w:rsid w:val="00BC0F7D"/>
    <w:rsid w:val="00BC19BB"/>
    <w:rsid w:val="00BC1A40"/>
    <w:rsid w:val="00BC2F5A"/>
    <w:rsid w:val="00BC2F5C"/>
    <w:rsid w:val="00BC5006"/>
    <w:rsid w:val="00BC5EEE"/>
    <w:rsid w:val="00BC6B74"/>
    <w:rsid w:val="00BD0EDC"/>
    <w:rsid w:val="00BD1C07"/>
    <w:rsid w:val="00BD1C6D"/>
    <w:rsid w:val="00BD21A9"/>
    <w:rsid w:val="00BD22BA"/>
    <w:rsid w:val="00BD2691"/>
    <w:rsid w:val="00BD40FC"/>
    <w:rsid w:val="00BD4E4B"/>
    <w:rsid w:val="00BD71ED"/>
    <w:rsid w:val="00BE1086"/>
    <w:rsid w:val="00BE2F6C"/>
    <w:rsid w:val="00BE3255"/>
    <w:rsid w:val="00BE48FE"/>
    <w:rsid w:val="00BE4DFC"/>
    <w:rsid w:val="00BE5ED7"/>
    <w:rsid w:val="00BE6C0E"/>
    <w:rsid w:val="00BE7261"/>
    <w:rsid w:val="00BF049D"/>
    <w:rsid w:val="00BF128E"/>
    <w:rsid w:val="00BF1E91"/>
    <w:rsid w:val="00BF28ED"/>
    <w:rsid w:val="00BF2915"/>
    <w:rsid w:val="00BF29FA"/>
    <w:rsid w:val="00BF4481"/>
    <w:rsid w:val="00BF58BD"/>
    <w:rsid w:val="00BF685D"/>
    <w:rsid w:val="00BF73CB"/>
    <w:rsid w:val="00BF7560"/>
    <w:rsid w:val="00C002E6"/>
    <w:rsid w:val="00C009EB"/>
    <w:rsid w:val="00C041D7"/>
    <w:rsid w:val="00C04AB4"/>
    <w:rsid w:val="00C05424"/>
    <w:rsid w:val="00C06E73"/>
    <w:rsid w:val="00C07653"/>
    <w:rsid w:val="00C07B3E"/>
    <w:rsid w:val="00C10595"/>
    <w:rsid w:val="00C108BD"/>
    <w:rsid w:val="00C115DE"/>
    <w:rsid w:val="00C13379"/>
    <w:rsid w:val="00C1496A"/>
    <w:rsid w:val="00C14BC7"/>
    <w:rsid w:val="00C153C4"/>
    <w:rsid w:val="00C16046"/>
    <w:rsid w:val="00C16CB3"/>
    <w:rsid w:val="00C203C4"/>
    <w:rsid w:val="00C20AA8"/>
    <w:rsid w:val="00C20C48"/>
    <w:rsid w:val="00C20C4E"/>
    <w:rsid w:val="00C219F6"/>
    <w:rsid w:val="00C233B1"/>
    <w:rsid w:val="00C32A82"/>
    <w:rsid w:val="00C33079"/>
    <w:rsid w:val="00C3384F"/>
    <w:rsid w:val="00C339B0"/>
    <w:rsid w:val="00C365FA"/>
    <w:rsid w:val="00C377CA"/>
    <w:rsid w:val="00C37BC5"/>
    <w:rsid w:val="00C4006B"/>
    <w:rsid w:val="00C40C2D"/>
    <w:rsid w:val="00C42190"/>
    <w:rsid w:val="00C44A9E"/>
    <w:rsid w:val="00C44CAA"/>
    <w:rsid w:val="00C44ECE"/>
    <w:rsid w:val="00C45231"/>
    <w:rsid w:val="00C45F64"/>
    <w:rsid w:val="00C46FE9"/>
    <w:rsid w:val="00C4701C"/>
    <w:rsid w:val="00C47F27"/>
    <w:rsid w:val="00C50543"/>
    <w:rsid w:val="00C50DE9"/>
    <w:rsid w:val="00C534D0"/>
    <w:rsid w:val="00C539D9"/>
    <w:rsid w:val="00C55150"/>
    <w:rsid w:val="00C564AC"/>
    <w:rsid w:val="00C57501"/>
    <w:rsid w:val="00C5766E"/>
    <w:rsid w:val="00C57CE3"/>
    <w:rsid w:val="00C6010F"/>
    <w:rsid w:val="00C60713"/>
    <w:rsid w:val="00C61640"/>
    <w:rsid w:val="00C620C4"/>
    <w:rsid w:val="00C628BD"/>
    <w:rsid w:val="00C629D7"/>
    <w:rsid w:val="00C62F27"/>
    <w:rsid w:val="00C63335"/>
    <w:rsid w:val="00C636A6"/>
    <w:rsid w:val="00C63BF3"/>
    <w:rsid w:val="00C647FB"/>
    <w:rsid w:val="00C660AB"/>
    <w:rsid w:val="00C670D3"/>
    <w:rsid w:val="00C72833"/>
    <w:rsid w:val="00C731FC"/>
    <w:rsid w:val="00C738FB"/>
    <w:rsid w:val="00C74791"/>
    <w:rsid w:val="00C74BAE"/>
    <w:rsid w:val="00C76951"/>
    <w:rsid w:val="00C76D42"/>
    <w:rsid w:val="00C77979"/>
    <w:rsid w:val="00C80F1D"/>
    <w:rsid w:val="00C81B1E"/>
    <w:rsid w:val="00C81E6E"/>
    <w:rsid w:val="00C82353"/>
    <w:rsid w:val="00C842AA"/>
    <w:rsid w:val="00C86C09"/>
    <w:rsid w:val="00C87210"/>
    <w:rsid w:val="00C900D3"/>
    <w:rsid w:val="00C904DF"/>
    <w:rsid w:val="00C908AD"/>
    <w:rsid w:val="00C9138B"/>
    <w:rsid w:val="00C922F0"/>
    <w:rsid w:val="00C9269C"/>
    <w:rsid w:val="00C92ED3"/>
    <w:rsid w:val="00C93647"/>
    <w:rsid w:val="00C93796"/>
    <w:rsid w:val="00C938B8"/>
    <w:rsid w:val="00C93EE4"/>
    <w:rsid w:val="00C93F40"/>
    <w:rsid w:val="00C94986"/>
    <w:rsid w:val="00C9499A"/>
    <w:rsid w:val="00C950EF"/>
    <w:rsid w:val="00C95342"/>
    <w:rsid w:val="00C955C5"/>
    <w:rsid w:val="00C957B0"/>
    <w:rsid w:val="00C95F55"/>
    <w:rsid w:val="00C962CD"/>
    <w:rsid w:val="00C97B25"/>
    <w:rsid w:val="00CA0126"/>
    <w:rsid w:val="00CA2E08"/>
    <w:rsid w:val="00CA3D0C"/>
    <w:rsid w:val="00CA42A4"/>
    <w:rsid w:val="00CA51AF"/>
    <w:rsid w:val="00CA5F06"/>
    <w:rsid w:val="00CB0DEE"/>
    <w:rsid w:val="00CB17C2"/>
    <w:rsid w:val="00CB22D1"/>
    <w:rsid w:val="00CB2D02"/>
    <w:rsid w:val="00CB3073"/>
    <w:rsid w:val="00CB5251"/>
    <w:rsid w:val="00CB5391"/>
    <w:rsid w:val="00CB5485"/>
    <w:rsid w:val="00CB7409"/>
    <w:rsid w:val="00CC2205"/>
    <w:rsid w:val="00CC22D2"/>
    <w:rsid w:val="00CC3046"/>
    <w:rsid w:val="00CC3F1F"/>
    <w:rsid w:val="00CC4603"/>
    <w:rsid w:val="00CC5190"/>
    <w:rsid w:val="00CC585B"/>
    <w:rsid w:val="00CC6516"/>
    <w:rsid w:val="00CC66C9"/>
    <w:rsid w:val="00CC6E5B"/>
    <w:rsid w:val="00CC73F5"/>
    <w:rsid w:val="00CC7920"/>
    <w:rsid w:val="00CC7CA6"/>
    <w:rsid w:val="00CC7D46"/>
    <w:rsid w:val="00CD0539"/>
    <w:rsid w:val="00CD1099"/>
    <w:rsid w:val="00CD1109"/>
    <w:rsid w:val="00CD13F0"/>
    <w:rsid w:val="00CD26AA"/>
    <w:rsid w:val="00CD27D4"/>
    <w:rsid w:val="00CD5395"/>
    <w:rsid w:val="00CD5DB4"/>
    <w:rsid w:val="00CD5EA8"/>
    <w:rsid w:val="00CD65D8"/>
    <w:rsid w:val="00CD7E48"/>
    <w:rsid w:val="00CE0090"/>
    <w:rsid w:val="00CE04C0"/>
    <w:rsid w:val="00CE0CA7"/>
    <w:rsid w:val="00CE1965"/>
    <w:rsid w:val="00CE2169"/>
    <w:rsid w:val="00CE29E5"/>
    <w:rsid w:val="00CE2FAD"/>
    <w:rsid w:val="00CE417A"/>
    <w:rsid w:val="00CE4A78"/>
    <w:rsid w:val="00CE5962"/>
    <w:rsid w:val="00CE5FF8"/>
    <w:rsid w:val="00CE6B42"/>
    <w:rsid w:val="00CE6CB5"/>
    <w:rsid w:val="00CE75E5"/>
    <w:rsid w:val="00CF013C"/>
    <w:rsid w:val="00CF02CD"/>
    <w:rsid w:val="00CF20E3"/>
    <w:rsid w:val="00CF3390"/>
    <w:rsid w:val="00CF33C4"/>
    <w:rsid w:val="00CF3FB7"/>
    <w:rsid w:val="00CF4398"/>
    <w:rsid w:val="00CF55A8"/>
    <w:rsid w:val="00CF57F9"/>
    <w:rsid w:val="00CF623A"/>
    <w:rsid w:val="00CF6DC7"/>
    <w:rsid w:val="00CF7245"/>
    <w:rsid w:val="00CF7363"/>
    <w:rsid w:val="00CF751E"/>
    <w:rsid w:val="00CF7664"/>
    <w:rsid w:val="00CF7F03"/>
    <w:rsid w:val="00CF7FF1"/>
    <w:rsid w:val="00D004E5"/>
    <w:rsid w:val="00D01C0C"/>
    <w:rsid w:val="00D01CB0"/>
    <w:rsid w:val="00D0262C"/>
    <w:rsid w:val="00D02DB5"/>
    <w:rsid w:val="00D0306C"/>
    <w:rsid w:val="00D0463E"/>
    <w:rsid w:val="00D05F34"/>
    <w:rsid w:val="00D062ED"/>
    <w:rsid w:val="00D06A87"/>
    <w:rsid w:val="00D07126"/>
    <w:rsid w:val="00D0741A"/>
    <w:rsid w:val="00D07B9B"/>
    <w:rsid w:val="00D11598"/>
    <w:rsid w:val="00D137A3"/>
    <w:rsid w:val="00D13BD1"/>
    <w:rsid w:val="00D13E61"/>
    <w:rsid w:val="00D14E14"/>
    <w:rsid w:val="00D14FC5"/>
    <w:rsid w:val="00D15531"/>
    <w:rsid w:val="00D1577A"/>
    <w:rsid w:val="00D15F20"/>
    <w:rsid w:val="00D20016"/>
    <w:rsid w:val="00D20165"/>
    <w:rsid w:val="00D206C0"/>
    <w:rsid w:val="00D210E2"/>
    <w:rsid w:val="00D21EB4"/>
    <w:rsid w:val="00D22550"/>
    <w:rsid w:val="00D228C7"/>
    <w:rsid w:val="00D26AEA"/>
    <w:rsid w:val="00D30092"/>
    <w:rsid w:val="00D309CC"/>
    <w:rsid w:val="00D30B2D"/>
    <w:rsid w:val="00D313D4"/>
    <w:rsid w:val="00D32CDC"/>
    <w:rsid w:val="00D344B0"/>
    <w:rsid w:val="00D34950"/>
    <w:rsid w:val="00D34EAE"/>
    <w:rsid w:val="00D35C02"/>
    <w:rsid w:val="00D3659A"/>
    <w:rsid w:val="00D371F3"/>
    <w:rsid w:val="00D4016E"/>
    <w:rsid w:val="00D40457"/>
    <w:rsid w:val="00D40EA4"/>
    <w:rsid w:val="00D4140B"/>
    <w:rsid w:val="00D41805"/>
    <w:rsid w:val="00D422CC"/>
    <w:rsid w:val="00D43852"/>
    <w:rsid w:val="00D43ED3"/>
    <w:rsid w:val="00D44E79"/>
    <w:rsid w:val="00D45C25"/>
    <w:rsid w:val="00D45EE8"/>
    <w:rsid w:val="00D46431"/>
    <w:rsid w:val="00D465BE"/>
    <w:rsid w:val="00D47864"/>
    <w:rsid w:val="00D518E5"/>
    <w:rsid w:val="00D52656"/>
    <w:rsid w:val="00D554AC"/>
    <w:rsid w:val="00D554BA"/>
    <w:rsid w:val="00D56691"/>
    <w:rsid w:val="00D56A52"/>
    <w:rsid w:val="00D56FBA"/>
    <w:rsid w:val="00D57895"/>
    <w:rsid w:val="00D57972"/>
    <w:rsid w:val="00D579F1"/>
    <w:rsid w:val="00D57A58"/>
    <w:rsid w:val="00D57C0E"/>
    <w:rsid w:val="00D60F70"/>
    <w:rsid w:val="00D60F8B"/>
    <w:rsid w:val="00D613C4"/>
    <w:rsid w:val="00D62C10"/>
    <w:rsid w:val="00D63796"/>
    <w:rsid w:val="00D644B5"/>
    <w:rsid w:val="00D6454E"/>
    <w:rsid w:val="00D648AB"/>
    <w:rsid w:val="00D64C11"/>
    <w:rsid w:val="00D64E95"/>
    <w:rsid w:val="00D65180"/>
    <w:rsid w:val="00D6636C"/>
    <w:rsid w:val="00D66730"/>
    <w:rsid w:val="00D6673B"/>
    <w:rsid w:val="00D669A6"/>
    <w:rsid w:val="00D675A9"/>
    <w:rsid w:val="00D708EF"/>
    <w:rsid w:val="00D73273"/>
    <w:rsid w:val="00D733AB"/>
    <w:rsid w:val="00D738D6"/>
    <w:rsid w:val="00D741FE"/>
    <w:rsid w:val="00D74223"/>
    <w:rsid w:val="00D755E4"/>
    <w:rsid w:val="00D755EB"/>
    <w:rsid w:val="00D76EF8"/>
    <w:rsid w:val="00D8069A"/>
    <w:rsid w:val="00D8133A"/>
    <w:rsid w:val="00D81679"/>
    <w:rsid w:val="00D81DDA"/>
    <w:rsid w:val="00D83CF7"/>
    <w:rsid w:val="00D849E7"/>
    <w:rsid w:val="00D8623E"/>
    <w:rsid w:val="00D86CCA"/>
    <w:rsid w:val="00D87E00"/>
    <w:rsid w:val="00D905B3"/>
    <w:rsid w:val="00D90B37"/>
    <w:rsid w:val="00D9132F"/>
    <w:rsid w:val="00D9134D"/>
    <w:rsid w:val="00D91768"/>
    <w:rsid w:val="00D928E5"/>
    <w:rsid w:val="00D93B26"/>
    <w:rsid w:val="00D93C6C"/>
    <w:rsid w:val="00D94889"/>
    <w:rsid w:val="00D95E53"/>
    <w:rsid w:val="00D96B5B"/>
    <w:rsid w:val="00D96E06"/>
    <w:rsid w:val="00DA0303"/>
    <w:rsid w:val="00DA0E40"/>
    <w:rsid w:val="00DA175B"/>
    <w:rsid w:val="00DA2D8C"/>
    <w:rsid w:val="00DA411B"/>
    <w:rsid w:val="00DA4320"/>
    <w:rsid w:val="00DA4CD5"/>
    <w:rsid w:val="00DA6AB0"/>
    <w:rsid w:val="00DA6B0F"/>
    <w:rsid w:val="00DA7A03"/>
    <w:rsid w:val="00DA7E21"/>
    <w:rsid w:val="00DB0347"/>
    <w:rsid w:val="00DB1818"/>
    <w:rsid w:val="00DB2F2E"/>
    <w:rsid w:val="00DB2FC8"/>
    <w:rsid w:val="00DB69B0"/>
    <w:rsid w:val="00DB7066"/>
    <w:rsid w:val="00DC012A"/>
    <w:rsid w:val="00DC0310"/>
    <w:rsid w:val="00DC0B45"/>
    <w:rsid w:val="00DC0C1C"/>
    <w:rsid w:val="00DC309B"/>
    <w:rsid w:val="00DC3876"/>
    <w:rsid w:val="00DC3A20"/>
    <w:rsid w:val="00DC4DA2"/>
    <w:rsid w:val="00DC4F54"/>
    <w:rsid w:val="00DC5655"/>
    <w:rsid w:val="00DC6F29"/>
    <w:rsid w:val="00DC7941"/>
    <w:rsid w:val="00DD00DC"/>
    <w:rsid w:val="00DD10E0"/>
    <w:rsid w:val="00DD2B0D"/>
    <w:rsid w:val="00DD31F9"/>
    <w:rsid w:val="00DD35B7"/>
    <w:rsid w:val="00DD3B77"/>
    <w:rsid w:val="00DD42F2"/>
    <w:rsid w:val="00DD4C17"/>
    <w:rsid w:val="00DD7459"/>
    <w:rsid w:val="00DD7DBA"/>
    <w:rsid w:val="00DE01A4"/>
    <w:rsid w:val="00DE0988"/>
    <w:rsid w:val="00DE1670"/>
    <w:rsid w:val="00DE2053"/>
    <w:rsid w:val="00DE48BB"/>
    <w:rsid w:val="00DE5882"/>
    <w:rsid w:val="00DE658D"/>
    <w:rsid w:val="00DF1618"/>
    <w:rsid w:val="00DF28BC"/>
    <w:rsid w:val="00DF2B1F"/>
    <w:rsid w:val="00DF2F1F"/>
    <w:rsid w:val="00DF3720"/>
    <w:rsid w:val="00DF3BF3"/>
    <w:rsid w:val="00DF6189"/>
    <w:rsid w:val="00DF62CD"/>
    <w:rsid w:val="00DF72FD"/>
    <w:rsid w:val="00E00558"/>
    <w:rsid w:val="00E01598"/>
    <w:rsid w:val="00E01F2D"/>
    <w:rsid w:val="00E03542"/>
    <w:rsid w:val="00E03E68"/>
    <w:rsid w:val="00E03F67"/>
    <w:rsid w:val="00E04B61"/>
    <w:rsid w:val="00E04D13"/>
    <w:rsid w:val="00E05CE3"/>
    <w:rsid w:val="00E05F92"/>
    <w:rsid w:val="00E06FF0"/>
    <w:rsid w:val="00E072A3"/>
    <w:rsid w:val="00E07F0F"/>
    <w:rsid w:val="00E10DBB"/>
    <w:rsid w:val="00E129D2"/>
    <w:rsid w:val="00E1509B"/>
    <w:rsid w:val="00E16509"/>
    <w:rsid w:val="00E169CF"/>
    <w:rsid w:val="00E20426"/>
    <w:rsid w:val="00E218B0"/>
    <w:rsid w:val="00E22308"/>
    <w:rsid w:val="00E22D3F"/>
    <w:rsid w:val="00E23838"/>
    <w:rsid w:val="00E24D42"/>
    <w:rsid w:val="00E255F5"/>
    <w:rsid w:val="00E25CB4"/>
    <w:rsid w:val="00E26043"/>
    <w:rsid w:val="00E2622D"/>
    <w:rsid w:val="00E30D40"/>
    <w:rsid w:val="00E3104A"/>
    <w:rsid w:val="00E315F5"/>
    <w:rsid w:val="00E318DB"/>
    <w:rsid w:val="00E3192D"/>
    <w:rsid w:val="00E3300C"/>
    <w:rsid w:val="00E341B3"/>
    <w:rsid w:val="00E347FF"/>
    <w:rsid w:val="00E35041"/>
    <w:rsid w:val="00E357DE"/>
    <w:rsid w:val="00E3657C"/>
    <w:rsid w:val="00E37CDE"/>
    <w:rsid w:val="00E37DAC"/>
    <w:rsid w:val="00E40885"/>
    <w:rsid w:val="00E40E2B"/>
    <w:rsid w:val="00E4295C"/>
    <w:rsid w:val="00E42BBC"/>
    <w:rsid w:val="00E42DCB"/>
    <w:rsid w:val="00E4408A"/>
    <w:rsid w:val="00E44582"/>
    <w:rsid w:val="00E44628"/>
    <w:rsid w:val="00E44BF5"/>
    <w:rsid w:val="00E4751A"/>
    <w:rsid w:val="00E50039"/>
    <w:rsid w:val="00E51705"/>
    <w:rsid w:val="00E52814"/>
    <w:rsid w:val="00E54255"/>
    <w:rsid w:val="00E545E6"/>
    <w:rsid w:val="00E54AA7"/>
    <w:rsid w:val="00E56969"/>
    <w:rsid w:val="00E56B0F"/>
    <w:rsid w:val="00E57CAC"/>
    <w:rsid w:val="00E57CAD"/>
    <w:rsid w:val="00E60356"/>
    <w:rsid w:val="00E61DE7"/>
    <w:rsid w:val="00E61EE9"/>
    <w:rsid w:val="00E6220E"/>
    <w:rsid w:val="00E63F36"/>
    <w:rsid w:val="00E64218"/>
    <w:rsid w:val="00E642F3"/>
    <w:rsid w:val="00E64FAA"/>
    <w:rsid w:val="00E65455"/>
    <w:rsid w:val="00E65682"/>
    <w:rsid w:val="00E65E13"/>
    <w:rsid w:val="00E669B1"/>
    <w:rsid w:val="00E67378"/>
    <w:rsid w:val="00E67BA6"/>
    <w:rsid w:val="00E707BD"/>
    <w:rsid w:val="00E7179A"/>
    <w:rsid w:val="00E71B62"/>
    <w:rsid w:val="00E72287"/>
    <w:rsid w:val="00E72324"/>
    <w:rsid w:val="00E72ABE"/>
    <w:rsid w:val="00E73613"/>
    <w:rsid w:val="00E73912"/>
    <w:rsid w:val="00E74B0C"/>
    <w:rsid w:val="00E74F8E"/>
    <w:rsid w:val="00E7573F"/>
    <w:rsid w:val="00E75994"/>
    <w:rsid w:val="00E767AA"/>
    <w:rsid w:val="00E76A34"/>
    <w:rsid w:val="00E76BEA"/>
    <w:rsid w:val="00E77645"/>
    <w:rsid w:val="00E776F7"/>
    <w:rsid w:val="00E77952"/>
    <w:rsid w:val="00E80189"/>
    <w:rsid w:val="00E8060F"/>
    <w:rsid w:val="00E806A6"/>
    <w:rsid w:val="00E80E35"/>
    <w:rsid w:val="00E80F1B"/>
    <w:rsid w:val="00E81122"/>
    <w:rsid w:val="00E81265"/>
    <w:rsid w:val="00E8142C"/>
    <w:rsid w:val="00E82087"/>
    <w:rsid w:val="00E8214B"/>
    <w:rsid w:val="00E8533D"/>
    <w:rsid w:val="00E868FE"/>
    <w:rsid w:val="00E86E52"/>
    <w:rsid w:val="00E87A14"/>
    <w:rsid w:val="00E90DAA"/>
    <w:rsid w:val="00E92002"/>
    <w:rsid w:val="00E95B0C"/>
    <w:rsid w:val="00E95F76"/>
    <w:rsid w:val="00E96CED"/>
    <w:rsid w:val="00E97DA6"/>
    <w:rsid w:val="00E97E34"/>
    <w:rsid w:val="00EA0C19"/>
    <w:rsid w:val="00EA31BE"/>
    <w:rsid w:val="00EA3753"/>
    <w:rsid w:val="00EA37D7"/>
    <w:rsid w:val="00EA49D1"/>
    <w:rsid w:val="00EA4CB5"/>
    <w:rsid w:val="00EA50FA"/>
    <w:rsid w:val="00EA6C6A"/>
    <w:rsid w:val="00EA71FD"/>
    <w:rsid w:val="00EA7752"/>
    <w:rsid w:val="00EA7CBD"/>
    <w:rsid w:val="00EB09EC"/>
    <w:rsid w:val="00EB188A"/>
    <w:rsid w:val="00EB263E"/>
    <w:rsid w:val="00EB3650"/>
    <w:rsid w:val="00EB3822"/>
    <w:rsid w:val="00EB438C"/>
    <w:rsid w:val="00EB43B7"/>
    <w:rsid w:val="00EB442F"/>
    <w:rsid w:val="00EB5B83"/>
    <w:rsid w:val="00EB6386"/>
    <w:rsid w:val="00EB7354"/>
    <w:rsid w:val="00EC1D47"/>
    <w:rsid w:val="00EC23B7"/>
    <w:rsid w:val="00EC4A25"/>
    <w:rsid w:val="00EC57B2"/>
    <w:rsid w:val="00ED0A66"/>
    <w:rsid w:val="00ED1BD6"/>
    <w:rsid w:val="00ED3DD3"/>
    <w:rsid w:val="00ED473C"/>
    <w:rsid w:val="00ED6616"/>
    <w:rsid w:val="00ED77BD"/>
    <w:rsid w:val="00ED7AEA"/>
    <w:rsid w:val="00EE34B4"/>
    <w:rsid w:val="00EE3D6E"/>
    <w:rsid w:val="00EE3FC6"/>
    <w:rsid w:val="00EE4836"/>
    <w:rsid w:val="00EE5419"/>
    <w:rsid w:val="00EE5618"/>
    <w:rsid w:val="00EE5AA7"/>
    <w:rsid w:val="00EE6422"/>
    <w:rsid w:val="00EE6A75"/>
    <w:rsid w:val="00EE6D8A"/>
    <w:rsid w:val="00EF0EB0"/>
    <w:rsid w:val="00EF0FF3"/>
    <w:rsid w:val="00EF2A5B"/>
    <w:rsid w:val="00EF2E9D"/>
    <w:rsid w:val="00EF3D3E"/>
    <w:rsid w:val="00EF4478"/>
    <w:rsid w:val="00EF4C60"/>
    <w:rsid w:val="00EF6C12"/>
    <w:rsid w:val="00F025A2"/>
    <w:rsid w:val="00F0292B"/>
    <w:rsid w:val="00F02F57"/>
    <w:rsid w:val="00F03152"/>
    <w:rsid w:val="00F04712"/>
    <w:rsid w:val="00F04CE1"/>
    <w:rsid w:val="00F05C37"/>
    <w:rsid w:val="00F069AF"/>
    <w:rsid w:val="00F06D17"/>
    <w:rsid w:val="00F0730C"/>
    <w:rsid w:val="00F10DF0"/>
    <w:rsid w:val="00F15335"/>
    <w:rsid w:val="00F15EA0"/>
    <w:rsid w:val="00F169DB"/>
    <w:rsid w:val="00F176D8"/>
    <w:rsid w:val="00F209F3"/>
    <w:rsid w:val="00F20E92"/>
    <w:rsid w:val="00F21311"/>
    <w:rsid w:val="00F22812"/>
    <w:rsid w:val="00F22EC7"/>
    <w:rsid w:val="00F22F59"/>
    <w:rsid w:val="00F2407E"/>
    <w:rsid w:val="00F2484E"/>
    <w:rsid w:val="00F24CC3"/>
    <w:rsid w:val="00F25C01"/>
    <w:rsid w:val="00F263AE"/>
    <w:rsid w:val="00F27CC1"/>
    <w:rsid w:val="00F316E9"/>
    <w:rsid w:val="00F31AE1"/>
    <w:rsid w:val="00F31B97"/>
    <w:rsid w:val="00F325C8"/>
    <w:rsid w:val="00F3466B"/>
    <w:rsid w:val="00F35AD8"/>
    <w:rsid w:val="00F37D3D"/>
    <w:rsid w:val="00F37DA3"/>
    <w:rsid w:val="00F40F96"/>
    <w:rsid w:val="00F4140D"/>
    <w:rsid w:val="00F4341C"/>
    <w:rsid w:val="00F4364A"/>
    <w:rsid w:val="00F43AB8"/>
    <w:rsid w:val="00F451C9"/>
    <w:rsid w:val="00F45260"/>
    <w:rsid w:val="00F4599B"/>
    <w:rsid w:val="00F46296"/>
    <w:rsid w:val="00F5056F"/>
    <w:rsid w:val="00F509FB"/>
    <w:rsid w:val="00F5250F"/>
    <w:rsid w:val="00F52A38"/>
    <w:rsid w:val="00F53827"/>
    <w:rsid w:val="00F55388"/>
    <w:rsid w:val="00F55A56"/>
    <w:rsid w:val="00F55C1A"/>
    <w:rsid w:val="00F56FB6"/>
    <w:rsid w:val="00F572B9"/>
    <w:rsid w:val="00F603BD"/>
    <w:rsid w:val="00F60BD0"/>
    <w:rsid w:val="00F613C3"/>
    <w:rsid w:val="00F62AEB"/>
    <w:rsid w:val="00F62C35"/>
    <w:rsid w:val="00F62DFB"/>
    <w:rsid w:val="00F64884"/>
    <w:rsid w:val="00F64AB7"/>
    <w:rsid w:val="00F653B8"/>
    <w:rsid w:val="00F66754"/>
    <w:rsid w:val="00F671FF"/>
    <w:rsid w:val="00F67778"/>
    <w:rsid w:val="00F67875"/>
    <w:rsid w:val="00F67EF5"/>
    <w:rsid w:val="00F70647"/>
    <w:rsid w:val="00F70B04"/>
    <w:rsid w:val="00F7119B"/>
    <w:rsid w:val="00F729E9"/>
    <w:rsid w:val="00F72E46"/>
    <w:rsid w:val="00F738F5"/>
    <w:rsid w:val="00F75192"/>
    <w:rsid w:val="00F75A73"/>
    <w:rsid w:val="00F75CD3"/>
    <w:rsid w:val="00F76275"/>
    <w:rsid w:val="00F763C2"/>
    <w:rsid w:val="00F77CBD"/>
    <w:rsid w:val="00F80334"/>
    <w:rsid w:val="00F808AF"/>
    <w:rsid w:val="00F81B99"/>
    <w:rsid w:val="00F81D8D"/>
    <w:rsid w:val="00F82B61"/>
    <w:rsid w:val="00F82ED9"/>
    <w:rsid w:val="00F842BD"/>
    <w:rsid w:val="00F84751"/>
    <w:rsid w:val="00F84F0B"/>
    <w:rsid w:val="00F8549F"/>
    <w:rsid w:val="00F862EC"/>
    <w:rsid w:val="00F90A63"/>
    <w:rsid w:val="00F90C88"/>
    <w:rsid w:val="00F90DFB"/>
    <w:rsid w:val="00F9138D"/>
    <w:rsid w:val="00F91C09"/>
    <w:rsid w:val="00F9238A"/>
    <w:rsid w:val="00F9291A"/>
    <w:rsid w:val="00F92A5D"/>
    <w:rsid w:val="00F92D24"/>
    <w:rsid w:val="00F93096"/>
    <w:rsid w:val="00F930E6"/>
    <w:rsid w:val="00F93537"/>
    <w:rsid w:val="00F9556C"/>
    <w:rsid w:val="00F960F4"/>
    <w:rsid w:val="00F96730"/>
    <w:rsid w:val="00F96C7F"/>
    <w:rsid w:val="00F96EDA"/>
    <w:rsid w:val="00F97B58"/>
    <w:rsid w:val="00FA09A6"/>
    <w:rsid w:val="00FA0D4A"/>
    <w:rsid w:val="00FA1266"/>
    <w:rsid w:val="00FA192D"/>
    <w:rsid w:val="00FA1B3F"/>
    <w:rsid w:val="00FA2236"/>
    <w:rsid w:val="00FA284D"/>
    <w:rsid w:val="00FA2AED"/>
    <w:rsid w:val="00FA3F9A"/>
    <w:rsid w:val="00FA400D"/>
    <w:rsid w:val="00FA4B38"/>
    <w:rsid w:val="00FA5C0A"/>
    <w:rsid w:val="00FA5FF0"/>
    <w:rsid w:val="00FA6205"/>
    <w:rsid w:val="00FA6D73"/>
    <w:rsid w:val="00FA7BE5"/>
    <w:rsid w:val="00FB02B3"/>
    <w:rsid w:val="00FB045E"/>
    <w:rsid w:val="00FB0E64"/>
    <w:rsid w:val="00FB10CB"/>
    <w:rsid w:val="00FB1159"/>
    <w:rsid w:val="00FB254A"/>
    <w:rsid w:val="00FB31CA"/>
    <w:rsid w:val="00FB3AC6"/>
    <w:rsid w:val="00FB49CF"/>
    <w:rsid w:val="00FB4C4E"/>
    <w:rsid w:val="00FB5B94"/>
    <w:rsid w:val="00FB5BE6"/>
    <w:rsid w:val="00FB608A"/>
    <w:rsid w:val="00FB6929"/>
    <w:rsid w:val="00FC1192"/>
    <w:rsid w:val="00FC3129"/>
    <w:rsid w:val="00FC3E66"/>
    <w:rsid w:val="00FC4484"/>
    <w:rsid w:val="00FC4530"/>
    <w:rsid w:val="00FC53CE"/>
    <w:rsid w:val="00FC584D"/>
    <w:rsid w:val="00FC5F76"/>
    <w:rsid w:val="00FC6D21"/>
    <w:rsid w:val="00FC74DF"/>
    <w:rsid w:val="00FC791B"/>
    <w:rsid w:val="00FD02C9"/>
    <w:rsid w:val="00FD06E8"/>
    <w:rsid w:val="00FD19DC"/>
    <w:rsid w:val="00FD1D11"/>
    <w:rsid w:val="00FD2C82"/>
    <w:rsid w:val="00FD3075"/>
    <w:rsid w:val="00FD3E42"/>
    <w:rsid w:val="00FD4162"/>
    <w:rsid w:val="00FD4ECE"/>
    <w:rsid w:val="00FD5D83"/>
    <w:rsid w:val="00FD5F89"/>
    <w:rsid w:val="00FE2D7D"/>
    <w:rsid w:val="00FE4333"/>
    <w:rsid w:val="00FE4447"/>
    <w:rsid w:val="00FE44D7"/>
    <w:rsid w:val="00FE48C1"/>
    <w:rsid w:val="00FE51CE"/>
    <w:rsid w:val="00FE6025"/>
    <w:rsid w:val="00FF19F9"/>
    <w:rsid w:val="00FF214D"/>
    <w:rsid w:val="00FF3B43"/>
    <w:rsid w:val="00FF40D1"/>
    <w:rsid w:val="00FF4EFD"/>
    <w:rsid w:val="00FF6F44"/>
    <w:rsid w:val="00FF70E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143B59"/>
  <w15:chartTrackingRefBased/>
  <w15:docId w15:val="{0785467A-5203-4BC7-A16A-667D2707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Body Text" w:uiPriority="99"/>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4DF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uiPriority w:val="99"/>
    <w:qFormat/>
    <w:rsid w:val="002F057E"/>
    <w:rPr>
      <w:sz w:val="16"/>
      <w:szCs w:val="16"/>
    </w:rPr>
  </w:style>
  <w:style w:type="paragraph" w:styleId="CommentText">
    <w:name w:val="annotation text"/>
    <w:basedOn w:val="Normal"/>
    <w:link w:val="CommentTextChar"/>
    <w:uiPriority w:val="99"/>
    <w:qFormat/>
    <w:rsid w:val="002F057E"/>
  </w:style>
  <w:style w:type="character" w:customStyle="1" w:styleId="CommentTextChar">
    <w:name w:val="Comment Text Char"/>
    <w:basedOn w:val="DefaultParagraphFont"/>
    <w:link w:val="CommentText"/>
    <w:uiPriority w:val="99"/>
    <w:qForma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paragraph" w:styleId="Caption">
    <w:name w:val="caption"/>
    <w:basedOn w:val="Normal"/>
    <w:next w:val="Normal"/>
    <w:unhideWhenUsed/>
    <w:qFormat/>
    <w:rsid w:val="00566F0E"/>
    <w:pPr>
      <w:spacing w:after="200"/>
    </w:pPr>
    <w:rPr>
      <w:i/>
      <w:iCs/>
      <w:color w:val="44546A" w:themeColor="text2"/>
      <w:sz w:val="18"/>
      <w:szCs w:val="18"/>
    </w:rPr>
  </w:style>
  <w:style w:type="character" w:customStyle="1" w:styleId="Heading2Char">
    <w:name w:val="Heading 2 Char"/>
    <w:basedOn w:val="DefaultParagraphFont"/>
    <w:link w:val="Heading2"/>
    <w:rsid w:val="00632E7E"/>
    <w:rPr>
      <w:rFonts w:ascii="Arial" w:hAnsi="Arial"/>
      <w:sz w:val="3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AA0EE7"/>
    <w:rPr>
      <w:rFonts w:ascii="Arial" w:hAnsi="Arial"/>
      <w:b/>
      <w:noProof/>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CB22D1"/>
    <w:rPr>
      <w:lang w:eastAsia="en-US"/>
    </w:rPr>
  </w:style>
  <w:style w:type="character" w:customStyle="1" w:styleId="Heading3Char">
    <w:name w:val="Heading 3 Char"/>
    <w:basedOn w:val="DefaultParagraphFont"/>
    <w:link w:val="Heading3"/>
    <w:rsid w:val="00631151"/>
    <w:rPr>
      <w:rFonts w:ascii="Arial" w:hAnsi="Arial"/>
      <w:sz w:val="28"/>
      <w:lang w:eastAsia="en-US"/>
    </w:rPr>
  </w:style>
  <w:style w:type="character" w:customStyle="1" w:styleId="B1Char">
    <w:name w:val="B1 Char"/>
    <w:link w:val="B1"/>
    <w:locked/>
    <w:rsid w:val="00631151"/>
    <w:rPr>
      <w:lang w:eastAsia="en-US"/>
    </w:rPr>
  </w:style>
  <w:style w:type="character" w:customStyle="1" w:styleId="B10">
    <w:name w:val="B1 (文字)"/>
    <w:locked/>
    <w:rsid w:val="00F7119B"/>
    <w:rPr>
      <w:lang w:val="en-GB" w:eastAsia="en-US"/>
    </w:rPr>
  </w:style>
  <w:style w:type="table" w:customStyle="1" w:styleId="TableGrid1">
    <w:name w:val="Table Grid1"/>
    <w:basedOn w:val="TableNormal"/>
    <w:next w:val="TableGrid"/>
    <w:uiPriority w:val="39"/>
    <w:rsid w:val="006569E3"/>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60356"/>
    <w:rPr>
      <w:rFonts w:ascii="Arial" w:hAnsi="Arial"/>
      <w:sz w:val="36"/>
      <w:lang w:eastAsia="en-US"/>
    </w:rPr>
  </w:style>
  <w:style w:type="character" w:customStyle="1" w:styleId="Heading4Char">
    <w:name w:val="Heading 4 Char"/>
    <w:basedOn w:val="DefaultParagraphFont"/>
    <w:link w:val="Heading4"/>
    <w:uiPriority w:val="9"/>
    <w:rsid w:val="008E6297"/>
    <w:rPr>
      <w:rFonts w:ascii="Arial" w:hAnsi="Arial"/>
      <w:sz w:val="24"/>
      <w:lang w:eastAsia="en-US"/>
    </w:rPr>
  </w:style>
  <w:style w:type="paragraph" w:styleId="BodyText">
    <w:name w:val="Body Text"/>
    <w:basedOn w:val="Normal"/>
    <w:link w:val="BodyTextChar"/>
    <w:uiPriority w:val="99"/>
    <w:rsid w:val="00773805"/>
    <w:pPr>
      <w:spacing w:after="120"/>
    </w:pPr>
  </w:style>
  <w:style w:type="character" w:customStyle="1" w:styleId="BodyTextChar">
    <w:name w:val="Body Text Char"/>
    <w:basedOn w:val="DefaultParagraphFont"/>
    <w:link w:val="BodyText"/>
    <w:uiPriority w:val="99"/>
    <w:rsid w:val="0077380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29770">
      <w:bodyDiv w:val="1"/>
      <w:marLeft w:val="0"/>
      <w:marRight w:val="0"/>
      <w:marTop w:val="0"/>
      <w:marBottom w:val="0"/>
      <w:divBdr>
        <w:top w:val="none" w:sz="0" w:space="0" w:color="auto"/>
        <w:left w:val="none" w:sz="0" w:space="0" w:color="auto"/>
        <w:bottom w:val="none" w:sz="0" w:space="0" w:color="auto"/>
        <w:right w:val="none" w:sz="0" w:space="0" w:color="auto"/>
      </w:divBdr>
    </w:div>
    <w:div w:id="236088663">
      <w:bodyDiv w:val="1"/>
      <w:marLeft w:val="0"/>
      <w:marRight w:val="0"/>
      <w:marTop w:val="0"/>
      <w:marBottom w:val="0"/>
      <w:divBdr>
        <w:top w:val="none" w:sz="0" w:space="0" w:color="auto"/>
        <w:left w:val="none" w:sz="0" w:space="0" w:color="auto"/>
        <w:bottom w:val="none" w:sz="0" w:space="0" w:color="auto"/>
        <w:right w:val="none" w:sz="0" w:space="0" w:color="auto"/>
      </w:divBdr>
    </w:div>
    <w:div w:id="438722864">
      <w:bodyDiv w:val="1"/>
      <w:marLeft w:val="0"/>
      <w:marRight w:val="0"/>
      <w:marTop w:val="0"/>
      <w:marBottom w:val="0"/>
      <w:divBdr>
        <w:top w:val="none" w:sz="0" w:space="0" w:color="auto"/>
        <w:left w:val="none" w:sz="0" w:space="0" w:color="auto"/>
        <w:bottom w:val="none" w:sz="0" w:space="0" w:color="auto"/>
        <w:right w:val="none" w:sz="0" w:space="0" w:color="auto"/>
      </w:divBdr>
    </w:div>
    <w:div w:id="441537889">
      <w:bodyDiv w:val="1"/>
      <w:marLeft w:val="0"/>
      <w:marRight w:val="0"/>
      <w:marTop w:val="0"/>
      <w:marBottom w:val="0"/>
      <w:divBdr>
        <w:top w:val="none" w:sz="0" w:space="0" w:color="auto"/>
        <w:left w:val="none" w:sz="0" w:space="0" w:color="auto"/>
        <w:bottom w:val="none" w:sz="0" w:space="0" w:color="auto"/>
        <w:right w:val="none" w:sz="0" w:space="0" w:color="auto"/>
      </w:divBdr>
    </w:div>
    <w:div w:id="518352437">
      <w:bodyDiv w:val="1"/>
      <w:marLeft w:val="0"/>
      <w:marRight w:val="0"/>
      <w:marTop w:val="0"/>
      <w:marBottom w:val="0"/>
      <w:divBdr>
        <w:top w:val="none" w:sz="0" w:space="0" w:color="auto"/>
        <w:left w:val="none" w:sz="0" w:space="0" w:color="auto"/>
        <w:bottom w:val="none" w:sz="0" w:space="0" w:color="auto"/>
        <w:right w:val="none" w:sz="0" w:space="0" w:color="auto"/>
      </w:divBdr>
    </w:div>
    <w:div w:id="547957682">
      <w:bodyDiv w:val="1"/>
      <w:marLeft w:val="0"/>
      <w:marRight w:val="0"/>
      <w:marTop w:val="0"/>
      <w:marBottom w:val="0"/>
      <w:divBdr>
        <w:top w:val="none" w:sz="0" w:space="0" w:color="auto"/>
        <w:left w:val="none" w:sz="0" w:space="0" w:color="auto"/>
        <w:bottom w:val="none" w:sz="0" w:space="0" w:color="auto"/>
        <w:right w:val="none" w:sz="0" w:space="0" w:color="auto"/>
      </w:divBdr>
    </w:div>
    <w:div w:id="871848657">
      <w:bodyDiv w:val="1"/>
      <w:marLeft w:val="0"/>
      <w:marRight w:val="0"/>
      <w:marTop w:val="0"/>
      <w:marBottom w:val="0"/>
      <w:divBdr>
        <w:top w:val="none" w:sz="0" w:space="0" w:color="auto"/>
        <w:left w:val="none" w:sz="0" w:space="0" w:color="auto"/>
        <w:bottom w:val="none" w:sz="0" w:space="0" w:color="auto"/>
        <w:right w:val="none" w:sz="0" w:space="0" w:color="auto"/>
      </w:divBdr>
    </w:div>
    <w:div w:id="913393032">
      <w:bodyDiv w:val="1"/>
      <w:marLeft w:val="0"/>
      <w:marRight w:val="0"/>
      <w:marTop w:val="0"/>
      <w:marBottom w:val="0"/>
      <w:divBdr>
        <w:top w:val="none" w:sz="0" w:space="0" w:color="auto"/>
        <w:left w:val="none" w:sz="0" w:space="0" w:color="auto"/>
        <w:bottom w:val="none" w:sz="0" w:space="0" w:color="auto"/>
        <w:right w:val="none" w:sz="0" w:space="0" w:color="auto"/>
      </w:divBdr>
    </w:div>
    <w:div w:id="966274829">
      <w:bodyDiv w:val="1"/>
      <w:marLeft w:val="0"/>
      <w:marRight w:val="0"/>
      <w:marTop w:val="0"/>
      <w:marBottom w:val="0"/>
      <w:divBdr>
        <w:top w:val="none" w:sz="0" w:space="0" w:color="auto"/>
        <w:left w:val="none" w:sz="0" w:space="0" w:color="auto"/>
        <w:bottom w:val="none" w:sz="0" w:space="0" w:color="auto"/>
        <w:right w:val="none" w:sz="0" w:space="0" w:color="auto"/>
      </w:divBdr>
    </w:div>
    <w:div w:id="1133714642">
      <w:bodyDiv w:val="1"/>
      <w:marLeft w:val="0"/>
      <w:marRight w:val="0"/>
      <w:marTop w:val="0"/>
      <w:marBottom w:val="0"/>
      <w:divBdr>
        <w:top w:val="none" w:sz="0" w:space="0" w:color="auto"/>
        <w:left w:val="none" w:sz="0" w:space="0" w:color="auto"/>
        <w:bottom w:val="none" w:sz="0" w:space="0" w:color="auto"/>
        <w:right w:val="none" w:sz="0" w:space="0" w:color="auto"/>
      </w:divBdr>
    </w:div>
    <w:div w:id="1224103934">
      <w:bodyDiv w:val="1"/>
      <w:marLeft w:val="0"/>
      <w:marRight w:val="0"/>
      <w:marTop w:val="0"/>
      <w:marBottom w:val="0"/>
      <w:divBdr>
        <w:top w:val="none" w:sz="0" w:space="0" w:color="auto"/>
        <w:left w:val="none" w:sz="0" w:space="0" w:color="auto"/>
        <w:bottom w:val="none" w:sz="0" w:space="0" w:color="auto"/>
        <w:right w:val="none" w:sz="0" w:space="0" w:color="auto"/>
      </w:divBdr>
    </w:div>
    <w:div w:id="1337153177">
      <w:bodyDiv w:val="1"/>
      <w:marLeft w:val="0"/>
      <w:marRight w:val="0"/>
      <w:marTop w:val="0"/>
      <w:marBottom w:val="0"/>
      <w:divBdr>
        <w:top w:val="none" w:sz="0" w:space="0" w:color="auto"/>
        <w:left w:val="none" w:sz="0" w:space="0" w:color="auto"/>
        <w:bottom w:val="none" w:sz="0" w:space="0" w:color="auto"/>
        <w:right w:val="none" w:sz="0" w:space="0" w:color="auto"/>
      </w:divBdr>
    </w:div>
    <w:div w:id="1348483094">
      <w:bodyDiv w:val="1"/>
      <w:marLeft w:val="0"/>
      <w:marRight w:val="0"/>
      <w:marTop w:val="0"/>
      <w:marBottom w:val="0"/>
      <w:divBdr>
        <w:top w:val="none" w:sz="0" w:space="0" w:color="auto"/>
        <w:left w:val="none" w:sz="0" w:space="0" w:color="auto"/>
        <w:bottom w:val="none" w:sz="0" w:space="0" w:color="auto"/>
        <w:right w:val="none" w:sz="0" w:space="0" w:color="auto"/>
      </w:divBdr>
    </w:div>
    <w:div w:id="1429961083">
      <w:bodyDiv w:val="1"/>
      <w:marLeft w:val="0"/>
      <w:marRight w:val="0"/>
      <w:marTop w:val="0"/>
      <w:marBottom w:val="0"/>
      <w:divBdr>
        <w:top w:val="none" w:sz="0" w:space="0" w:color="auto"/>
        <w:left w:val="none" w:sz="0" w:space="0" w:color="auto"/>
        <w:bottom w:val="none" w:sz="0" w:space="0" w:color="auto"/>
        <w:right w:val="none" w:sz="0" w:space="0" w:color="auto"/>
      </w:divBdr>
    </w:div>
    <w:div w:id="1488208060">
      <w:bodyDiv w:val="1"/>
      <w:marLeft w:val="0"/>
      <w:marRight w:val="0"/>
      <w:marTop w:val="0"/>
      <w:marBottom w:val="0"/>
      <w:divBdr>
        <w:top w:val="none" w:sz="0" w:space="0" w:color="auto"/>
        <w:left w:val="none" w:sz="0" w:space="0" w:color="auto"/>
        <w:bottom w:val="none" w:sz="0" w:space="0" w:color="auto"/>
        <w:right w:val="none" w:sz="0" w:space="0" w:color="auto"/>
      </w:divBdr>
    </w:div>
    <w:div w:id="1676035151">
      <w:bodyDiv w:val="1"/>
      <w:marLeft w:val="0"/>
      <w:marRight w:val="0"/>
      <w:marTop w:val="0"/>
      <w:marBottom w:val="0"/>
      <w:divBdr>
        <w:top w:val="none" w:sz="0" w:space="0" w:color="auto"/>
        <w:left w:val="none" w:sz="0" w:space="0" w:color="auto"/>
        <w:bottom w:val="none" w:sz="0" w:space="0" w:color="auto"/>
        <w:right w:val="none" w:sz="0" w:space="0" w:color="auto"/>
      </w:divBdr>
    </w:div>
    <w:div w:id="1716806211">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87539837">
      <w:bodyDiv w:val="1"/>
      <w:marLeft w:val="0"/>
      <w:marRight w:val="0"/>
      <w:marTop w:val="0"/>
      <w:marBottom w:val="0"/>
      <w:divBdr>
        <w:top w:val="none" w:sz="0" w:space="0" w:color="auto"/>
        <w:left w:val="none" w:sz="0" w:space="0" w:color="auto"/>
        <w:bottom w:val="none" w:sz="0" w:space="0" w:color="auto"/>
        <w:right w:val="none" w:sz="0" w:space="0" w:color="auto"/>
      </w:divBdr>
    </w:div>
    <w:div w:id="2033606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fec27805-09a8-40a2-bd80-053a1fed723f">
      <UserInfo>
        <DisplayName>Lehne, Mark A</DisplayName>
        <AccountId>56</AccountId>
        <AccountType/>
      </UserInfo>
      <UserInfo>
        <DisplayName>Kim, Jiwoo</DisplayName>
        <AccountId>17</AccountId>
        <AccountType/>
      </UserInfo>
      <UserInfo>
        <DisplayName>Chervyakov, Andrey</DisplayName>
        <AccountId>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B8A04-4528-4B35-B43F-8B63D336CFE9}">
  <ds:schemaRefs>
    <ds:schemaRef ds:uri="http://schemas.microsoft.com/sharepoint/v3/contenttype/forms"/>
  </ds:schemaRefs>
</ds:datastoreItem>
</file>

<file path=customXml/itemProps2.xml><?xml version="1.0" encoding="utf-8"?>
<ds:datastoreItem xmlns:ds="http://schemas.openxmlformats.org/officeDocument/2006/customXml" ds:itemID="{B6831716-A3B0-4B15-9058-9CA54FC3879A}">
  <ds:schemaRefs>
    <ds:schemaRef ds:uri="http://schemas.microsoft.com/office/2006/metadata/properties"/>
    <ds:schemaRef ds:uri="http://schemas.microsoft.com/office/infopath/2007/PartnerControls"/>
    <ds:schemaRef ds:uri="fec27805-09a8-40a2-bd80-053a1fed723f"/>
  </ds:schemaRefs>
</ds:datastoreItem>
</file>

<file path=customXml/itemProps3.xml><?xml version="1.0" encoding="utf-8"?>
<ds:datastoreItem xmlns:ds="http://schemas.openxmlformats.org/officeDocument/2006/customXml" ds:itemID="{0B3E7F44-3488-4B6E-BC1C-3407540C49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1289</Words>
  <Characters>7348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offline_user@sapfi0ci.intel.com</dc:creator>
  <cp:keywords/>
  <dc:description/>
  <cp:lastModifiedBy>Lehne, Mark A</cp:lastModifiedBy>
  <cp:revision>2</cp:revision>
  <cp:lastPrinted>2019-02-25T14:05:00Z</cp:lastPrinted>
  <dcterms:created xsi:type="dcterms:W3CDTF">2022-03-02T16:16:00Z</dcterms:created>
  <dcterms:modified xsi:type="dcterms:W3CDTF">2022-03-02T16:16:00Z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