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020C2" w14:textId="25E3F68C" w:rsidR="007346A2" w:rsidRPr="00F460AE" w:rsidRDefault="007346A2" w:rsidP="007346A2">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Pr>
          <w:rFonts w:asciiTheme="minorHAnsi" w:hAnsiTheme="minorHAnsi" w:cstheme="minorHAnsi"/>
          <w:sz w:val="24"/>
          <w:szCs w:val="24"/>
        </w:rPr>
        <w:t>102</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Pr>
          <w:rFonts w:asciiTheme="minorHAnsi" w:hAnsiTheme="minorHAnsi" w:cstheme="minorHAnsi"/>
          <w:sz w:val="24"/>
          <w:szCs w:val="24"/>
        </w:rPr>
        <w:t>20</w:t>
      </w:r>
      <w:r w:rsidR="004034FF">
        <w:rPr>
          <w:rFonts w:asciiTheme="minorHAnsi" w:hAnsiTheme="minorHAnsi" w:cstheme="minorHAnsi"/>
          <w:sz w:val="24"/>
          <w:szCs w:val="24"/>
        </w:rPr>
        <w:t>6135</w:t>
      </w:r>
    </w:p>
    <w:p w14:paraId="2E5582A7" w14:textId="77777777" w:rsidR="007346A2" w:rsidRPr="00F460AE" w:rsidRDefault="007346A2" w:rsidP="007346A2">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Pr>
          <w:rFonts w:asciiTheme="minorHAnsi" w:eastAsia="SimSun" w:hAnsiTheme="minorHAnsi" w:cstheme="minorHAnsi"/>
          <w:sz w:val="24"/>
          <w:szCs w:val="24"/>
          <w:lang w:eastAsia="zh-CN"/>
        </w:rPr>
        <w:t>21</w:t>
      </w:r>
      <w:r w:rsidRPr="00BB0FB9">
        <w:rPr>
          <w:rFonts w:asciiTheme="minorHAnsi" w:eastAsia="SimSun" w:hAnsiTheme="minorHAnsi" w:cstheme="minorHAnsi"/>
          <w:sz w:val="24"/>
          <w:szCs w:val="24"/>
          <w:vertAlign w:val="superscript"/>
          <w:lang w:eastAsia="zh-CN"/>
        </w:rPr>
        <w:t>st</w:t>
      </w:r>
      <w:r>
        <w:rPr>
          <w:rFonts w:asciiTheme="minorHAnsi" w:eastAsia="SimSun" w:hAnsiTheme="minorHAnsi" w:cstheme="minorHAnsi"/>
          <w:sz w:val="24"/>
          <w:szCs w:val="24"/>
          <w:lang w:eastAsia="zh-CN"/>
        </w:rPr>
        <w:t xml:space="preserve"> February – 3</w:t>
      </w:r>
      <w:r w:rsidRPr="00BB0FB9">
        <w:rPr>
          <w:rFonts w:asciiTheme="minorHAnsi" w:eastAsia="SimSun" w:hAnsiTheme="minorHAnsi" w:cstheme="minorHAnsi"/>
          <w:sz w:val="24"/>
          <w:szCs w:val="24"/>
          <w:vertAlign w:val="superscript"/>
          <w:lang w:eastAsia="zh-CN"/>
        </w:rPr>
        <w:t>rd</w:t>
      </w:r>
      <w:r>
        <w:rPr>
          <w:rFonts w:asciiTheme="minorHAnsi" w:eastAsia="SimSun" w:hAnsiTheme="minorHAnsi" w:cstheme="minorHAnsi"/>
          <w:sz w:val="24"/>
          <w:szCs w:val="24"/>
          <w:lang w:eastAsia="zh-CN"/>
        </w:rPr>
        <w:t xml:space="preserve"> March</w:t>
      </w:r>
      <w:r w:rsidRPr="00F460AE">
        <w:rPr>
          <w:rFonts w:asciiTheme="minorHAnsi" w:eastAsia="SimSun" w:hAnsiTheme="minorHAnsi" w:cstheme="minorHAnsi"/>
          <w:sz w:val="24"/>
          <w:szCs w:val="24"/>
          <w:lang w:eastAsia="zh-CN"/>
        </w:rPr>
        <w:t>, 202</w:t>
      </w:r>
      <w:r>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030ABABA"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ED06D6">
        <w:rPr>
          <w:rFonts w:asciiTheme="minorHAnsi" w:eastAsia="SimSun" w:hAnsiTheme="minorHAnsi" w:cstheme="minorHAnsi"/>
          <w:b/>
          <w:sz w:val="24"/>
          <w:szCs w:val="24"/>
          <w:lang w:val="en-US" w:eastAsia="zh-CN"/>
        </w:rPr>
        <w:t xml:space="preserve">RedCap </w:t>
      </w:r>
      <w:r w:rsidR="004E3CCB">
        <w:rPr>
          <w:rFonts w:asciiTheme="minorHAnsi" w:eastAsia="SimSun" w:hAnsiTheme="minorHAnsi" w:cstheme="minorHAnsi"/>
          <w:b/>
          <w:sz w:val="24"/>
          <w:szCs w:val="24"/>
          <w:lang w:val="en-US" w:eastAsia="zh-CN"/>
        </w:rPr>
        <w:t>Tx-Rx separation for FDD</w:t>
      </w:r>
    </w:p>
    <w:p w14:paraId="2B4F11BA" w14:textId="0D6DA94A"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4034FF">
        <w:rPr>
          <w:rFonts w:asciiTheme="minorHAnsi" w:eastAsia="SimSun" w:hAnsiTheme="minorHAnsi" w:cstheme="minorHAnsi"/>
          <w:b/>
          <w:sz w:val="24"/>
          <w:szCs w:val="24"/>
          <w:lang w:val="en-US" w:eastAsia="zh-CN"/>
        </w:rPr>
        <w:t>10</w:t>
      </w:r>
      <w:bookmarkStart w:id="2" w:name="_GoBack"/>
      <w:bookmarkEnd w:id="2"/>
      <w:r w:rsidR="00B00361">
        <w:rPr>
          <w:rFonts w:asciiTheme="minorHAnsi" w:eastAsia="SimSun" w:hAnsiTheme="minorHAnsi" w:cstheme="minorHAnsi"/>
          <w:b/>
          <w:sz w:val="24"/>
          <w:szCs w:val="24"/>
          <w:lang w:val="en-US" w:eastAsia="zh-CN"/>
        </w:rPr>
        <w:t>.20.2</w:t>
      </w:r>
      <w:r w:rsidR="008E3E54">
        <w:rPr>
          <w:rFonts w:asciiTheme="minorHAnsi" w:eastAsia="SimSun" w:hAnsiTheme="minorHAnsi" w:cstheme="minorHAnsi"/>
          <w:b/>
          <w:sz w:val="24"/>
          <w:szCs w:val="24"/>
          <w:lang w:val="en-US" w:eastAsia="zh-CN"/>
        </w:rPr>
        <w:t>.1</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27DD40BD"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4E3CCB">
        <w:rPr>
          <w:rFonts w:asciiTheme="minorHAnsi" w:hAnsiTheme="minorHAnsi" w:cstheme="minorHAnsi"/>
          <w:lang w:eastAsia="zh-TW"/>
        </w:rPr>
        <w:t>continues the discussion from R4#101bis-e regarding maintenance of existing Tx-Rx separation requirements for FDD bands for RedCap UEs.</w:t>
      </w:r>
    </w:p>
    <w:p w14:paraId="4127F8A2" w14:textId="78573DC2" w:rsidR="00D8482C" w:rsidRDefault="00ED06D6" w:rsidP="00D8482C">
      <w:pPr>
        <w:pStyle w:val="Heading1"/>
        <w:numPr>
          <w:ilvl w:val="0"/>
          <w:numId w:val="1"/>
        </w:numPr>
        <w:rPr>
          <w:rFonts w:asciiTheme="minorHAnsi" w:hAnsiTheme="minorHAnsi" w:cstheme="minorHAnsi"/>
          <w:sz w:val="32"/>
          <w:lang w:val="en-US" w:eastAsia="zh-CN"/>
        </w:rPr>
      </w:pPr>
      <w:r>
        <w:rPr>
          <w:rFonts w:asciiTheme="minorHAnsi" w:hAnsiTheme="minorHAnsi" w:cstheme="minorHAnsi"/>
          <w:sz w:val="32"/>
          <w:lang w:val="en-US" w:eastAsia="zh-CN"/>
        </w:rPr>
        <w:t xml:space="preserve">Tx-Rx separation for FDD </w:t>
      </w:r>
      <w:r w:rsidR="00B00361">
        <w:rPr>
          <w:rFonts w:asciiTheme="minorHAnsi" w:hAnsiTheme="minorHAnsi" w:cstheme="minorHAnsi"/>
          <w:sz w:val="32"/>
          <w:lang w:val="en-US" w:eastAsia="zh-CN"/>
        </w:rPr>
        <w:t>bands</w:t>
      </w:r>
    </w:p>
    <w:p w14:paraId="3189F4E2" w14:textId="77777777" w:rsidR="00ED06D6" w:rsidRDefault="00ED06D6" w:rsidP="00ED06D6">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3AF8B429" w14:textId="46332764" w:rsidR="004E3CCB" w:rsidRDefault="004E3CCB" w:rsidP="00E77FE3">
      <w:pPr>
        <w:spacing w:after="160" w:line="259" w:lineRule="auto"/>
        <w:rPr>
          <w:rFonts w:asciiTheme="minorHAnsi" w:hAnsiTheme="minorHAnsi" w:cstheme="minorHAnsi"/>
        </w:rPr>
      </w:pPr>
      <w:r>
        <w:rPr>
          <w:rFonts w:asciiTheme="minorHAnsi" w:hAnsiTheme="minorHAnsi" w:cstheme="minorHAnsi"/>
        </w:rPr>
        <w:t>In R</w:t>
      </w:r>
      <w:r w:rsidR="007346A2">
        <w:rPr>
          <w:rFonts w:asciiTheme="minorHAnsi" w:hAnsiTheme="minorHAnsi" w:cstheme="minorHAnsi"/>
        </w:rPr>
        <w:t>AN</w:t>
      </w:r>
      <w:r>
        <w:rPr>
          <w:rFonts w:asciiTheme="minorHAnsi" w:hAnsiTheme="minorHAnsi" w:cstheme="minorHAnsi"/>
        </w:rPr>
        <w:t>4#101bis-e, it was highlighted in [2] that it is important to ensure that the BWP flexibility does not contravene existing Tx-Rx separation requirements between configured UL and DL channel bandwidths</w:t>
      </w:r>
      <w:r w:rsidR="007346A2">
        <w:rPr>
          <w:rFonts w:asciiTheme="minorHAnsi" w:hAnsiTheme="minorHAnsi" w:cstheme="minorHAnsi"/>
        </w:rPr>
        <w:t>, also in light of the LS received by RAN4 in [1]</w:t>
      </w:r>
      <w:r>
        <w:rPr>
          <w:rFonts w:asciiTheme="minorHAnsi" w:hAnsiTheme="minorHAnsi" w:cstheme="minorHAnsi"/>
        </w:rPr>
        <w:t>.</w:t>
      </w:r>
    </w:p>
    <w:p w14:paraId="720B1EB6" w14:textId="2C38A3EC" w:rsidR="004E3CCB" w:rsidRDefault="004E3CCB" w:rsidP="00E77FE3">
      <w:pPr>
        <w:spacing w:after="160" w:line="259" w:lineRule="auto"/>
        <w:rPr>
          <w:rFonts w:asciiTheme="minorHAnsi" w:hAnsiTheme="minorHAnsi" w:cstheme="minorHAnsi"/>
        </w:rPr>
      </w:pPr>
      <w:r>
        <w:rPr>
          <w:rFonts w:asciiTheme="minorHAnsi" w:hAnsiTheme="minorHAnsi" w:cstheme="minorHAnsi"/>
        </w:rPr>
        <w:t>During the discussion, the following views were provided</w:t>
      </w:r>
      <w:r w:rsidR="006E7CEF">
        <w:rPr>
          <w:rFonts w:asciiTheme="minorHAnsi" w:hAnsiTheme="minorHAnsi" w:cstheme="minorHAnsi"/>
        </w:rPr>
        <w:t xml:space="preserve"> (as captured in [3])</w:t>
      </w:r>
      <w:r>
        <w:rPr>
          <w:rFonts w:asciiTheme="minorHAnsi" w:hAnsiTheme="minorHAnsi" w:cstheme="minorHAnsi"/>
        </w:rPr>
        <w:t>:</w:t>
      </w:r>
    </w:p>
    <w:p w14:paraId="383961B7" w14:textId="206E5D54" w:rsidR="004E3CCB" w:rsidRDefault="007346A2" w:rsidP="004E3CCB">
      <w:pPr>
        <w:pStyle w:val="ListParagraph"/>
        <w:numPr>
          <w:ilvl w:val="0"/>
          <w:numId w:val="17"/>
        </w:numPr>
        <w:spacing w:after="160" w:line="259" w:lineRule="auto"/>
        <w:rPr>
          <w:rFonts w:asciiTheme="minorHAnsi" w:hAnsiTheme="minorHAnsi" w:cstheme="minorHAnsi"/>
        </w:rPr>
      </w:pPr>
      <w:r>
        <w:rPr>
          <w:rFonts w:asciiTheme="minorHAnsi" w:hAnsiTheme="minorHAnsi" w:cstheme="minorHAnsi"/>
        </w:rPr>
        <w:t>Proposal</w:t>
      </w:r>
      <w:r w:rsidR="004E3CCB">
        <w:rPr>
          <w:rFonts w:asciiTheme="minorHAnsi" w:hAnsiTheme="minorHAnsi" w:cstheme="minorHAnsi"/>
        </w:rPr>
        <w:t xml:space="preserve"> that it needs to be clarified that the flexible BWP configuration cannot exceed the channel bandwidth</w:t>
      </w:r>
      <w:r>
        <w:rPr>
          <w:rFonts w:asciiTheme="minorHAnsi" w:hAnsiTheme="minorHAnsi" w:cstheme="minorHAnsi"/>
        </w:rPr>
        <w:t xml:space="preserve"> being operated by the UE</w:t>
      </w:r>
      <w:r w:rsidR="004E3CCB">
        <w:rPr>
          <w:rFonts w:asciiTheme="minorHAnsi" w:hAnsiTheme="minorHAnsi" w:cstheme="minorHAnsi"/>
        </w:rPr>
        <w:t>, and that the</w:t>
      </w:r>
      <w:r>
        <w:rPr>
          <w:rFonts w:asciiTheme="minorHAnsi" w:hAnsiTheme="minorHAnsi" w:cstheme="minorHAnsi"/>
        </w:rPr>
        <w:t xml:space="preserve"> channel bandwidth configured in the UE</w:t>
      </w:r>
      <w:r w:rsidR="004E3CCB">
        <w:rPr>
          <w:rFonts w:asciiTheme="minorHAnsi" w:hAnsiTheme="minorHAnsi" w:cstheme="minorHAnsi"/>
        </w:rPr>
        <w:t xml:space="preserve"> for UL and DL need to fulfil the Tx-Rx separation. Then different views on whether a clarification is needed.</w:t>
      </w:r>
    </w:p>
    <w:p w14:paraId="3150EA41" w14:textId="7ED7841E" w:rsidR="00E77FE3" w:rsidRDefault="004E3CCB" w:rsidP="004E3CCB">
      <w:pPr>
        <w:pStyle w:val="ListParagraph"/>
        <w:numPr>
          <w:ilvl w:val="0"/>
          <w:numId w:val="17"/>
        </w:numPr>
        <w:spacing w:after="160" w:line="259" w:lineRule="auto"/>
        <w:rPr>
          <w:rFonts w:asciiTheme="minorHAnsi" w:hAnsiTheme="minorHAnsi" w:cstheme="minorHAnsi"/>
        </w:rPr>
      </w:pPr>
      <w:r>
        <w:rPr>
          <w:rFonts w:asciiTheme="minorHAnsi" w:hAnsiTheme="minorHAnsi" w:cstheme="minorHAnsi"/>
        </w:rPr>
        <w:t>Disagreement with the above, and a view that the BWP configuration should be able to be located anywhere within the Base Station channel bandwidth, and that restriction of the flexibility may not need to be restricted generically for all bands.</w:t>
      </w:r>
    </w:p>
    <w:p w14:paraId="49F6FBC9" w14:textId="70510D56" w:rsidR="004E3CCB" w:rsidRPr="004E3CCB" w:rsidRDefault="007346A2" w:rsidP="004E3CCB">
      <w:pPr>
        <w:spacing w:after="160" w:line="259" w:lineRule="auto"/>
        <w:rPr>
          <w:rFonts w:asciiTheme="minorHAnsi" w:hAnsiTheme="minorHAnsi" w:cstheme="minorHAnsi"/>
          <w:b/>
          <w:u w:val="single"/>
        </w:rPr>
      </w:pPr>
      <w:r>
        <w:rPr>
          <w:rFonts w:asciiTheme="minorHAnsi" w:hAnsiTheme="minorHAnsi" w:cstheme="minorHAnsi"/>
          <w:b/>
          <w:u w:val="single"/>
        </w:rPr>
        <w:t>Considerations on a way forward</w:t>
      </w:r>
    </w:p>
    <w:p w14:paraId="66F1A5E5" w14:textId="23261A73" w:rsidR="004E3CCB" w:rsidRDefault="004E3CCB" w:rsidP="004E3CCB">
      <w:pPr>
        <w:spacing w:after="160" w:line="259" w:lineRule="auto"/>
        <w:rPr>
          <w:rFonts w:asciiTheme="minorHAnsi" w:hAnsiTheme="minorHAnsi" w:cstheme="minorHAnsi"/>
        </w:rPr>
      </w:pPr>
      <w:r>
        <w:rPr>
          <w:rFonts w:asciiTheme="minorHAnsi" w:hAnsiTheme="minorHAnsi" w:cstheme="minorHAnsi"/>
        </w:rPr>
        <w:t xml:space="preserve">We are now in the last meeting for finalising RF requirements for Rel-17 work items. Any further discussion on whether to allow more flexibility for certain bands would not be able to be concluded at this meeting. </w:t>
      </w:r>
    </w:p>
    <w:p w14:paraId="3C898AEE" w14:textId="63CB8E0F" w:rsidR="004E3CCB" w:rsidRDefault="004E3CCB" w:rsidP="004E3CCB">
      <w:pPr>
        <w:spacing w:after="160" w:line="259" w:lineRule="auto"/>
        <w:rPr>
          <w:rFonts w:asciiTheme="minorHAnsi" w:hAnsiTheme="minorHAnsi" w:cstheme="minorHAnsi"/>
        </w:rPr>
      </w:pPr>
      <w:r>
        <w:rPr>
          <w:rFonts w:asciiTheme="minorHAnsi" w:hAnsiTheme="minorHAnsi" w:cstheme="minorHAnsi"/>
        </w:rPr>
        <w:t>In addition, the maximum channel bandwidth for non-RedCap UE operation in FDD bands is 50MHz. Therefore, flexibly locating the UL and DL BWPs in a manner that contravenes the Tx-Rx separation for 20MHz bandwidth configurations at the UE seems to offer very limited system benefit.</w:t>
      </w:r>
    </w:p>
    <w:p w14:paraId="241C9546" w14:textId="77777777" w:rsidR="007346A2" w:rsidRDefault="007346A2" w:rsidP="004E3CCB">
      <w:pPr>
        <w:spacing w:after="160" w:line="259" w:lineRule="auto"/>
        <w:rPr>
          <w:rFonts w:asciiTheme="minorHAnsi" w:hAnsiTheme="minorHAnsi" w:cstheme="minorHAnsi"/>
        </w:rPr>
      </w:pPr>
      <w:r>
        <w:rPr>
          <w:rFonts w:asciiTheme="minorHAnsi" w:hAnsiTheme="minorHAnsi" w:cstheme="minorHAnsi"/>
        </w:rPr>
        <w:t xml:space="preserve">Therefore it seems most straightforward to agree that the BWP configured in the UE cannot exceed the configured channel bandwidth at the UE. </w:t>
      </w:r>
    </w:p>
    <w:p w14:paraId="44FF1A42" w14:textId="2EF1CBA6" w:rsidR="007346A2" w:rsidRDefault="007346A2" w:rsidP="004E3CCB">
      <w:pPr>
        <w:spacing w:after="160" w:line="259" w:lineRule="auto"/>
        <w:rPr>
          <w:rFonts w:asciiTheme="minorHAnsi" w:hAnsiTheme="minorHAnsi" w:cstheme="minorHAnsi"/>
        </w:rPr>
      </w:pPr>
      <w:r>
        <w:rPr>
          <w:rFonts w:asciiTheme="minorHAnsi" w:hAnsiTheme="minorHAnsi" w:cstheme="minorHAnsi"/>
        </w:rPr>
        <w:t>However there is an issue. The current RAN2 signalling has not defined any concept of “CarrierBW” for the RedCap UE for initial access, and seems to rely purely on the “BWP” to identify where the UE ARFCN shall be located. This does not give clear information about which ARFCN the UE shall use (as the BWP size is not required to be equal to a UE channel BW size.</w:t>
      </w:r>
    </w:p>
    <w:p w14:paraId="7EFF860F" w14:textId="5429D99D" w:rsidR="004E3CCB" w:rsidRDefault="004F5F03" w:rsidP="004E3CCB">
      <w:pPr>
        <w:spacing w:after="160" w:line="259" w:lineRule="auto"/>
        <w:rPr>
          <w:rFonts w:asciiTheme="minorHAnsi" w:hAnsiTheme="minorHAnsi" w:cstheme="minorHAnsi"/>
          <w:b/>
        </w:rPr>
      </w:pPr>
      <w:r w:rsidRPr="0013311E">
        <w:rPr>
          <w:rFonts w:asciiTheme="minorHAnsi" w:hAnsiTheme="minorHAnsi" w:cstheme="minorHAnsi"/>
          <w:b/>
          <w:u w:val="single"/>
        </w:rPr>
        <w:t>Proposal</w:t>
      </w:r>
      <w:r w:rsidR="007346A2">
        <w:rPr>
          <w:rFonts w:asciiTheme="minorHAnsi" w:hAnsiTheme="minorHAnsi" w:cstheme="minorHAnsi"/>
          <w:b/>
          <w:u w:val="single"/>
        </w:rPr>
        <w:t xml:space="preserve"> 1</w:t>
      </w:r>
      <w:r>
        <w:rPr>
          <w:rFonts w:asciiTheme="minorHAnsi" w:hAnsiTheme="minorHAnsi" w:cstheme="minorHAnsi"/>
          <w:b/>
        </w:rPr>
        <w:t>: For</w:t>
      </w:r>
      <w:r w:rsidR="004E3CCB" w:rsidRPr="004E3CCB">
        <w:rPr>
          <w:rFonts w:asciiTheme="minorHAnsi" w:hAnsiTheme="minorHAnsi" w:cstheme="minorHAnsi"/>
          <w:b/>
        </w:rPr>
        <w:t xml:space="preserve"> FD-FDD, </w:t>
      </w:r>
      <w:r>
        <w:rPr>
          <w:rFonts w:asciiTheme="minorHAnsi" w:hAnsiTheme="minorHAnsi" w:cstheme="minorHAnsi"/>
          <w:b/>
        </w:rPr>
        <w:t>confirm</w:t>
      </w:r>
      <w:r w:rsidR="004E3CCB">
        <w:rPr>
          <w:rFonts w:asciiTheme="minorHAnsi" w:hAnsiTheme="minorHAnsi" w:cstheme="minorHAnsi"/>
          <w:b/>
        </w:rPr>
        <w:t xml:space="preserve"> that </w:t>
      </w:r>
      <w:r w:rsidR="00574C8D">
        <w:rPr>
          <w:rFonts w:asciiTheme="minorHAnsi" w:hAnsiTheme="minorHAnsi" w:cstheme="minorHAnsi"/>
          <w:b/>
        </w:rPr>
        <w:t>the UL/DL ARFCNs of RedCap</w:t>
      </w:r>
      <w:r w:rsidR="004E3CCB">
        <w:rPr>
          <w:rFonts w:asciiTheme="minorHAnsi" w:hAnsiTheme="minorHAnsi" w:cstheme="minorHAnsi"/>
          <w:b/>
        </w:rPr>
        <w:t xml:space="preserve"> UE </w:t>
      </w:r>
      <w:r w:rsidR="00574C8D">
        <w:rPr>
          <w:rFonts w:asciiTheme="minorHAnsi" w:hAnsiTheme="minorHAnsi" w:cstheme="minorHAnsi"/>
          <w:b/>
        </w:rPr>
        <w:t xml:space="preserve">UL/DL </w:t>
      </w:r>
      <w:r w:rsidR="004E3CCB">
        <w:rPr>
          <w:rFonts w:asciiTheme="minorHAnsi" w:hAnsiTheme="minorHAnsi" w:cstheme="minorHAnsi"/>
          <w:b/>
        </w:rPr>
        <w:t>channel bandwidth</w:t>
      </w:r>
      <w:r w:rsidR="00574C8D">
        <w:rPr>
          <w:rFonts w:asciiTheme="minorHAnsi" w:hAnsiTheme="minorHAnsi" w:cstheme="minorHAnsi"/>
          <w:b/>
        </w:rPr>
        <w:t xml:space="preserve"> configurations</w:t>
      </w:r>
      <w:r w:rsidR="004E3CCB">
        <w:rPr>
          <w:rFonts w:asciiTheme="minorHAnsi" w:hAnsiTheme="minorHAnsi" w:cstheme="minorHAnsi"/>
          <w:b/>
        </w:rPr>
        <w:t xml:space="preserve"> </w:t>
      </w:r>
      <w:r w:rsidR="00574C8D">
        <w:rPr>
          <w:rFonts w:asciiTheme="minorHAnsi" w:hAnsiTheme="minorHAnsi" w:cstheme="minorHAnsi"/>
          <w:b/>
        </w:rPr>
        <w:t>(where the channel BW is ≤20MHz) shall</w:t>
      </w:r>
      <w:r w:rsidR="004E3CCB" w:rsidRPr="004E3CCB">
        <w:rPr>
          <w:rFonts w:asciiTheme="minorHAnsi" w:hAnsiTheme="minorHAnsi" w:cstheme="minorHAnsi"/>
          <w:b/>
        </w:rPr>
        <w:t xml:space="preserve"> not contravene the existing Tx-Rx separation requirement </w:t>
      </w:r>
      <w:r w:rsidR="004E3CCB">
        <w:rPr>
          <w:rFonts w:asciiTheme="minorHAnsi" w:hAnsiTheme="minorHAnsi" w:cstheme="minorHAnsi"/>
          <w:b/>
        </w:rPr>
        <w:t xml:space="preserve">defined for FDD bands </w:t>
      </w:r>
      <w:r w:rsidR="004E3CCB" w:rsidRPr="004E3CCB">
        <w:rPr>
          <w:rFonts w:asciiTheme="minorHAnsi" w:hAnsiTheme="minorHAnsi" w:cstheme="minorHAnsi"/>
          <w:b/>
        </w:rPr>
        <w:t xml:space="preserve">in section 5.4.4 </w:t>
      </w:r>
      <w:r w:rsidR="004E3CCB">
        <w:rPr>
          <w:rFonts w:asciiTheme="minorHAnsi" w:hAnsiTheme="minorHAnsi" w:cstheme="minorHAnsi"/>
          <w:b/>
        </w:rPr>
        <w:t>of 38.101-1</w:t>
      </w:r>
      <w:r>
        <w:rPr>
          <w:rFonts w:asciiTheme="minorHAnsi" w:hAnsiTheme="minorHAnsi" w:cstheme="minorHAnsi"/>
          <w:b/>
        </w:rPr>
        <w:t xml:space="preserve">. </w:t>
      </w:r>
      <w:r w:rsidRPr="004F5F03">
        <w:rPr>
          <w:rFonts w:asciiTheme="minorHAnsi" w:hAnsiTheme="minorHAnsi" w:cstheme="minorHAnsi"/>
          <w:b/>
        </w:rPr>
        <w:t xml:space="preserve">A note in the specifications may be useful to </w:t>
      </w:r>
      <w:r w:rsidR="00574C8D">
        <w:rPr>
          <w:rFonts w:asciiTheme="minorHAnsi" w:hAnsiTheme="minorHAnsi" w:cstheme="minorHAnsi"/>
          <w:b/>
        </w:rPr>
        <w:t>make this clear</w:t>
      </w:r>
      <w:r w:rsidRPr="004F5F03">
        <w:rPr>
          <w:rFonts w:asciiTheme="minorHAnsi" w:hAnsiTheme="minorHAnsi" w:cstheme="minorHAnsi"/>
          <w:b/>
        </w:rPr>
        <w:t>.</w:t>
      </w:r>
    </w:p>
    <w:p w14:paraId="22BEA4C7" w14:textId="77777777" w:rsidR="007346A2" w:rsidRPr="00574C8D" w:rsidRDefault="007346A2" w:rsidP="007346A2">
      <w:pPr>
        <w:spacing w:after="160" w:line="259" w:lineRule="auto"/>
        <w:rPr>
          <w:rFonts w:asciiTheme="minorHAnsi" w:hAnsiTheme="minorHAnsi" w:cstheme="minorHAnsi"/>
          <w:b/>
        </w:rPr>
      </w:pPr>
      <w:r w:rsidRPr="007346A2">
        <w:rPr>
          <w:rFonts w:asciiTheme="minorHAnsi" w:hAnsiTheme="minorHAnsi" w:cstheme="minorHAnsi"/>
          <w:b/>
          <w:u w:val="single"/>
        </w:rPr>
        <w:t>Proposal 2</w:t>
      </w:r>
      <w:r>
        <w:rPr>
          <w:rFonts w:asciiTheme="minorHAnsi" w:hAnsiTheme="minorHAnsi" w:cstheme="minorHAnsi"/>
          <w:b/>
        </w:rPr>
        <w:t xml:space="preserve">: </w:t>
      </w:r>
      <w:r>
        <w:rPr>
          <w:rFonts w:asciiTheme="minorHAnsi" w:hAnsiTheme="minorHAnsi" w:cstheme="minorHAnsi"/>
          <w:b/>
        </w:rPr>
        <w:t>Discuss further the handling of the BWP vs UE channel bandwidth configuration for initial access, to ensure that this ambiguity for RedCap UEs is removed, and consider an LS to RAN2</w:t>
      </w:r>
      <w:r w:rsidRPr="00574C8D">
        <w:rPr>
          <w:rFonts w:asciiTheme="minorHAnsi" w:hAnsiTheme="minorHAnsi" w:cstheme="minorHAnsi"/>
          <w:b/>
        </w:rPr>
        <w:t>.</w:t>
      </w:r>
    </w:p>
    <w:p w14:paraId="194E3ECD" w14:textId="69CC0D5F" w:rsidR="007346A2" w:rsidRPr="004F5F03" w:rsidRDefault="007346A2" w:rsidP="004E3CCB">
      <w:pPr>
        <w:spacing w:after="160" w:line="259" w:lineRule="auto"/>
        <w:rPr>
          <w:rFonts w:asciiTheme="minorHAnsi" w:hAnsiTheme="minorHAnsi" w:cstheme="minorHAnsi"/>
          <w:b/>
        </w:rPr>
      </w:pPr>
    </w:p>
    <w:p w14:paraId="3CB2E087" w14:textId="264F3AB0" w:rsidR="00D8482C" w:rsidRDefault="007346A2" w:rsidP="001A09DA">
      <w:pPr>
        <w:pStyle w:val="Heading1"/>
        <w:numPr>
          <w:ilvl w:val="0"/>
          <w:numId w:val="1"/>
        </w:numPr>
        <w:rPr>
          <w:rFonts w:ascii="Calibri" w:hAnsi="Calibri" w:cs="Calibri"/>
          <w:sz w:val="32"/>
          <w:lang w:eastAsia="zh-TW"/>
        </w:rPr>
      </w:pPr>
      <w:r>
        <w:rPr>
          <w:rFonts w:ascii="Calibri" w:hAnsi="Calibri" w:cs="Calibri"/>
          <w:sz w:val="32"/>
          <w:lang w:eastAsia="zh-TW"/>
        </w:rPr>
        <w:lastRenderedPageBreak/>
        <w:t>Proposal</w:t>
      </w:r>
    </w:p>
    <w:p w14:paraId="6EB0CEAB" w14:textId="2A20E5B3" w:rsidR="00E77FE3" w:rsidRDefault="00B00361" w:rsidP="007F65B1">
      <w:pPr>
        <w:rPr>
          <w:rFonts w:asciiTheme="minorHAnsi" w:hAnsiTheme="minorHAnsi" w:cstheme="minorHAnsi"/>
          <w:lang w:eastAsia="zh-TW"/>
        </w:rPr>
      </w:pPr>
      <w:r>
        <w:rPr>
          <w:rFonts w:asciiTheme="minorHAnsi" w:hAnsiTheme="minorHAnsi" w:cstheme="minorHAnsi"/>
          <w:lang w:eastAsia="zh-TW"/>
        </w:rPr>
        <w:t>The following is proposed:</w:t>
      </w:r>
    </w:p>
    <w:p w14:paraId="7F866697" w14:textId="77777777" w:rsidR="007346A2" w:rsidRDefault="00574C8D" w:rsidP="00574C8D">
      <w:pPr>
        <w:spacing w:after="160" w:line="259" w:lineRule="auto"/>
        <w:rPr>
          <w:rFonts w:asciiTheme="minorHAnsi" w:hAnsiTheme="minorHAnsi" w:cstheme="minorHAnsi"/>
          <w:b/>
        </w:rPr>
      </w:pPr>
      <w:r w:rsidRPr="00574C8D">
        <w:rPr>
          <w:rFonts w:asciiTheme="minorHAnsi" w:hAnsiTheme="minorHAnsi" w:cstheme="minorHAnsi"/>
          <w:b/>
          <w:u w:val="single"/>
        </w:rPr>
        <w:t>Proposal</w:t>
      </w:r>
      <w:r w:rsidR="007346A2">
        <w:rPr>
          <w:rFonts w:asciiTheme="minorHAnsi" w:hAnsiTheme="minorHAnsi" w:cstheme="minorHAnsi"/>
          <w:b/>
        </w:rPr>
        <w:t>: For FD-FDD, confirm that the UL/DL BWP configurations</w:t>
      </w:r>
      <w:r w:rsidRPr="00574C8D">
        <w:rPr>
          <w:rFonts w:asciiTheme="minorHAnsi" w:hAnsiTheme="minorHAnsi" w:cstheme="minorHAnsi"/>
          <w:b/>
        </w:rPr>
        <w:t xml:space="preserve"> (where the channel BW is ≤20MHz) shall not contravene the existing Tx-Rx separation requirement defined for FDD bands in section 5.4.4 of 38.101-1. </w:t>
      </w:r>
    </w:p>
    <w:p w14:paraId="5625168C" w14:textId="366E675B" w:rsidR="00574C8D" w:rsidRPr="00574C8D" w:rsidRDefault="007346A2" w:rsidP="00574C8D">
      <w:pPr>
        <w:spacing w:after="160" w:line="259" w:lineRule="auto"/>
        <w:rPr>
          <w:rFonts w:asciiTheme="minorHAnsi" w:hAnsiTheme="minorHAnsi" w:cstheme="minorHAnsi"/>
          <w:b/>
        </w:rPr>
      </w:pPr>
      <w:r w:rsidRPr="007346A2">
        <w:rPr>
          <w:rFonts w:asciiTheme="minorHAnsi" w:hAnsiTheme="minorHAnsi" w:cstheme="minorHAnsi"/>
          <w:b/>
          <w:u w:val="single"/>
        </w:rPr>
        <w:t>Proposal 2</w:t>
      </w:r>
      <w:r>
        <w:rPr>
          <w:rFonts w:asciiTheme="minorHAnsi" w:hAnsiTheme="minorHAnsi" w:cstheme="minorHAnsi"/>
          <w:b/>
        </w:rPr>
        <w:t>: Discuss further the handling of the BWP vs UE channel bandwidth configuration for initial access, to ensure that this ambiguity for RedCap UEs is removed, and consider an LS to RAN2</w:t>
      </w:r>
      <w:r w:rsidR="00574C8D" w:rsidRPr="00574C8D">
        <w:rPr>
          <w:rFonts w:asciiTheme="minorHAnsi" w:hAnsiTheme="minorHAnsi" w:cstheme="minorHAnsi"/>
          <w:b/>
        </w:rPr>
        <w:t>.</w:t>
      </w:r>
    </w:p>
    <w:p w14:paraId="2D96D250" w14:textId="741B3CAC" w:rsidR="001A09DA" w:rsidRPr="00C40EE4" w:rsidRDefault="00C40EE4" w:rsidP="00C40EE4">
      <w:pPr>
        <w:pStyle w:val="Heading1"/>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102B9745" w14:textId="77ACA13D" w:rsidR="00650283" w:rsidRDefault="00B00361" w:rsidP="00C40EE4">
      <w:pPr>
        <w:spacing w:after="0"/>
        <w:rPr>
          <w:rStyle w:val="eop"/>
          <w:rFonts w:asciiTheme="minorHAnsi" w:hAnsiTheme="minorHAnsi" w:cstheme="minorHAnsi"/>
          <w:color w:val="000000"/>
          <w:shd w:val="clear" w:color="auto" w:fill="FFFFFF"/>
        </w:rPr>
      </w:pPr>
      <w:r>
        <w:rPr>
          <w:rFonts w:asciiTheme="minorHAnsi" w:hAnsiTheme="minorHAnsi" w:cstheme="minorHAnsi"/>
          <w:lang w:val="en-US"/>
        </w:rPr>
        <w:t>[</w:t>
      </w:r>
      <w:r w:rsidR="004E3CCB">
        <w:rPr>
          <w:rFonts w:asciiTheme="minorHAnsi" w:hAnsiTheme="minorHAnsi" w:cstheme="minorHAnsi"/>
          <w:lang w:val="en-US"/>
        </w:rPr>
        <w:t>1</w:t>
      </w:r>
      <w:r>
        <w:rPr>
          <w:rFonts w:asciiTheme="minorHAnsi" w:hAnsiTheme="minorHAnsi" w:cstheme="minorHAnsi"/>
          <w:lang w:val="en-US"/>
        </w:rPr>
        <w:t xml:space="preserve">] </w:t>
      </w:r>
      <w:r>
        <w:rPr>
          <w:rFonts w:asciiTheme="minorHAnsi" w:hAnsiTheme="minorHAnsi" w:cstheme="minorHAnsi"/>
          <w:lang w:val="en-US"/>
        </w:rPr>
        <w:tab/>
      </w:r>
      <w:r>
        <w:rPr>
          <w:rFonts w:asciiTheme="minorHAnsi" w:hAnsiTheme="minorHAnsi" w:cstheme="minorHAnsi"/>
          <w:lang w:val="en-US"/>
        </w:rPr>
        <w:tab/>
        <w:t>R1-2112802</w:t>
      </w:r>
      <w:r w:rsidR="00650283">
        <w:rPr>
          <w:rFonts w:asciiTheme="minorHAnsi" w:hAnsiTheme="minorHAnsi" w:cstheme="minorHAnsi"/>
          <w:lang w:val="en-US"/>
        </w:rPr>
        <w:t xml:space="preserve">, </w:t>
      </w:r>
      <w:r w:rsidRPr="00B00361">
        <w:rPr>
          <w:rStyle w:val="normaltextrun"/>
          <w:rFonts w:asciiTheme="minorHAnsi" w:hAnsiTheme="minorHAnsi" w:cstheme="minorHAnsi"/>
          <w:color w:val="000000"/>
          <w:shd w:val="clear" w:color="auto" w:fill="FFFFFF"/>
        </w:rPr>
        <w:t>LS on use of NCD-SSB or CSI-RS in DL BWPs for RedCap UE</w:t>
      </w:r>
      <w:r w:rsidRPr="00B00361">
        <w:rPr>
          <w:rStyle w:val="eop"/>
          <w:rFonts w:asciiTheme="minorHAnsi" w:hAnsiTheme="minorHAnsi" w:cstheme="minorHAnsi"/>
          <w:color w:val="000000"/>
          <w:shd w:val="clear" w:color="auto" w:fill="FFFFFF"/>
        </w:rPr>
        <w:t>, RAN1</w:t>
      </w:r>
    </w:p>
    <w:p w14:paraId="07F5B1A4" w14:textId="69F2DD77" w:rsidR="0013311E" w:rsidRDefault="0013311E" w:rsidP="00C40EE4">
      <w:pPr>
        <w:spacing w:after="0"/>
        <w:rPr>
          <w:rFonts w:asciiTheme="minorHAnsi" w:eastAsia="SimSun" w:hAnsiTheme="minorHAnsi" w:cstheme="minorHAnsi"/>
          <w:szCs w:val="24"/>
          <w:lang w:val="en-US" w:eastAsia="zh-CN"/>
        </w:rPr>
      </w:pPr>
      <w:r>
        <w:rPr>
          <w:rFonts w:asciiTheme="minorHAnsi" w:hAnsiTheme="minorHAnsi" w:cstheme="minorHAnsi"/>
          <w:lang w:val="en-US"/>
        </w:rPr>
        <w:t>[2]</w:t>
      </w:r>
      <w:r>
        <w:rPr>
          <w:rFonts w:asciiTheme="minorHAnsi" w:hAnsiTheme="minorHAnsi" w:cstheme="minorHAnsi"/>
          <w:lang w:val="en-US"/>
        </w:rPr>
        <w:tab/>
      </w:r>
      <w:r>
        <w:rPr>
          <w:rFonts w:asciiTheme="minorHAnsi" w:hAnsiTheme="minorHAnsi" w:cstheme="minorHAnsi"/>
          <w:lang w:val="en-US"/>
        </w:rPr>
        <w:tab/>
        <w:t xml:space="preserve">R4-22001988, </w:t>
      </w:r>
      <w:r w:rsidRPr="0013311E">
        <w:rPr>
          <w:rFonts w:asciiTheme="minorHAnsi" w:eastAsia="SimSun" w:hAnsiTheme="minorHAnsi" w:cstheme="minorHAnsi"/>
          <w:szCs w:val="24"/>
          <w:lang w:val="en-US" w:eastAsia="zh-CN"/>
        </w:rPr>
        <w:t>RedCap general UE RF requirements aspects, MediaTek</w:t>
      </w:r>
    </w:p>
    <w:p w14:paraId="13F56031" w14:textId="32173A0E" w:rsidR="006E7CEF" w:rsidRPr="0013311E" w:rsidRDefault="006E7CEF" w:rsidP="00C40EE4">
      <w:pPr>
        <w:spacing w:after="0"/>
        <w:rPr>
          <w:rFonts w:asciiTheme="minorHAnsi" w:hAnsiTheme="minorHAnsi" w:cstheme="minorHAnsi"/>
          <w:sz w:val="16"/>
          <w:lang w:val="en-US"/>
        </w:rPr>
      </w:pPr>
      <w:r>
        <w:rPr>
          <w:rFonts w:asciiTheme="minorHAnsi" w:eastAsia="SimSun" w:hAnsiTheme="minorHAnsi" w:cstheme="minorHAnsi"/>
          <w:szCs w:val="24"/>
          <w:lang w:val="en-US" w:eastAsia="zh-CN"/>
        </w:rPr>
        <w:t>[3]</w:t>
      </w:r>
      <w:r>
        <w:rPr>
          <w:rFonts w:asciiTheme="minorHAnsi" w:eastAsia="SimSun" w:hAnsiTheme="minorHAnsi" w:cstheme="minorHAnsi"/>
          <w:szCs w:val="24"/>
          <w:lang w:val="en-US" w:eastAsia="zh-CN"/>
        </w:rPr>
        <w:tab/>
      </w:r>
      <w:r>
        <w:rPr>
          <w:rFonts w:asciiTheme="minorHAnsi" w:eastAsia="SimSun" w:hAnsiTheme="minorHAnsi" w:cstheme="minorHAnsi"/>
          <w:szCs w:val="24"/>
          <w:lang w:val="en-US" w:eastAsia="zh-CN"/>
        </w:rPr>
        <w:tab/>
        <w:t>R4-</w:t>
      </w:r>
      <w:r w:rsidRPr="007346A2">
        <w:rPr>
          <w:rFonts w:asciiTheme="minorHAnsi" w:eastAsia="SimSun" w:hAnsiTheme="minorHAnsi" w:cstheme="minorHAnsi"/>
          <w:szCs w:val="24"/>
          <w:lang w:val="en-US" w:eastAsia="zh-CN"/>
        </w:rPr>
        <w:t>2200</w:t>
      </w:r>
      <w:r w:rsidR="007346A2" w:rsidRPr="007346A2">
        <w:rPr>
          <w:rFonts w:asciiTheme="minorHAnsi" w:eastAsia="SimSun" w:hAnsiTheme="minorHAnsi" w:cstheme="minorHAnsi"/>
          <w:szCs w:val="24"/>
          <w:lang w:val="en-US" w:eastAsia="zh-CN"/>
        </w:rPr>
        <w:t>2371</w:t>
      </w:r>
      <w:r w:rsidRPr="007346A2">
        <w:rPr>
          <w:rFonts w:asciiTheme="minorHAnsi" w:eastAsia="SimSun" w:hAnsiTheme="minorHAnsi" w:cstheme="minorHAnsi"/>
          <w:szCs w:val="24"/>
          <w:lang w:val="en-US" w:eastAsia="zh-CN"/>
        </w:rPr>
        <w:t>,</w:t>
      </w:r>
      <w:r>
        <w:rPr>
          <w:rFonts w:asciiTheme="minorHAnsi" w:eastAsia="SimSun" w:hAnsiTheme="minorHAnsi" w:cstheme="minorHAnsi"/>
          <w:szCs w:val="24"/>
          <w:lang w:val="en-US" w:eastAsia="zh-CN"/>
        </w:rPr>
        <w:t xml:space="preserve"> WF on the RedCap RF, Moderator</w:t>
      </w:r>
    </w:p>
    <w:p w14:paraId="12765740" w14:textId="0C682F4E" w:rsidR="001A09DA" w:rsidRDefault="001A09DA" w:rsidP="001A09DA">
      <w:pPr>
        <w:rPr>
          <w:rFonts w:asciiTheme="minorHAnsi" w:hAnsiTheme="minorHAnsi" w:cstheme="minorHAnsi"/>
          <w:lang w:eastAsia="zh-TW"/>
        </w:rPr>
      </w:pPr>
    </w:p>
    <w:p w14:paraId="54F2C475" w14:textId="447FD40B" w:rsidR="00531C28" w:rsidRPr="001A09DA" w:rsidRDefault="00531C28" w:rsidP="001A09DA">
      <w:pPr>
        <w:rPr>
          <w:rFonts w:asciiTheme="minorHAnsi" w:hAnsiTheme="minorHAnsi" w:cstheme="minorHAnsi"/>
          <w:lang w:eastAsia="zh-TW"/>
        </w:rPr>
      </w:pPr>
    </w:p>
    <w:sectPr w:rsidR="00531C28" w:rsidRPr="001A09D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E395D" w14:textId="77777777" w:rsidR="00D66809" w:rsidRDefault="00D66809">
      <w:r>
        <w:separator/>
      </w:r>
    </w:p>
  </w:endnote>
  <w:endnote w:type="continuationSeparator" w:id="0">
    <w:p w14:paraId="7AA04407" w14:textId="77777777" w:rsidR="00D66809" w:rsidRDefault="00D66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00C94" w14:textId="77777777" w:rsidR="00D66809" w:rsidRDefault="00D66809">
      <w:r>
        <w:separator/>
      </w:r>
    </w:p>
  </w:footnote>
  <w:footnote w:type="continuationSeparator" w:id="0">
    <w:p w14:paraId="2DA97F8C" w14:textId="77777777" w:rsidR="00D66809" w:rsidRDefault="00D668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74411"/>
    <w:multiLevelType w:val="multilevel"/>
    <w:tmpl w:val="0B16B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CD241C"/>
    <w:multiLevelType w:val="multilevel"/>
    <w:tmpl w:val="DE5635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2B71B13"/>
    <w:multiLevelType w:val="multilevel"/>
    <w:tmpl w:val="C9A683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3263AA"/>
    <w:multiLevelType w:val="multilevel"/>
    <w:tmpl w:val="8BB2A4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90F08F8"/>
    <w:multiLevelType w:val="multilevel"/>
    <w:tmpl w:val="7B70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F45A39"/>
    <w:multiLevelType w:val="hybridMultilevel"/>
    <w:tmpl w:val="A70E72A4"/>
    <w:lvl w:ilvl="0" w:tplc="9250AA6C">
      <w:start w:val="6"/>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13747E1"/>
    <w:multiLevelType w:val="multilevel"/>
    <w:tmpl w:val="7E36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1" w15:restartNumberingAfterBreak="0">
    <w:nsid w:val="49E52878"/>
    <w:multiLevelType w:val="multilevel"/>
    <w:tmpl w:val="7B423A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3CD1518"/>
    <w:multiLevelType w:val="multilevel"/>
    <w:tmpl w:val="C3729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7691578A"/>
    <w:multiLevelType w:val="multilevel"/>
    <w:tmpl w:val="0DF489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15"/>
  </w:num>
  <w:num w:numId="4">
    <w:abstractNumId w:val="14"/>
  </w:num>
  <w:num w:numId="5">
    <w:abstractNumId w:val="9"/>
  </w:num>
  <w:num w:numId="6">
    <w:abstractNumId w:val="12"/>
  </w:num>
  <w:num w:numId="7">
    <w:abstractNumId w:val="6"/>
  </w:num>
  <w:num w:numId="8">
    <w:abstractNumId w:val="0"/>
  </w:num>
  <w:num w:numId="9">
    <w:abstractNumId w:val="11"/>
  </w:num>
  <w:num w:numId="10">
    <w:abstractNumId w:val="4"/>
  </w:num>
  <w:num w:numId="11">
    <w:abstractNumId w:val="3"/>
  </w:num>
  <w:num w:numId="12">
    <w:abstractNumId w:val="16"/>
  </w:num>
  <w:num w:numId="13">
    <w:abstractNumId w:val="13"/>
  </w:num>
  <w:num w:numId="14">
    <w:abstractNumId w:val="2"/>
  </w:num>
  <w:num w:numId="15">
    <w:abstractNumId w:val="7"/>
  </w:num>
  <w:num w:numId="16">
    <w:abstractNumId w:val="1"/>
  </w:num>
  <w:num w:numId="1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DB"/>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1E"/>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4EA6"/>
    <w:rsid w:val="001A5826"/>
    <w:rsid w:val="001A6300"/>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77FF"/>
    <w:rsid w:val="002C7BA2"/>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4FF"/>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3CCB"/>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5F03"/>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5243"/>
    <w:rsid w:val="0052535D"/>
    <w:rsid w:val="005259DC"/>
    <w:rsid w:val="005265BC"/>
    <w:rsid w:val="00526A3E"/>
    <w:rsid w:val="00526E86"/>
    <w:rsid w:val="0052731E"/>
    <w:rsid w:val="00527647"/>
    <w:rsid w:val="00530A13"/>
    <w:rsid w:val="00530F0C"/>
    <w:rsid w:val="00531216"/>
    <w:rsid w:val="00531C28"/>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4613"/>
    <w:rsid w:val="00574C8D"/>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4BAC"/>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2E26"/>
    <w:rsid w:val="00693153"/>
    <w:rsid w:val="00693FFE"/>
    <w:rsid w:val="00695826"/>
    <w:rsid w:val="00696055"/>
    <w:rsid w:val="00696111"/>
    <w:rsid w:val="006A2A3E"/>
    <w:rsid w:val="006A4E2A"/>
    <w:rsid w:val="006A5912"/>
    <w:rsid w:val="006A5938"/>
    <w:rsid w:val="006A5ACA"/>
    <w:rsid w:val="006A74B7"/>
    <w:rsid w:val="006B06BA"/>
    <w:rsid w:val="006B09A6"/>
    <w:rsid w:val="006B2F94"/>
    <w:rsid w:val="006B3667"/>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E7CEF"/>
    <w:rsid w:val="006F2CE0"/>
    <w:rsid w:val="006F438A"/>
    <w:rsid w:val="006F54EB"/>
    <w:rsid w:val="006F56AE"/>
    <w:rsid w:val="006F6668"/>
    <w:rsid w:val="00700071"/>
    <w:rsid w:val="00700186"/>
    <w:rsid w:val="007006F1"/>
    <w:rsid w:val="007007EB"/>
    <w:rsid w:val="0070161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068"/>
    <w:rsid w:val="008E08F7"/>
    <w:rsid w:val="008E0C61"/>
    <w:rsid w:val="008E10D8"/>
    <w:rsid w:val="008E177D"/>
    <w:rsid w:val="008E1BCA"/>
    <w:rsid w:val="008E2E10"/>
    <w:rsid w:val="008E3E54"/>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A41"/>
    <w:rsid w:val="009E5CC0"/>
    <w:rsid w:val="009E651C"/>
    <w:rsid w:val="009E7DBD"/>
    <w:rsid w:val="009F02A9"/>
    <w:rsid w:val="009F152E"/>
    <w:rsid w:val="009F1C56"/>
    <w:rsid w:val="009F2A75"/>
    <w:rsid w:val="009F3390"/>
    <w:rsid w:val="009F3D03"/>
    <w:rsid w:val="009F41D4"/>
    <w:rsid w:val="009F4900"/>
    <w:rsid w:val="009F4E87"/>
    <w:rsid w:val="009F68EF"/>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0ED7"/>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365"/>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7EC9"/>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3A2"/>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076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905"/>
    <w:rsid w:val="00D66809"/>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132"/>
    <w:rsid w:val="00E92846"/>
    <w:rsid w:val="00E93697"/>
    <w:rsid w:val="00E945F0"/>
    <w:rsid w:val="00E94906"/>
    <w:rsid w:val="00E94B4C"/>
    <w:rsid w:val="00E95081"/>
    <w:rsid w:val="00E96269"/>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5D31"/>
    <w:rsid w:val="00EC6CF4"/>
    <w:rsid w:val="00EC7418"/>
    <w:rsid w:val="00EC7F12"/>
    <w:rsid w:val="00ED066D"/>
    <w:rsid w:val="00ED06D6"/>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FB0"/>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qForma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Normal"/>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ED06D6"/>
  </w:style>
  <w:style w:type="character" w:customStyle="1" w:styleId="eop">
    <w:name w:val="eop"/>
    <w:basedOn w:val="DefaultParagraphFont"/>
    <w:rsid w:val="00ED0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205FA087-EEA9-4C31-972E-04E885AA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Pages>
  <Words>520</Words>
  <Characters>2968</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3GPP TR ab.cde</vt:lpstr>
      <vt:lpstr>Electronic Meeting, 17th – 25th January, 2022</vt:lpstr>
      <vt:lpstr>Introduction</vt:lpstr>
      <vt:lpstr>Applicability for single band operation only</vt:lpstr>
      <vt:lpstr>Tx-Rx separation for FDD bands</vt:lpstr>
      <vt:lpstr>Conclusion</vt:lpstr>
      <vt:lpstr>References</vt:lpstr>
      <vt:lpstr>3GPP TR ab.cde</vt:lpstr>
    </vt:vector>
  </TitlesOfParts>
  <Company>Eutelsat</Company>
  <LinksUpToDate>false</LinksUpToDate>
  <CharactersWithSpaces>3482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11</cp:revision>
  <cp:lastPrinted>2017-11-03T15:53:00Z</cp:lastPrinted>
  <dcterms:created xsi:type="dcterms:W3CDTF">2022-02-01T15:24:00Z</dcterms:created>
  <dcterms:modified xsi:type="dcterms:W3CDTF">2022-02-14T23:43:00Z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