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55E14" w14:textId="03BB84AA" w:rsidR="00671861" w:rsidRPr="00030FF0" w:rsidRDefault="00671861" w:rsidP="00671861">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009D1471" w:rsidRPr="009D1471">
        <w:rPr>
          <w:rFonts w:ascii="Arial" w:eastAsia="MS Mincho" w:hAnsi="Arial"/>
          <w:b/>
          <w:bCs/>
          <w:noProof/>
          <w:color w:val="000000"/>
          <w:sz w:val="24"/>
          <w:szCs w:val="24"/>
          <w:lang w:val="en-US" w:eastAsia="ja-JP"/>
        </w:rPr>
        <w:t>RAN4#</w:t>
      </w:r>
      <w:r w:rsidR="00026CF8">
        <w:rPr>
          <w:rFonts w:ascii="Arial" w:eastAsia="MS Mincho" w:hAnsi="Arial"/>
          <w:b/>
          <w:bCs/>
          <w:noProof/>
          <w:color w:val="000000"/>
          <w:sz w:val="24"/>
          <w:szCs w:val="24"/>
          <w:lang w:val="en-US" w:eastAsia="ja-JP"/>
        </w:rPr>
        <w:t>10</w:t>
      </w:r>
      <w:r w:rsidR="00FE4ADD">
        <w:rPr>
          <w:rFonts w:ascii="Arial" w:eastAsia="MS Mincho" w:hAnsi="Arial"/>
          <w:b/>
          <w:bCs/>
          <w:noProof/>
          <w:color w:val="000000"/>
          <w:sz w:val="24"/>
          <w:szCs w:val="24"/>
          <w:lang w:val="en-US" w:eastAsia="ja-JP"/>
        </w:rPr>
        <w:t>2</w:t>
      </w:r>
      <w:r w:rsidR="00137A84">
        <w:rPr>
          <w:rFonts w:ascii="Arial" w:eastAsia="MS Mincho" w:hAnsi="Arial"/>
          <w:b/>
          <w:bCs/>
          <w:noProof/>
          <w:color w:val="000000"/>
          <w:sz w:val="24"/>
          <w:szCs w:val="24"/>
          <w:lang w:val="en-US" w:eastAsia="ja-JP"/>
        </w:rPr>
        <w:t>-</w:t>
      </w:r>
      <w:r w:rsidR="009D1471" w:rsidRPr="009D1471">
        <w:rPr>
          <w:rFonts w:ascii="Arial" w:eastAsia="MS Mincho" w:hAnsi="Arial"/>
          <w:b/>
          <w:bCs/>
          <w:noProof/>
          <w:color w:val="000000"/>
          <w:sz w:val="24"/>
          <w:szCs w:val="24"/>
          <w:lang w:val="en-US" w:eastAsia="ja-JP"/>
        </w:rPr>
        <w:t>e</w:t>
      </w:r>
      <w:r w:rsidR="004D3938">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465614" w:rsidRPr="00465614">
        <w:rPr>
          <w:rFonts w:ascii="Arial" w:eastAsia="MS Mincho" w:hAnsi="Arial"/>
          <w:b/>
          <w:bCs/>
          <w:noProof/>
          <w:color w:val="000000"/>
          <w:sz w:val="24"/>
          <w:szCs w:val="24"/>
          <w:lang w:eastAsia="ja-JP"/>
        </w:rPr>
        <w:t>R4-</w:t>
      </w:r>
      <w:r w:rsidR="00FE4ADD">
        <w:rPr>
          <w:rFonts w:ascii="Arial" w:eastAsia="MS Mincho" w:hAnsi="Arial"/>
          <w:b/>
          <w:bCs/>
          <w:noProof/>
          <w:color w:val="000000"/>
          <w:sz w:val="24"/>
          <w:szCs w:val="24"/>
          <w:lang w:eastAsia="ja-JP"/>
        </w:rPr>
        <w:t>2206096</w:t>
      </w:r>
      <w:r w:rsidRPr="00DA0CBD">
        <w:rPr>
          <w:rFonts w:ascii="Arial" w:eastAsia="MS Mincho" w:hAnsi="Arial"/>
          <w:b/>
          <w:bCs/>
          <w:noProof/>
          <w:color w:val="000000"/>
          <w:sz w:val="24"/>
          <w:szCs w:val="24"/>
          <w:lang w:val="en-US" w:eastAsia="ja-JP"/>
        </w:rPr>
        <w:t xml:space="preserve"> </w:t>
      </w:r>
      <w:r w:rsidRPr="00030FF0">
        <w:rPr>
          <w:rFonts w:ascii="Arial" w:eastAsia="MS Mincho" w:hAnsi="Arial"/>
          <w:b/>
          <w:bCs/>
          <w:noProof/>
          <w:color w:val="000000"/>
          <w:sz w:val="24"/>
          <w:szCs w:val="24"/>
          <w:lang w:val="en-US" w:eastAsia="ja-JP"/>
        </w:rPr>
        <w:t>Online</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15E6F2AB" w14:textId="26E67DDC" w:rsidR="00671861" w:rsidRPr="004A388F" w:rsidRDefault="00114E18" w:rsidP="00671861">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February</w:t>
      </w:r>
      <w:r w:rsidR="00A20B9E">
        <w:rPr>
          <w:rFonts w:ascii="Arial" w:eastAsia="MS Mincho" w:hAnsi="Arial"/>
          <w:b/>
          <w:bCs/>
          <w:noProof/>
          <w:color w:val="000000"/>
          <w:sz w:val="24"/>
          <w:szCs w:val="24"/>
          <w:lang w:eastAsia="ja-JP"/>
        </w:rPr>
        <w:t xml:space="preserve"> </w:t>
      </w:r>
      <w:r w:rsidR="003224DA">
        <w:rPr>
          <w:rFonts w:ascii="Arial" w:eastAsia="MS Mincho" w:hAnsi="Arial"/>
          <w:b/>
          <w:bCs/>
          <w:noProof/>
          <w:color w:val="000000"/>
          <w:sz w:val="24"/>
          <w:szCs w:val="24"/>
          <w:lang w:eastAsia="ja-JP"/>
        </w:rPr>
        <w:t>1</w:t>
      </w:r>
      <w:r w:rsidR="00A45528">
        <w:rPr>
          <w:rFonts w:ascii="Arial" w:eastAsia="MS Mincho" w:hAnsi="Arial"/>
          <w:b/>
          <w:bCs/>
          <w:noProof/>
          <w:color w:val="000000"/>
          <w:sz w:val="24"/>
          <w:szCs w:val="24"/>
          <w:lang w:eastAsia="ja-JP"/>
        </w:rPr>
        <w:t>7</w:t>
      </w:r>
      <w:r w:rsidR="009D1471">
        <w:rPr>
          <w:rFonts w:ascii="Arial" w:eastAsia="MS Mincho" w:hAnsi="Arial"/>
          <w:b/>
          <w:bCs/>
          <w:noProof/>
          <w:color w:val="000000"/>
          <w:sz w:val="24"/>
          <w:szCs w:val="24"/>
          <w:lang w:eastAsia="ja-JP"/>
        </w:rPr>
        <w:t xml:space="preserve"> –</w:t>
      </w:r>
      <w:r w:rsidR="003224DA">
        <w:rPr>
          <w:rFonts w:ascii="Arial" w:eastAsia="MS Mincho" w:hAnsi="Arial"/>
          <w:b/>
          <w:bCs/>
          <w:noProof/>
          <w:color w:val="000000"/>
          <w:sz w:val="24"/>
          <w:szCs w:val="24"/>
          <w:lang w:eastAsia="ja-JP"/>
        </w:rPr>
        <w:t xml:space="preserve"> </w:t>
      </w:r>
      <w:r w:rsidR="00A45528">
        <w:rPr>
          <w:rFonts w:ascii="Arial" w:eastAsia="MS Mincho" w:hAnsi="Arial"/>
          <w:b/>
          <w:bCs/>
          <w:noProof/>
          <w:color w:val="000000"/>
          <w:sz w:val="24"/>
          <w:szCs w:val="24"/>
          <w:lang w:eastAsia="ja-JP"/>
        </w:rPr>
        <w:t>25</w:t>
      </w:r>
      <w:r w:rsidR="00515CD3">
        <w:rPr>
          <w:rFonts w:ascii="Arial" w:eastAsia="MS Mincho" w:hAnsi="Arial"/>
          <w:b/>
          <w:bCs/>
          <w:noProof/>
          <w:color w:val="000000"/>
          <w:sz w:val="24"/>
          <w:szCs w:val="24"/>
          <w:lang w:eastAsia="ja-JP"/>
        </w:rPr>
        <w:t>, 202</w:t>
      </w:r>
      <w:r w:rsidR="00A45528">
        <w:rPr>
          <w:rFonts w:ascii="Arial" w:eastAsia="MS Mincho" w:hAnsi="Arial"/>
          <w:b/>
          <w:bCs/>
          <w:noProof/>
          <w:color w:val="000000"/>
          <w:sz w:val="24"/>
          <w:szCs w:val="24"/>
          <w:lang w:eastAsia="ja-JP"/>
        </w:rPr>
        <w:t>2</w:t>
      </w:r>
    </w:p>
    <w:p w14:paraId="698F76E1" w14:textId="77777777"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p>
    <w:p w14:paraId="3FD07A11" w14:textId="0D1DC38A"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8012EE">
        <w:rPr>
          <w:rFonts w:ascii="Arial" w:eastAsia="MS Gothic" w:hAnsi="Arial" w:cs="Arial"/>
          <w:b/>
          <w:sz w:val="24"/>
          <w:szCs w:val="24"/>
          <w:lang w:eastAsia="ja-JP"/>
        </w:rPr>
        <w:t>9.36.2</w:t>
      </w:r>
      <w:r w:rsidR="00FE4ADD">
        <w:rPr>
          <w:rFonts w:ascii="Arial" w:eastAsia="MS Gothic" w:hAnsi="Arial" w:cs="Arial"/>
          <w:b/>
          <w:sz w:val="24"/>
          <w:szCs w:val="24"/>
          <w:lang w:eastAsia="ja-JP"/>
        </w:rPr>
        <w:t>.</w:t>
      </w:r>
      <w:r w:rsidR="008012EE">
        <w:rPr>
          <w:rFonts w:ascii="Arial" w:eastAsia="MS Gothic" w:hAnsi="Arial" w:cs="Arial"/>
          <w:b/>
          <w:sz w:val="24"/>
          <w:szCs w:val="24"/>
          <w:lang w:eastAsia="ja-JP"/>
        </w:rPr>
        <w:t>2</w:t>
      </w:r>
    </w:p>
    <w:p w14:paraId="3BE7C055" w14:textId="402A9E38" w:rsidR="004A388F" w:rsidRP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sidR="002143D7">
        <w:rPr>
          <w:rFonts w:ascii="Arial" w:eastAsia="MS Gothic" w:hAnsi="Arial"/>
          <w:b/>
          <w:color w:val="000000"/>
          <w:sz w:val="24"/>
          <w:lang w:eastAsia="ja-JP"/>
        </w:rPr>
        <w:t>Lenov</w:t>
      </w:r>
      <w:r w:rsidR="00B120F3">
        <w:rPr>
          <w:rFonts w:ascii="Arial" w:eastAsia="MS Gothic" w:hAnsi="Arial"/>
          <w:b/>
          <w:color w:val="000000"/>
          <w:sz w:val="24"/>
          <w:lang w:eastAsia="ja-JP"/>
        </w:rPr>
        <w:t>o</w:t>
      </w:r>
    </w:p>
    <w:p w14:paraId="44CA54C5" w14:textId="5D999398" w:rsid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02185F">
        <w:rPr>
          <w:rFonts w:ascii="Arial" w:eastAsia="MS Gothic" w:hAnsi="Arial"/>
          <w:b/>
          <w:color w:val="000000"/>
          <w:sz w:val="24"/>
          <w:lang w:eastAsia="ja-JP"/>
        </w:rPr>
        <w:t>Bandwidth Parts for Reducing A-MPR</w:t>
      </w:r>
      <w:r w:rsidR="00546A86">
        <w:rPr>
          <w:rFonts w:ascii="Arial" w:eastAsia="MS Gothic" w:hAnsi="Arial"/>
          <w:b/>
          <w:color w:val="000000"/>
          <w:sz w:val="24"/>
          <w:lang w:eastAsia="ja-JP"/>
        </w:rPr>
        <w:t xml:space="preserve"> for Wideband Carriers</w:t>
      </w:r>
    </w:p>
    <w:p w14:paraId="2122E5E1" w14:textId="32C7A1E7" w:rsidR="004A388F" w:rsidRDefault="004A388F" w:rsidP="004A388F">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273609">
        <w:rPr>
          <w:rFonts w:ascii="Arial" w:eastAsia="MS Gothic" w:hAnsi="Arial"/>
          <w:b/>
          <w:color w:val="000000"/>
          <w:sz w:val="24"/>
          <w:lang w:eastAsia="ja-JP"/>
        </w:rPr>
        <w:t>Discussion</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61B9C7E8" w14:textId="5032CE5A" w:rsidR="00D34363" w:rsidRPr="0017089E" w:rsidRDefault="004A388F" w:rsidP="00E663F9">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48DBC1CC" w14:textId="3D8BEAD5" w:rsidR="00571EE9" w:rsidRDefault="006143FD" w:rsidP="00E663F9">
      <w:pPr>
        <w:spacing w:after="120"/>
        <w:rPr>
          <w:rFonts w:eastAsia="MS Gothic"/>
          <w:sz w:val="22"/>
          <w:szCs w:val="22"/>
          <w:lang w:eastAsia="ja-JP"/>
        </w:rPr>
      </w:pPr>
      <w:r>
        <w:rPr>
          <w:rFonts w:eastAsia="MS Gothic"/>
          <w:sz w:val="22"/>
          <w:szCs w:val="22"/>
          <w:lang w:eastAsia="ja-JP"/>
        </w:rPr>
        <w:t>In the case of additional emissions requirements</w:t>
      </w:r>
      <w:r w:rsidR="00F41CAF">
        <w:rPr>
          <w:rFonts w:eastAsia="MS Gothic"/>
          <w:sz w:val="22"/>
          <w:szCs w:val="22"/>
          <w:lang w:eastAsia="ja-JP"/>
        </w:rPr>
        <w:t xml:space="preserve"> such as when NS_05 is signal</w:t>
      </w:r>
      <w:r w:rsidR="00D14B39">
        <w:rPr>
          <w:rFonts w:eastAsia="MS Gothic"/>
          <w:sz w:val="22"/>
          <w:szCs w:val="22"/>
          <w:lang w:eastAsia="ja-JP"/>
        </w:rPr>
        <w:t>led for</w:t>
      </w:r>
      <w:r w:rsidR="00F41CAF">
        <w:rPr>
          <w:rFonts w:eastAsia="MS Gothic"/>
          <w:sz w:val="22"/>
          <w:szCs w:val="22"/>
          <w:lang w:eastAsia="ja-JP"/>
        </w:rPr>
        <w:t xml:space="preserve"> band n1</w:t>
      </w:r>
      <w:r>
        <w:rPr>
          <w:rFonts w:eastAsia="MS Gothic"/>
          <w:sz w:val="22"/>
          <w:szCs w:val="22"/>
          <w:lang w:eastAsia="ja-JP"/>
        </w:rPr>
        <w:t>, the A-MPR neede</w:t>
      </w:r>
      <w:r w:rsidR="0020219E">
        <w:rPr>
          <w:rFonts w:eastAsia="MS Gothic"/>
          <w:sz w:val="22"/>
          <w:szCs w:val="22"/>
          <w:lang w:eastAsia="ja-JP"/>
        </w:rPr>
        <w:t xml:space="preserve">d for a given RB allocation generally increases with the bandwidth of the carrier in which it is contained.  </w:t>
      </w:r>
      <w:r w:rsidR="006D3FB5">
        <w:rPr>
          <w:rFonts w:eastAsia="MS Gothic"/>
          <w:sz w:val="22"/>
          <w:szCs w:val="22"/>
          <w:lang w:eastAsia="ja-JP"/>
        </w:rPr>
        <w:t xml:space="preserve">In </w:t>
      </w:r>
      <w:r w:rsidR="0078183C">
        <w:rPr>
          <w:rFonts w:eastAsia="MS Gothic"/>
          <w:sz w:val="22"/>
          <w:szCs w:val="22"/>
          <w:lang w:eastAsia="ja-JP"/>
        </w:rPr>
        <w:t>many</w:t>
      </w:r>
      <w:r w:rsidR="006D3FB5">
        <w:rPr>
          <w:rFonts w:eastAsia="MS Gothic"/>
          <w:sz w:val="22"/>
          <w:szCs w:val="22"/>
          <w:lang w:eastAsia="ja-JP"/>
        </w:rPr>
        <w:t xml:space="preserve"> cases, </w:t>
      </w:r>
      <w:r w:rsidR="006D3FB5" w:rsidRPr="00D14B39">
        <w:rPr>
          <w:rFonts w:eastAsia="MS Gothic"/>
          <w:sz w:val="22"/>
          <w:szCs w:val="22"/>
          <w:u w:val="single"/>
          <w:lang w:eastAsia="ja-JP"/>
        </w:rPr>
        <w:t>RB allocations which would need</w:t>
      </w:r>
      <w:r w:rsidR="003E4B7A" w:rsidRPr="00D14B39">
        <w:rPr>
          <w:rFonts w:eastAsia="MS Gothic"/>
          <w:sz w:val="22"/>
          <w:szCs w:val="22"/>
          <w:u w:val="single"/>
          <w:lang w:eastAsia="ja-JP"/>
        </w:rPr>
        <w:t xml:space="preserve"> little or no</w:t>
      </w:r>
      <w:r w:rsidR="006D3FB5" w:rsidRPr="00D14B39">
        <w:rPr>
          <w:rFonts w:eastAsia="MS Gothic"/>
          <w:sz w:val="22"/>
          <w:szCs w:val="22"/>
          <w:u w:val="single"/>
          <w:lang w:eastAsia="ja-JP"/>
        </w:rPr>
        <w:t xml:space="preserve"> A-MPR if contained within a smaller bandwidth carrier, need </w:t>
      </w:r>
      <w:r w:rsidR="0096193C" w:rsidRPr="00D14B39">
        <w:rPr>
          <w:rFonts w:eastAsia="MS Gothic"/>
          <w:sz w:val="22"/>
          <w:szCs w:val="22"/>
          <w:u w:val="single"/>
          <w:lang w:eastAsia="ja-JP"/>
        </w:rPr>
        <w:t xml:space="preserve">very </w:t>
      </w:r>
      <w:r w:rsidR="006D3FB5" w:rsidRPr="00D14B39">
        <w:rPr>
          <w:rFonts w:eastAsia="MS Gothic"/>
          <w:sz w:val="22"/>
          <w:szCs w:val="22"/>
          <w:u w:val="single"/>
          <w:lang w:eastAsia="ja-JP"/>
        </w:rPr>
        <w:t>significant A-MPR when</w:t>
      </w:r>
      <w:r w:rsidR="00716362" w:rsidRPr="00D14B39">
        <w:rPr>
          <w:rFonts w:eastAsia="MS Gothic"/>
          <w:sz w:val="22"/>
          <w:szCs w:val="22"/>
          <w:u w:val="single"/>
          <w:lang w:eastAsia="ja-JP"/>
        </w:rPr>
        <w:t xml:space="preserve"> part of a larger bandwidth carrier</w:t>
      </w:r>
      <w:r w:rsidR="00716362">
        <w:rPr>
          <w:rFonts w:eastAsia="MS Gothic"/>
          <w:sz w:val="22"/>
          <w:szCs w:val="22"/>
          <w:lang w:eastAsia="ja-JP"/>
        </w:rPr>
        <w:t xml:space="preserve">.  </w:t>
      </w:r>
    </w:p>
    <w:p w14:paraId="3BBCB2FD" w14:textId="63319981" w:rsidR="00D14B39" w:rsidRDefault="00D14B39" w:rsidP="00E663F9">
      <w:pPr>
        <w:spacing w:after="120"/>
        <w:rPr>
          <w:rFonts w:eastAsia="MS Gothic"/>
          <w:sz w:val="22"/>
          <w:szCs w:val="22"/>
          <w:lang w:eastAsia="ja-JP"/>
        </w:rPr>
      </w:pPr>
      <w:r>
        <w:rPr>
          <w:rFonts w:eastAsia="MS Gothic"/>
          <w:sz w:val="22"/>
          <w:szCs w:val="22"/>
          <w:lang w:eastAsia="ja-JP"/>
        </w:rPr>
        <w:t xml:space="preserve">This is a </w:t>
      </w:r>
      <w:r w:rsidRPr="002A0B66">
        <w:rPr>
          <w:rFonts w:eastAsia="MS Gothic"/>
          <w:i/>
          <w:iCs/>
          <w:sz w:val="22"/>
          <w:szCs w:val="22"/>
          <w:lang w:eastAsia="ja-JP"/>
        </w:rPr>
        <w:t xml:space="preserve">fundamental problem </w:t>
      </w:r>
      <w:r>
        <w:rPr>
          <w:rFonts w:eastAsia="MS Gothic"/>
          <w:sz w:val="22"/>
          <w:szCs w:val="22"/>
          <w:lang w:eastAsia="ja-JP"/>
        </w:rPr>
        <w:t xml:space="preserve">which occurs whenever a wideband carrier is placed </w:t>
      </w:r>
      <w:r w:rsidR="00394390">
        <w:rPr>
          <w:rFonts w:eastAsia="MS Gothic"/>
          <w:sz w:val="22"/>
          <w:szCs w:val="22"/>
          <w:lang w:eastAsia="ja-JP"/>
        </w:rPr>
        <w:t>near</w:t>
      </w:r>
      <w:r>
        <w:rPr>
          <w:rFonts w:eastAsia="MS Gothic"/>
          <w:sz w:val="22"/>
          <w:szCs w:val="22"/>
          <w:lang w:eastAsia="ja-JP"/>
        </w:rPr>
        <w:t xml:space="preserve"> the edge of a band with NS signalled additional emissions constraints.</w:t>
      </w:r>
    </w:p>
    <w:p w14:paraId="2ADE170A" w14:textId="526A3804" w:rsidR="00273609" w:rsidRDefault="00273609" w:rsidP="00E663F9">
      <w:pPr>
        <w:spacing w:after="120"/>
        <w:rPr>
          <w:rFonts w:eastAsia="MS Gothic"/>
          <w:sz w:val="22"/>
          <w:szCs w:val="22"/>
          <w:lang w:eastAsia="ja-JP"/>
        </w:rPr>
      </w:pPr>
      <w:r>
        <w:rPr>
          <w:rFonts w:eastAsia="MS Gothic"/>
          <w:sz w:val="22"/>
          <w:szCs w:val="22"/>
          <w:lang w:eastAsia="ja-JP"/>
        </w:rPr>
        <w:t>There are two reasons for the increase</w:t>
      </w:r>
      <w:r w:rsidR="00634C5D">
        <w:rPr>
          <w:rFonts w:eastAsia="MS Gothic"/>
          <w:sz w:val="22"/>
          <w:szCs w:val="22"/>
          <w:lang w:eastAsia="ja-JP"/>
        </w:rPr>
        <w:t xml:space="preserve">d </w:t>
      </w:r>
      <w:r>
        <w:rPr>
          <w:rFonts w:eastAsia="MS Gothic"/>
          <w:sz w:val="22"/>
          <w:szCs w:val="22"/>
          <w:lang w:eastAsia="ja-JP"/>
        </w:rPr>
        <w:t xml:space="preserve">A-MPR </w:t>
      </w:r>
      <w:r w:rsidRPr="00D14B39">
        <w:rPr>
          <w:rFonts w:eastAsia="MS Gothic"/>
          <w:i/>
          <w:iCs/>
          <w:sz w:val="22"/>
          <w:szCs w:val="22"/>
          <w:lang w:eastAsia="ja-JP"/>
        </w:rPr>
        <w:t>for the same RB allocation</w:t>
      </w:r>
      <w:r>
        <w:rPr>
          <w:rFonts w:eastAsia="MS Gothic"/>
          <w:sz w:val="22"/>
          <w:szCs w:val="22"/>
          <w:lang w:eastAsia="ja-JP"/>
        </w:rPr>
        <w:t xml:space="preserve"> with the change in carrier bandwidth</w:t>
      </w:r>
    </w:p>
    <w:p w14:paraId="28C3D1F1" w14:textId="771C0E4E" w:rsidR="00273609" w:rsidRDefault="00273609" w:rsidP="00273609">
      <w:pPr>
        <w:pStyle w:val="ListParagraph"/>
        <w:numPr>
          <w:ilvl w:val="0"/>
          <w:numId w:val="35"/>
        </w:numPr>
        <w:spacing w:after="120"/>
        <w:rPr>
          <w:rFonts w:eastAsia="MS Gothic"/>
          <w:sz w:val="22"/>
          <w:szCs w:val="22"/>
          <w:lang w:eastAsia="ja-JP"/>
        </w:rPr>
      </w:pPr>
      <w:r>
        <w:rPr>
          <w:rFonts w:eastAsia="MS Gothic"/>
          <w:sz w:val="22"/>
          <w:szCs w:val="22"/>
          <w:lang w:eastAsia="ja-JP"/>
        </w:rPr>
        <w:t xml:space="preserve">A smaller </w:t>
      </w:r>
      <w:r w:rsidR="00571EE9">
        <w:rPr>
          <w:rFonts w:eastAsia="MS Gothic"/>
          <w:sz w:val="22"/>
          <w:szCs w:val="22"/>
          <w:lang w:eastAsia="ja-JP"/>
        </w:rPr>
        <w:t xml:space="preserve">bandwidth </w:t>
      </w:r>
      <w:r>
        <w:rPr>
          <w:rFonts w:eastAsia="MS Gothic"/>
          <w:sz w:val="22"/>
          <w:szCs w:val="22"/>
          <w:lang w:eastAsia="ja-JP"/>
        </w:rPr>
        <w:t>baseband transmit filter is used for the smaller carrier bandwidth</w:t>
      </w:r>
      <w:r w:rsidR="000B4DAC">
        <w:rPr>
          <w:rFonts w:eastAsia="MS Gothic"/>
          <w:sz w:val="22"/>
          <w:szCs w:val="22"/>
          <w:lang w:eastAsia="ja-JP"/>
        </w:rPr>
        <w:t xml:space="preserve"> giving more suppression of out-of-band </w:t>
      </w:r>
      <w:proofErr w:type="gramStart"/>
      <w:r w:rsidR="000B4DAC">
        <w:rPr>
          <w:rFonts w:eastAsia="MS Gothic"/>
          <w:sz w:val="22"/>
          <w:szCs w:val="22"/>
          <w:lang w:eastAsia="ja-JP"/>
        </w:rPr>
        <w:t>emissions</w:t>
      </w:r>
      <w:r>
        <w:rPr>
          <w:rFonts w:eastAsia="MS Gothic"/>
          <w:sz w:val="22"/>
          <w:szCs w:val="22"/>
          <w:lang w:eastAsia="ja-JP"/>
        </w:rPr>
        <w:t>;</w:t>
      </w:r>
      <w:proofErr w:type="gramEnd"/>
    </w:p>
    <w:p w14:paraId="753B53F1" w14:textId="77777777" w:rsidR="00273609" w:rsidRDefault="00273609" w:rsidP="00273609">
      <w:pPr>
        <w:pStyle w:val="ListParagraph"/>
        <w:spacing w:after="120"/>
        <w:ind w:left="1080"/>
        <w:rPr>
          <w:rFonts w:eastAsia="MS Gothic"/>
          <w:sz w:val="22"/>
          <w:szCs w:val="22"/>
          <w:lang w:eastAsia="ja-JP"/>
        </w:rPr>
      </w:pPr>
    </w:p>
    <w:p w14:paraId="3B65F80B" w14:textId="18BD08E5" w:rsidR="0078183C" w:rsidRDefault="004D7125" w:rsidP="00273609">
      <w:pPr>
        <w:pStyle w:val="ListParagraph"/>
        <w:numPr>
          <w:ilvl w:val="0"/>
          <w:numId w:val="35"/>
        </w:numPr>
        <w:spacing w:after="120"/>
        <w:rPr>
          <w:rFonts w:eastAsia="MS Gothic"/>
          <w:sz w:val="22"/>
          <w:szCs w:val="22"/>
          <w:lang w:eastAsia="ja-JP"/>
        </w:rPr>
      </w:pPr>
      <w:r>
        <w:rPr>
          <w:rFonts w:eastAsia="MS Gothic"/>
          <w:sz w:val="22"/>
          <w:szCs w:val="22"/>
          <w:lang w:eastAsia="ja-JP"/>
        </w:rPr>
        <w:t xml:space="preserve">The </w:t>
      </w:r>
      <w:r w:rsidR="000B4DAC">
        <w:rPr>
          <w:rFonts w:eastAsia="MS Gothic"/>
          <w:sz w:val="22"/>
          <w:szCs w:val="22"/>
          <w:lang w:eastAsia="ja-JP"/>
        </w:rPr>
        <w:t>location of the LO relative to the RB allocation is changed so that intermodulation products generated between the LO and the RB allocation now fall in the protected region when they did not previously.</w:t>
      </w:r>
    </w:p>
    <w:p w14:paraId="7116205B" w14:textId="07A6BA8B" w:rsidR="0096193C" w:rsidRDefault="004D7125" w:rsidP="00273609">
      <w:pPr>
        <w:spacing w:after="120"/>
        <w:rPr>
          <w:rFonts w:eastAsia="MS Gothic"/>
          <w:sz w:val="22"/>
          <w:szCs w:val="22"/>
          <w:lang w:eastAsia="ja-JP"/>
        </w:rPr>
      </w:pPr>
      <w:r>
        <w:rPr>
          <w:rFonts w:eastAsia="MS Gothic"/>
          <w:sz w:val="22"/>
          <w:szCs w:val="22"/>
          <w:lang w:eastAsia="ja-JP"/>
        </w:rPr>
        <w:t xml:space="preserve">With the introduction of bandwidth parts, </w:t>
      </w:r>
      <w:r w:rsidR="0017089E">
        <w:rPr>
          <w:rFonts w:eastAsia="MS Gothic"/>
          <w:sz w:val="22"/>
          <w:szCs w:val="22"/>
          <w:lang w:eastAsia="ja-JP"/>
        </w:rPr>
        <w:t xml:space="preserve">we consider the possibility for RB allocations within the bandwidth part </w:t>
      </w:r>
      <w:r w:rsidR="0017089E" w:rsidRPr="009E6F4F">
        <w:rPr>
          <w:rFonts w:eastAsia="MS Gothic"/>
          <w:i/>
          <w:iCs/>
          <w:sz w:val="22"/>
          <w:szCs w:val="22"/>
          <w:lang w:eastAsia="ja-JP"/>
        </w:rPr>
        <w:t xml:space="preserve">to </w:t>
      </w:r>
      <w:r w:rsidR="0096193C">
        <w:rPr>
          <w:rFonts w:eastAsia="MS Gothic"/>
          <w:i/>
          <w:iCs/>
          <w:sz w:val="22"/>
          <w:szCs w:val="22"/>
          <w:lang w:eastAsia="ja-JP"/>
        </w:rPr>
        <w:t>apply</w:t>
      </w:r>
      <w:r w:rsidR="0017089E" w:rsidRPr="009E6F4F">
        <w:rPr>
          <w:rFonts w:eastAsia="MS Gothic"/>
          <w:i/>
          <w:iCs/>
          <w:sz w:val="22"/>
          <w:szCs w:val="22"/>
          <w:lang w:eastAsia="ja-JP"/>
        </w:rPr>
        <w:t xml:space="preserve"> the A-MPR of a smaller carrier bandwidth</w:t>
      </w:r>
      <w:r w:rsidR="002A0B66">
        <w:rPr>
          <w:rFonts w:eastAsia="MS Gothic"/>
          <w:i/>
          <w:iCs/>
          <w:sz w:val="22"/>
          <w:szCs w:val="22"/>
          <w:lang w:eastAsia="ja-JP"/>
        </w:rPr>
        <w:t xml:space="preserve"> (for which A-MPR is already defined)</w:t>
      </w:r>
      <w:r w:rsidR="0017089E" w:rsidRPr="009E6F4F">
        <w:rPr>
          <w:rFonts w:eastAsia="MS Gothic"/>
          <w:i/>
          <w:iCs/>
          <w:sz w:val="22"/>
          <w:szCs w:val="22"/>
          <w:lang w:eastAsia="ja-JP"/>
        </w:rPr>
        <w:t xml:space="preserve"> in which they are contained</w:t>
      </w:r>
      <w:r w:rsidR="007B7391" w:rsidRPr="009E6F4F">
        <w:rPr>
          <w:rFonts w:eastAsia="MS Gothic"/>
          <w:i/>
          <w:iCs/>
          <w:sz w:val="22"/>
          <w:szCs w:val="22"/>
          <w:lang w:eastAsia="ja-JP"/>
        </w:rPr>
        <w:t xml:space="preserve"> if the smaller bandwidth transmit filter is used</w:t>
      </w:r>
      <w:r w:rsidR="007B7391">
        <w:rPr>
          <w:rFonts w:eastAsia="MS Gothic"/>
          <w:sz w:val="22"/>
          <w:szCs w:val="22"/>
          <w:lang w:eastAsia="ja-JP"/>
        </w:rPr>
        <w:t>.</w:t>
      </w:r>
      <w:r w:rsidR="002C6AEA">
        <w:rPr>
          <w:rFonts w:eastAsia="MS Gothic"/>
          <w:sz w:val="22"/>
          <w:szCs w:val="22"/>
          <w:lang w:eastAsia="ja-JP"/>
        </w:rPr>
        <w:t xml:space="preserve"> With </w:t>
      </w:r>
      <w:r w:rsidR="002C6AEA" w:rsidRPr="00A76535">
        <w:rPr>
          <w:rFonts w:eastAsia="MS Gothic"/>
          <w:sz w:val="22"/>
          <w:szCs w:val="22"/>
          <w:lang w:eastAsia="ja-JP"/>
        </w:rPr>
        <w:t xml:space="preserve">this approach, the A-MPR </w:t>
      </w:r>
      <w:r w:rsidR="003E4B7A" w:rsidRPr="00A76535">
        <w:rPr>
          <w:rFonts w:eastAsia="MS Gothic"/>
          <w:sz w:val="22"/>
          <w:szCs w:val="22"/>
          <w:lang w:eastAsia="ja-JP"/>
        </w:rPr>
        <w:t xml:space="preserve">allocated </w:t>
      </w:r>
      <w:r w:rsidR="002C6AEA" w:rsidRPr="00A76535">
        <w:rPr>
          <w:rFonts w:eastAsia="MS Gothic"/>
          <w:sz w:val="22"/>
          <w:szCs w:val="22"/>
          <w:lang w:eastAsia="ja-JP"/>
        </w:rPr>
        <w:t>at the edge of carriers can be significantly reduced.</w:t>
      </w:r>
    </w:p>
    <w:p w14:paraId="68442C01" w14:textId="5B286AE0" w:rsidR="00394390" w:rsidRDefault="00394390" w:rsidP="00273609">
      <w:pPr>
        <w:spacing w:after="120"/>
        <w:rPr>
          <w:rFonts w:eastAsia="MS Gothic"/>
          <w:sz w:val="22"/>
          <w:szCs w:val="22"/>
          <w:lang w:eastAsia="ja-JP"/>
        </w:rPr>
      </w:pPr>
      <w:r>
        <w:rPr>
          <w:rFonts w:eastAsia="MS Gothic"/>
          <w:sz w:val="22"/>
          <w:szCs w:val="22"/>
          <w:lang w:eastAsia="ja-JP"/>
        </w:rPr>
        <w:t xml:space="preserve">It should be noted that this approach </w:t>
      </w:r>
      <w:r w:rsidRPr="002A0B66">
        <w:rPr>
          <w:rFonts w:eastAsia="MS Gothic"/>
          <w:i/>
          <w:iCs/>
          <w:sz w:val="22"/>
          <w:szCs w:val="22"/>
          <w:lang w:eastAsia="ja-JP"/>
        </w:rPr>
        <w:t>can be used with the existing A-MPR tables</w:t>
      </w:r>
      <w:r w:rsidR="00546A86">
        <w:rPr>
          <w:rFonts w:eastAsia="MS Gothic"/>
          <w:sz w:val="22"/>
          <w:szCs w:val="22"/>
          <w:lang w:eastAsia="ja-JP"/>
        </w:rPr>
        <w:t xml:space="preserve"> </w:t>
      </w:r>
      <w:r w:rsidR="00546A86" w:rsidRPr="00546A86">
        <w:rPr>
          <w:rFonts w:eastAsia="MS Gothic"/>
          <w:i/>
          <w:iCs/>
          <w:sz w:val="22"/>
          <w:szCs w:val="22"/>
          <w:lang w:eastAsia="ja-JP"/>
        </w:rPr>
        <w:t>and for any band</w:t>
      </w:r>
      <w:r w:rsidR="00546A86">
        <w:rPr>
          <w:rFonts w:eastAsia="MS Gothic"/>
          <w:sz w:val="22"/>
          <w:szCs w:val="22"/>
          <w:lang w:eastAsia="ja-JP"/>
        </w:rPr>
        <w:t>.</w:t>
      </w:r>
    </w:p>
    <w:p w14:paraId="3C552A32" w14:textId="69B876E4" w:rsidR="00285CB8" w:rsidRPr="00A76535" w:rsidRDefault="00285CB8" w:rsidP="00273609">
      <w:pPr>
        <w:spacing w:after="120"/>
        <w:rPr>
          <w:rFonts w:eastAsia="MS Gothic"/>
          <w:sz w:val="22"/>
          <w:szCs w:val="22"/>
          <w:lang w:eastAsia="ja-JP"/>
        </w:rPr>
      </w:pPr>
      <w:r>
        <w:rPr>
          <w:rFonts w:eastAsia="MS Gothic"/>
          <w:sz w:val="22"/>
          <w:szCs w:val="22"/>
          <w:lang w:eastAsia="ja-JP"/>
        </w:rPr>
        <w:t xml:space="preserve">One motivation for considering this issue is that </w:t>
      </w:r>
      <w:r w:rsidRPr="0027583A">
        <w:rPr>
          <w:rFonts w:eastAsia="MS Gothic"/>
          <w:i/>
          <w:iCs/>
          <w:sz w:val="22"/>
          <w:szCs w:val="22"/>
          <w:lang w:eastAsia="ja-JP"/>
        </w:rPr>
        <w:t>it allows the UE to access the full carrier bandwidth on the downlink</w:t>
      </w:r>
      <w:r w:rsidR="0027583A" w:rsidRPr="0027583A">
        <w:rPr>
          <w:rFonts w:eastAsia="MS Gothic"/>
          <w:i/>
          <w:iCs/>
          <w:sz w:val="22"/>
          <w:szCs w:val="22"/>
          <w:lang w:eastAsia="ja-JP"/>
        </w:rPr>
        <w:t xml:space="preserve"> </w:t>
      </w:r>
      <w:r w:rsidRPr="002A0B66">
        <w:rPr>
          <w:rFonts w:eastAsia="MS Gothic"/>
          <w:i/>
          <w:iCs/>
          <w:sz w:val="22"/>
          <w:szCs w:val="22"/>
          <w:lang w:eastAsia="ja-JP"/>
        </w:rPr>
        <w:t>without incurring the corresponding very large A-MPR on the uplink</w:t>
      </w:r>
      <w:r w:rsidR="002A0B66">
        <w:rPr>
          <w:rFonts w:eastAsia="MS Gothic"/>
          <w:sz w:val="22"/>
          <w:szCs w:val="22"/>
          <w:lang w:eastAsia="ja-JP"/>
        </w:rPr>
        <w:t xml:space="preserve"> and without requiring carrier aggregation.  </w:t>
      </w:r>
      <w:r>
        <w:rPr>
          <w:rFonts w:eastAsia="MS Gothic"/>
          <w:sz w:val="22"/>
          <w:szCs w:val="22"/>
          <w:lang w:eastAsia="ja-JP"/>
        </w:rPr>
        <w:t>This is possible when</w:t>
      </w:r>
      <w:r w:rsidR="00394390">
        <w:rPr>
          <w:rFonts w:eastAsia="MS Gothic"/>
          <w:sz w:val="22"/>
          <w:szCs w:val="22"/>
          <w:lang w:eastAsia="ja-JP"/>
        </w:rPr>
        <w:t>ever</w:t>
      </w:r>
      <w:r>
        <w:rPr>
          <w:rFonts w:eastAsia="MS Gothic"/>
          <w:sz w:val="22"/>
          <w:szCs w:val="22"/>
          <w:lang w:eastAsia="ja-JP"/>
        </w:rPr>
        <w:t xml:space="preserve"> the required uplink bandwidth is less than the required downlink bandwidth so </w:t>
      </w:r>
      <w:r w:rsidR="0027583A">
        <w:rPr>
          <w:rFonts w:eastAsia="MS Gothic"/>
          <w:sz w:val="22"/>
          <w:szCs w:val="22"/>
          <w:lang w:eastAsia="ja-JP"/>
        </w:rPr>
        <w:t>that the uplink bandwidth requirement can be supported with a smaller bandwidth part.</w:t>
      </w:r>
    </w:p>
    <w:p w14:paraId="1C244645" w14:textId="68F62521" w:rsidR="007B7391" w:rsidRDefault="00A76535" w:rsidP="007B7391">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A-MPR for Bandwidth Parts vs. Carrier Bandwidth</w:t>
      </w:r>
    </w:p>
    <w:p w14:paraId="58E6E7C4" w14:textId="294A3E4F" w:rsidR="00A76535" w:rsidRDefault="007B7391" w:rsidP="00C828F6">
      <w:pPr>
        <w:spacing w:after="120"/>
        <w:rPr>
          <w:rFonts w:eastAsia="MS Gothic"/>
          <w:sz w:val="22"/>
          <w:szCs w:val="22"/>
          <w:lang w:eastAsia="ja-JP"/>
        </w:rPr>
      </w:pPr>
      <w:r>
        <w:rPr>
          <w:rFonts w:eastAsia="MS Gothic"/>
          <w:sz w:val="22"/>
          <w:szCs w:val="22"/>
          <w:lang w:eastAsia="ja-JP"/>
        </w:rPr>
        <w:t>As discussed in the introduction</w:t>
      </w:r>
      <w:r w:rsidR="00394390">
        <w:rPr>
          <w:rFonts w:eastAsia="MS Gothic"/>
          <w:sz w:val="22"/>
          <w:szCs w:val="22"/>
          <w:lang w:eastAsia="ja-JP"/>
        </w:rPr>
        <w:t xml:space="preserve"> and in [</w:t>
      </w:r>
      <w:r w:rsidR="00546A86">
        <w:rPr>
          <w:rFonts w:eastAsia="MS Gothic"/>
          <w:sz w:val="22"/>
          <w:szCs w:val="22"/>
          <w:lang w:eastAsia="ja-JP"/>
        </w:rPr>
        <w:t>2</w:t>
      </w:r>
      <w:r w:rsidR="00394390">
        <w:rPr>
          <w:rFonts w:eastAsia="MS Gothic"/>
          <w:sz w:val="22"/>
          <w:szCs w:val="22"/>
          <w:lang w:eastAsia="ja-JP"/>
        </w:rPr>
        <w:t>]</w:t>
      </w:r>
      <w:r>
        <w:rPr>
          <w:rFonts w:eastAsia="MS Gothic"/>
          <w:sz w:val="22"/>
          <w:szCs w:val="22"/>
          <w:lang w:eastAsia="ja-JP"/>
        </w:rPr>
        <w:t xml:space="preserve">, the A-MPR for a given RB allocation generally increases with the bandwidth of the carrier in which it is </w:t>
      </w:r>
      <w:r w:rsidR="00227301">
        <w:rPr>
          <w:rFonts w:eastAsia="MS Gothic"/>
          <w:sz w:val="22"/>
          <w:szCs w:val="22"/>
          <w:lang w:eastAsia="ja-JP"/>
        </w:rPr>
        <w:t>embedded</w:t>
      </w:r>
      <w:r>
        <w:rPr>
          <w:rFonts w:eastAsia="MS Gothic"/>
          <w:sz w:val="22"/>
          <w:szCs w:val="22"/>
          <w:lang w:eastAsia="ja-JP"/>
        </w:rPr>
        <w:t xml:space="preserve">. </w:t>
      </w:r>
      <w:r w:rsidR="00A76535">
        <w:rPr>
          <w:rFonts w:eastAsia="MS Gothic"/>
          <w:sz w:val="22"/>
          <w:szCs w:val="22"/>
          <w:lang w:eastAsia="ja-JP"/>
        </w:rPr>
        <w:t xml:space="preserve">To </w:t>
      </w:r>
      <w:r>
        <w:rPr>
          <w:rFonts w:eastAsia="MS Gothic"/>
          <w:sz w:val="22"/>
          <w:szCs w:val="22"/>
          <w:lang w:eastAsia="ja-JP"/>
        </w:rPr>
        <w:t xml:space="preserve">demonstrate the issue, we consider the </w:t>
      </w:r>
      <w:r w:rsidR="00227301">
        <w:rPr>
          <w:rFonts w:eastAsia="MS Gothic"/>
          <w:sz w:val="22"/>
          <w:szCs w:val="22"/>
          <w:lang w:eastAsia="ja-JP"/>
        </w:rPr>
        <w:t>case</w:t>
      </w:r>
      <w:r>
        <w:rPr>
          <w:rFonts w:eastAsia="MS Gothic"/>
          <w:sz w:val="22"/>
          <w:szCs w:val="22"/>
          <w:lang w:eastAsia="ja-JP"/>
        </w:rPr>
        <w:t xml:space="preserve"> of band n1 when NS_05 is </w:t>
      </w:r>
      <w:r w:rsidR="00227301">
        <w:rPr>
          <w:rFonts w:eastAsia="MS Gothic"/>
          <w:sz w:val="22"/>
          <w:szCs w:val="22"/>
          <w:lang w:eastAsia="ja-JP"/>
        </w:rPr>
        <w:t>signalled</w:t>
      </w:r>
      <w:r>
        <w:rPr>
          <w:rFonts w:eastAsia="MS Gothic"/>
          <w:sz w:val="22"/>
          <w:szCs w:val="22"/>
          <w:lang w:eastAsia="ja-JP"/>
        </w:rPr>
        <w:t xml:space="preserve">.  </w:t>
      </w:r>
      <w:r w:rsidR="00472A79">
        <w:rPr>
          <w:rFonts w:eastAsia="MS Gothic"/>
          <w:sz w:val="22"/>
          <w:szCs w:val="22"/>
          <w:lang w:eastAsia="ja-JP"/>
        </w:rPr>
        <w:t xml:space="preserve">The A-MPR regions are given </w:t>
      </w:r>
      <w:r w:rsidR="00DB4A61">
        <w:rPr>
          <w:rFonts w:eastAsia="MS Gothic"/>
          <w:sz w:val="22"/>
          <w:szCs w:val="22"/>
          <w:lang w:eastAsia="ja-JP"/>
        </w:rPr>
        <w:t xml:space="preserve">in </w:t>
      </w:r>
      <w:r w:rsidR="00472A79">
        <w:rPr>
          <w:rFonts w:eastAsia="MS Gothic"/>
          <w:sz w:val="22"/>
          <w:szCs w:val="22"/>
          <w:lang w:eastAsia="ja-JP"/>
        </w:rPr>
        <w:t xml:space="preserve">Table 1 below (Table 6.2.3.4-1 from </w:t>
      </w:r>
      <w:r w:rsidR="008C0D93">
        <w:rPr>
          <w:rFonts w:eastAsia="MS Gothic"/>
          <w:sz w:val="22"/>
          <w:szCs w:val="22"/>
          <w:lang w:eastAsia="ja-JP"/>
        </w:rPr>
        <w:t>[1]</w:t>
      </w:r>
      <w:r w:rsidR="00472A79">
        <w:rPr>
          <w:rFonts w:eastAsia="MS Gothic"/>
          <w:sz w:val="22"/>
          <w:szCs w:val="22"/>
          <w:lang w:eastAsia="ja-JP"/>
        </w:rPr>
        <w:t>)</w:t>
      </w:r>
      <w:r w:rsidR="001422C3">
        <w:rPr>
          <w:rFonts w:eastAsia="MS Gothic"/>
          <w:sz w:val="22"/>
          <w:szCs w:val="22"/>
          <w:lang w:eastAsia="ja-JP"/>
        </w:rPr>
        <w:t xml:space="preserve">.  The corresponding A-MPR </w:t>
      </w:r>
      <w:r w:rsidR="009D09E8">
        <w:rPr>
          <w:rFonts w:eastAsia="MS Gothic"/>
          <w:sz w:val="22"/>
          <w:szCs w:val="22"/>
          <w:lang w:eastAsia="ja-JP"/>
        </w:rPr>
        <w:t>values are given in</w:t>
      </w:r>
      <w:r w:rsidR="001422C3">
        <w:rPr>
          <w:rFonts w:eastAsia="MS Gothic"/>
          <w:sz w:val="22"/>
          <w:szCs w:val="22"/>
          <w:lang w:eastAsia="ja-JP"/>
        </w:rPr>
        <w:t xml:space="preserve"> </w:t>
      </w:r>
      <w:r w:rsidR="00227301">
        <w:rPr>
          <w:rFonts w:eastAsia="MS Gothic"/>
          <w:sz w:val="22"/>
          <w:szCs w:val="22"/>
          <w:lang w:eastAsia="ja-JP"/>
        </w:rPr>
        <w:t>Table 2</w:t>
      </w:r>
      <w:r w:rsidR="009D09E8">
        <w:rPr>
          <w:rFonts w:eastAsia="MS Gothic"/>
          <w:sz w:val="22"/>
          <w:szCs w:val="22"/>
          <w:lang w:eastAsia="ja-JP"/>
        </w:rPr>
        <w:t xml:space="preserve"> (Table 6.2.3.4-2 from [1])</w:t>
      </w:r>
      <w:r w:rsidR="00227301">
        <w:rPr>
          <w:rFonts w:eastAsia="MS Gothic"/>
          <w:sz w:val="22"/>
          <w:szCs w:val="22"/>
          <w:lang w:eastAsia="ja-JP"/>
        </w:rPr>
        <w:t xml:space="preserve">. </w:t>
      </w:r>
    </w:p>
    <w:p w14:paraId="1BB6C570" w14:textId="269E29F6" w:rsidR="005F03ED" w:rsidRDefault="005F03ED" w:rsidP="00C828F6">
      <w:pPr>
        <w:spacing w:after="120"/>
        <w:rPr>
          <w:rFonts w:eastAsia="MS Gothic"/>
          <w:sz w:val="22"/>
          <w:szCs w:val="22"/>
          <w:lang w:eastAsia="ja-JP"/>
        </w:rPr>
      </w:pPr>
      <w:r>
        <w:rPr>
          <w:rFonts w:eastAsia="MS Gothic"/>
          <w:sz w:val="22"/>
          <w:szCs w:val="22"/>
          <w:lang w:eastAsia="ja-JP"/>
        </w:rPr>
        <w:t>We consider two examples to demonstrate the issue.  In the first example, we consider</w:t>
      </w:r>
      <w:r w:rsidR="00EB69E1">
        <w:rPr>
          <w:rFonts w:eastAsia="MS Gothic"/>
          <w:sz w:val="22"/>
          <w:szCs w:val="22"/>
          <w:lang w:eastAsia="ja-JP"/>
        </w:rPr>
        <w:t xml:space="preserve"> </w:t>
      </w:r>
      <w:r w:rsidR="00EB69E1" w:rsidRPr="00901D06">
        <w:rPr>
          <w:rFonts w:eastAsia="MS Gothic"/>
          <w:i/>
          <w:iCs/>
          <w:sz w:val="22"/>
          <w:szCs w:val="22"/>
          <w:lang w:eastAsia="ja-JP"/>
        </w:rPr>
        <w:t>the same RB allocation</w:t>
      </w:r>
      <w:r w:rsidR="00EB69E1">
        <w:rPr>
          <w:rFonts w:eastAsia="MS Gothic"/>
          <w:sz w:val="22"/>
          <w:szCs w:val="22"/>
          <w:lang w:eastAsia="ja-JP"/>
        </w:rPr>
        <w:t xml:space="preserve"> within</w:t>
      </w:r>
      <w:r w:rsidR="005422EE">
        <w:rPr>
          <w:rFonts w:eastAsia="MS Gothic"/>
          <w:sz w:val="22"/>
          <w:szCs w:val="22"/>
          <w:lang w:eastAsia="ja-JP"/>
        </w:rPr>
        <w:t xml:space="preserve"> a 5 MHz carrier and a 20 MHz carrier</w:t>
      </w:r>
      <w:r w:rsidR="00286A37">
        <w:rPr>
          <w:rFonts w:eastAsia="MS Gothic"/>
          <w:sz w:val="22"/>
          <w:szCs w:val="22"/>
          <w:lang w:eastAsia="ja-JP"/>
        </w:rPr>
        <w:t>, both</w:t>
      </w:r>
      <w:r w:rsidR="005422EE">
        <w:rPr>
          <w:rFonts w:eastAsia="MS Gothic"/>
          <w:sz w:val="22"/>
          <w:szCs w:val="22"/>
          <w:lang w:eastAsia="ja-JP"/>
        </w:rPr>
        <w:t xml:space="preserve"> at the bottom of band n1</w:t>
      </w:r>
      <w:r w:rsidR="00901D06">
        <w:rPr>
          <w:rFonts w:eastAsia="MS Gothic"/>
          <w:sz w:val="22"/>
          <w:szCs w:val="22"/>
          <w:lang w:eastAsia="ja-JP"/>
        </w:rPr>
        <w:t>,</w:t>
      </w:r>
      <w:r w:rsidR="005422EE">
        <w:rPr>
          <w:rFonts w:eastAsia="MS Gothic"/>
          <w:sz w:val="22"/>
          <w:szCs w:val="22"/>
          <w:lang w:eastAsia="ja-JP"/>
        </w:rPr>
        <w:t xml:space="preserve"> as shown in Figure 1.</w:t>
      </w:r>
    </w:p>
    <w:p w14:paraId="141E0005" w14:textId="106B4A66" w:rsidR="005422EE" w:rsidRDefault="00EB69E1" w:rsidP="005422EE">
      <w:pPr>
        <w:spacing w:after="120"/>
        <w:jc w:val="center"/>
        <w:rPr>
          <w:rFonts w:eastAsia="MS Gothic"/>
          <w:sz w:val="22"/>
          <w:szCs w:val="22"/>
          <w:lang w:eastAsia="ja-JP"/>
        </w:rPr>
      </w:pPr>
      <w:r w:rsidRPr="00EB69E1">
        <w:lastRenderedPageBreak/>
        <w:drawing>
          <wp:inline distT="0" distB="0" distL="0" distR="0" wp14:anchorId="2584DA4F" wp14:editId="6C61CFC4">
            <wp:extent cx="3602736" cy="147218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2736" cy="1472184"/>
                    </a:xfrm>
                    <a:prstGeom prst="rect">
                      <a:avLst/>
                    </a:prstGeom>
                    <a:noFill/>
                    <a:ln>
                      <a:noFill/>
                    </a:ln>
                  </pic:spPr>
                </pic:pic>
              </a:graphicData>
            </a:graphic>
          </wp:inline>
        </w:drawing>
      </w:r>
    </w:p>
    <w:p w14:paraId="7B7C204C" w14:textId="08C9815D" w:rsidR="00EB69E1" w:rsidRPr="00A76535" w:rsidRDefault="00EB69E1" w:rsidP="00EB69E1">
      <w:pPr>
        <w:spacing w:after="120"/>
        <w:jc w:val="center"/>
        <w:rPr>
          <w:rFonts w:eastAsia="MS Gothic"/>
          <w:b/>
          <w:bCs/>
          <w:sz w:val="22"/>
          <w:szCs w:val="22"/>
          <w:lang w:val="en-US" w:eastAsia="ja-JP"/>
        </w:rPr>
      </w:pPr>
      <w:r w:rsidRPr="00A76535">
        <w:rPr>
          <w:rFonts w:eastAsia="MS Gothic"/>
          <w:b/>
          <w:bCs/>
          <w:sz w:val="22"/>
          <w:szCs w:val="22"/>
          <w:lang w:val="en-US" w:eastAsia="ja-JP"/>
        </w:rPr>
        <w:t xml:space="preserve">Figure </w:t>
      </w:r>
      <w:r>
        <w:rPr>
          <w:rFonts w:eastAsia="MS Gothic"/>
          <w:b/>
          <w:bCs/>
          <w:sz w:val="22"/>
          <w:szCs w:val="22"/>
          <w:lang w:val="en-US" w:eastAsia="ja-JP"/>
        </w:rPr>
        <w:t>1</w:t>
      </w:r>
      <w:r w:rsidRPr="00A76535">
        <w:rPr>
          <w:rFonts w:eastAsia="MS Gothic"/>
          <w:b/>
          <w:bCs/>
          <w:sz w:val="22"/>
          <w:szCs w:val="22"/>
          <w:lang w:val="en-US" w:eastAsia="ja-JP"/>
        </w:rPr>
        <w:t xml:space="preserve">:  </w:t>
      </w:r>
      <w:r>
        <w:rPr>
          <w:rFonts w:eastAsia="MS Gothic"/>
          <w:b/>
          <w:bCs/>
          <w:sz w:val="22"/>
          <w:szCs w:val="22"/>
          <w:lang w:val="en-US" w:eastAsia="ja-JP"/>
        </w:rPr>
        <w:t>RB allocation within 5 and 20 MHz carriers</w:t>
      </w:r>
    </w:p>
    <w:p w14:paraId="7EF522AB" w14:textId="43B2FC9F" w:rsidR="00EB69E1" w:rsidRDefault="00E9528E" w:rsidP="00C828F6">
      <w:pPr>
        <w:spacing w:after="120"/>
        <w:rPr>
          <w:rFonts w:eastAsia="MS Gothic"/>
          <w:sz w:val="22"/>
          <w:szCs w:val="22"/>
          <w:lang w:val="en-US" w:eastAsia="ja-JP"/>
        </w:rPr>
      </w:pPr>
      <w:r>
        <w:rPr>
          <w:rFonts w:eastAsia="MS Gothic"/>
          <w:sz w:val="22"/>
          <w:szCs w:val="22"/>
          <w:lang w:val="en-US" w:eastAsia="ja-JP"/>
        </w:rPr>
        <w:t>From Tables 1 and 2 below, it is apparent that no A-MPR is allowed for the RB allocation in the 5 MHz carrier so long as the allocation is less than or equal to 2.52 MHz</w:t>
      </w:r>
      <w:r w:rsidR="00B94E55">
        <w:rPr>
          <w:rFonts w:eastAsia="MS Gothic"/>
          <w:sz w:val="22"/>
          <w:szCs w:val="22"/>
          <w:lang w:val="en-US" w:eastAsia="ja-JP"/>
        </w:rPr>
        <w:t xml:space="preserve"> (16 RB’s for SCS equal to 15 kHz)</w:t>
      </w:r>
      <w:r>
        <w:rPr>
          <w:rFonts w:eastAsia="MS Gothic"/>
          <w:sz w:val="22"/>
          <w:szCs w:val="22"/>
          <w:lang w:val="en-US" w:eastAsia="ja-JP"/>
        </w:rPr>
        <w:t xml:space="preserve">.  Conversely, </w:t>
      </w:r>
      <w:r w:rsidRPr="00E9528E">
        <w:rPr>
          <w:rFonts w:eastAsia="MS Gothic"/>
          <w:i/>
          <w:iCs/>
          <w:sz w:val="22"/>
          <w:szCs w:val="22"/>
          <w:lang w:val="en-US" w:eastAsia="ja-JP"/>
        </w:rPr>
        <w:t>for this same RB allocation</w:t>
      </w:r>
      <w:r>
        <w:rPr>
          <w:rFonts w:eastAsia="MS Gothic"/>
          <w:i/>
          <w:iCs/>
          <w:sz w:val="22"/>
          <w:szCs w:val="22"/>
          <w:lang w:val="en-US" w:eastAsia="ja-JP"/>
        </w:rPr>
        <w:t xml:space="preserve"> in a 20 MHz carrier</w:t>
      </w:r>
      <w:r>
        <w:rPr>
          <w:rFonts w:eastAsia="MS Gothic"/>
          <w:sz w:val="22"/>
          <w:szCs w:val="22"/>
          <w:lang w:val="en-US" w:eastAsia="ja-JP"/>
        </w:rPr>
        <w:t xml:space="preserve">, the </w:t>
      </w:r>
      <w:r w:rsidRPr="00E9528E">
        <w:rPr>
          <w:rFonts w:eastAsia="MS Gothic"/>
          <w:i/>
          <w:iCs/>
          <w:sz w:val="22"/>
          <w:szCs w:val="22"/>
          <w:lang w:val="en-US" w:eastAsia="ja-JP"/>
        </w:rPr>
        <w:t>allowed A-MPR is no less than 10 dB</w:t>
      </w:r>
      <w:r>
        <w:rPr>
          <w:rFonts w:eastAsia="MS Gothic"/>
          <w:sz w:val="22"/>
          <w:szCs w:val="22"/>
          <w:lang w:val="en-US" w:eastAsia="ja-JP"/>
        </w:rPr>
        <w:t xml:space="preserve"> and can be as large as 13 </w:t>
      </w:r>
      <w:proofErr w:type="spellStart"/>
      <w:r>
        <w:rPr>
          <w:rFonts w:eastAsia="MS Gothic"/>
          <w:sz w:val="22"/>
          <w:szCs w:val="22"/>
          <w:lang w:val="en-US" w:eastAsia="ja-JP"/>
        </w:rPr>
        <w:t>dB.</w:t>
      </w:r>
      <w:proofErr w:type="spellEnd"/>
    </w:p>
    <w:p w14:paraId="7FC13C08" w14:textId="22CF8D33" w:rsidR="00E9528E" w:rsidRDefault="00E9528E" w:rsidP="00E9528E">
      <w:pPr>
        <w:tabs>
          <w:tab w:val="left" w:pos="1620"/>
        </w:tabs>
        <w:spacing w:after="120"/>
        <w:ind w:left="1620" w:hanging="1620"/>
        <w:rPr>
          <w:rFonts w:eastAsia="MS Gothic"/>
          <w:sz w:val="22"/>
          <w:szCs w:val="22"/>
          <w:lang w:val="en-US" w:eastAsia="ja-JP"/>
        </w:rPr>
      </w:pPr>
      <w:r w:rsidRPr="00E9528E">
        <w:rPr>
          <w:rFonts w:eastAsia="MS Gothic"/>
          <w:b/>
          <w:bCs/>
          <w:sz w:val="22"/>
          <w:szCs w:val="22"/>
          <w:lang w:val="en-US" w:eastAsia="ja-JP"/>
        </w:rPr>
        <w:t>Observation 1</w:t>
      </w:r>
      <w:r>
        <w:rPr>
          <w:rFonts w:eastAsia="MS Gothic"/>
          <w:sz w:val="22"/>
          <w:szCs w:val="22"/>
          <w:lang w:val="en-US" w:eastAsia="ja-JP"/>
        </w:rPr>
        <w:t xml:space="preserve">:  </w:t>
      </w:r>
      <w:r>
        <w:rPr>
          <w:rFonts w:eastAsia="MS Gothic"/>
          <w:sz w:val="22"/>
          <w:szCs w:val="22"/>
          <w:lang w:val="en-US" w:eastAsia="ja-JP"/>
        </w:rPr>
        <w:tab/>
      </w:r>
      <w:r w:rsidRPr="002A0B66">
        <w:rPr>
          <w:rFonts w:eastAsia="MS Gothic"/>
          <w:i/>
          <w:iCs/>
          <w:sz w:val="22"/>
          <w:szCs w:val="22"/>
          <w:lang w:val="en-US" w:eastAsia="ja-JP"/>
        </w:rPr>
        <w:t>For the same RB allocation</w:t>
      </w:r>
      <w:r>
        <w:rPr>
          <w:rFonts w:eastAsia="MS Gothic"/>
          <w:sz w:val="22"/>
          <w:szCs w:val="22"/>
          <w:lang w:val="en-US" w:eastAsia="ja-JP"/>
        </w:rPr>
        <w:t xml:space="preserve"> having bandwidth less than or equal to 2.52 MHz, the allowed A-MPR is </w:t>
      </w:r>
      <w:r w:rsidRPr="002A0B66">
        <w:rPr>
          <w:rFonts w:eastAsia="MS Gothic"/>
          <w:i/>
          <w:iCs/>
          <w:sz w:val="22"/>
          <w:szCs w:val="22"/>
          <w:lang w:val="en-US" w:eastAsia="ja-JP"/>
        </w:rPr>
        <w:t>at least 10 dB larger</w:t>
      </w:r>
      <w:r>
        <w:rPr>
          <w:rFonts w:eastAsia="MS Gothic"/>
          <w:sz w:val="22"/>
          <w:szCs w:val="22"/>
          <w:lang w:val="en-US" w:eastAsia="ja-JP"/>
        </w:rPr>
        <w:t xml:space="preserve"> for the 20 MHz carrier than for the 5 MHz carrier. </w:t>
      </w:r>
    </w:p>
    <w:p w14:paraId="0D9B2E80" w14:textId="1DE78095" w:rsidR="00163A7A" w:rsidRDefault="00E9528E" w:rsidP="00C828F6">
      <w:pPr>
        <w:spacing w:after="120"/>
        <w:rPr>
          <w:rFonts w:eastAsia="MS Gothic"/>
          <w:sz w:val="22"/>
          <w:szCs w:val="22"/>
          <w:lang w:eastAsia="ja-JP"/>
        </w:rPr>
      </w:pPr>
      <w:r>
        <w:rPr>
          <w:rFonts w:eastAsia="MS Gothic"/>
          <w:sz w:val="22"/>
          <w:szCs w:val="22"/>
          <w:lang w:eastAsia="ja-JP"/>
        </w:rPr>
        <w:t xml:space="preserve">We now consider how bandwidth parts can be used to reduce the A-MPR </w:t>
      </w:r>
      <w:r w:rsidR="001C4873">
        <w:rPr>
          <w:rFonts w:eastAsia="MS Gothic"/>
          <w:sz w:val="22"/>
          <w:szCs w:val="22"/>
          <w:lang w:eastAsia="ja-JP"/>
        </w:rPr>
        <w:t>for the wideband carrier to be when the full bandwidth of the carrier is not needed on the uplink.</w:t>
      </w:r>
      <w:r w:rsidR="00B120F3">
        <w:rPr>
          <w:rFonts w:eastAsia="MS Gothic"/>
          <w:sz w:val="22"/>
          <w:szCs w:val="22"/>
          <w:lang w:eastAsia="ja-JP"/>
        </w:rPr>
        <w:t xml:space="preserve">  </w:t>
      </w:r>
      <w:r w:rsidR="00DB4A61">
        <w:rPr>
          <w:rFonts w:eastAsia="MS Gothic"/>
          <w:sz w:val="22"/>
          <w:szCs w:val="22"/>
          <w:lang w:val="en-US" w:eastAsia="ja-JP"/>
        </w:rPr>
        <w:t>As an example, we c</w:t>
      </w:r>
      <w:r w:rsidR="009E6F4F" w:rsidRPr="009E6F4F">
        <w:rPr>
          <w:rFonts w:eastAsia="MS Gothic"/>
          <w:sz w:val="22"/>
          <w:szCs w:val="22"/>
          <w:lang w:val="en-US" w:eastAsia="ja-JP"/>
        </w:rPr>
        <w:t xml:space="preserve">onsider </w:t>
      </w:r>
      <w:r w:rsidR="009E6F4F">
        <w:rPr>
          <w:rFonts w:eastAsia="MS Gothic"/>
          <w:sz w:val="22"/>
          <w:szCs w:val="22"/>
          <w:lang w:val="en-US" w:eastAsia="ja-JP"/>
        </w:rPr>
        <w:t>two 5 MHz carriers,</w:t>
      </w:r>
      <w:r w:rsidR="000C2A03">
        <w:rPr>
          <w:rFonts w:eastAsia="MS Gothic"/>
          <w:sz w:val="22"/>
          <w:szCs w:val="22"/>
          <w:lang w:val="en-US" w:eastAsia="ja-JP"/>
        </w:rPr>
        <w:t xml:space="preserve"> C</w:t>
      </w:r>
      <w:r w:rsidR="000C2A03" w:rsidRPr="000C2A03">
        <w:rPr>
          <w:rFonts w:eastAsia="MS Gothic"/>
          <w:sz w:val="22"/>
          <w:szCs w:val="22"/>
          <w:vertAlign w:val="subscript"/>
          <w:lang w:val="en-US" w:eastAsia="ja-JP"/>
        </w:rPr>
        <w:t>1</w:t>
      </w:r>
      <w:r w:rsidR="000C2A03">
        <w:rPr>
          <w:rFonts w:eastAsia="MS Gothic"/>
          <w:sz w:val="22"/>
          <w:szCs w:val="22"/>
          <w:lang w:val="en-US" w:eastAsia="ja-JP"/>
        </w:rPr>
        <w:t xml:space="preserve"> and C</w:t>
      </w:r>
      <w:r w:rsidR="000C2A03" w:rsidRPr="000C2A03">
        <w:rPr>
          <w:rFonts w:eastAsia="MS Gothic"/>
          <w:sz w:val="22"/>
          <w:szCs w:val="22"/>
          <w:vertAlign w:val="subscript"/>
          <w:lang w:val="en-US" w:eastAsia="ja-JP"/>
        </w:rPr>
        <w:t>2</w:t>
      </w:r>
      <w:r w:rsidR="00A76535">
        <w:rPr>
          <w:rFonts w:eastAsia="MS Gothic"/>
          <w:sz w:val="22"/>
          <w:szCs w:val="22"/>
          <w:lang w:val="en-US" w:eastAsia="ja-JP"/>
        </w:rPr>
        <w:t xml:space="preserve"> as shown in Figure 1</w:t>
      </w:r>
      <w:r w:rsidR="00285CB8">
        <w:rPr>
          <w:rFonts w:eastAsia="MS Gothic"/>
          <w:sz w:val="22"/>
          <w:szCs w:val="22"/>
          <w:lang w:val="en-US" w:eastAsia="ja-JP"/>
        </w:rPr>
        <w:t>,</w:t>
      </w:r>
      <w:r w:rsidR="00A76535">
        <w:rPr>
          <w:rFonts w:eastAsia="MS Gothic"/>
          <w:sz w:val="22"/>
          <w:szCs w:val="22"/>
          <w:lang w:val="en-US" w:eastAsia="ja-JP"/>
        </w:rPr>
        <w:t xml:space="preserve"> </w:t>
      </w:r>
      <w:r w:rsidR="009E6F4F">
        <w:rPr>
          <w:rFonts w:eastAsia="MS Gothic"/>
          <w:sz w:val="22"/>
          <w:szCs w:val="22"/>
          <w:lang w:val="en-US" w:eastAsia="ja-JP"/>
        </w:rPr>
        <w:t xml:space="preserve">with the first of these centered at </w:t>
      </w:r>
      <w:r w:rsidR="00A76535">
        <w:rPr>
          <w:rFonts w:eastAsia="MS Gothic"/>
          <w:sz w:val="22"/>
          <w:szCs w:val="22"/>
          <w:lang w:val="en-US" w:eastAsia="ja-JP"/>
        </w:rPr>
        <w:t>192</w:t>
      </w:r>
      <w:r w:rsidR="00B120F3">
        <w:rPr>
          <w:rFonts w:eastAsia="MS Gothic"/>
          <w:sz w:val="22"/>
          <w:szCs w:val="22"/>
          <w:lang w:val="en-US" w:eastAsia="ja-JP"/>
        </w:rPr>
        <w:t xml:space="preserve">2.5 </w:t>
      </w:r>
      <w:r w:rsidR="009E6F4F">
        <w:rPr>
          <w:rFonts w:eastAsia="MS Gothic"/>
          <w:sz w:val="22"/>
          <w:szCs w:val="22"/>
          <w:lang w:val="en-US" w:eastAsia="ja-JP"/>
        </w:rPr>
        <w:t>MHz and the second centered at 19</w:t>
      </w:r>
      <w:r w:rsidR="00B120F3">
        <w:rPr>
          <w:rFonts w:eastAsia="MS Gothic"/>
          <w:sz w:val="22"/>
          <w:szCs w:val="22"/>
          <w:lang w:val="en-US" w:eastAsia="ja-JP"/>
        </w:rPr>
        <w:t>3</w:t>
      </w:r>
      <w:r w:rsidR="00546A86">
        <w:rPr>
          <w:rFonts w:eastAsia="MS Gothic"/>
          <w:sz w:val="22"/>
          <w:szCs w:val="22"/>
          <w:lang w:val="en-US" w:eastAsia="ja-JP"/>
        </w:rPr>
        <w:t>7.5</w:t>
      </w:r>
      <w:r w:rsidR="009E6F4F">
        <w:rPr>
          <w:rFonts w:eastAsia="MS Gothic"/>
          <w:sz w:val="22"/>
          <w:szCs w:val="22"/>
          <w:lang w:val="en-US" w:eastAsia="ja-JP"/>
        </w:rPr>
        <w:t xml:space="preserve"> </w:t>
      </w:r>
      <w:proofErr w:type="spellStart"/>
      <w:r w:rsidR="009E6F4F">
        <w:rPr>
          <w:rFonts w:eastAsia="MS Gothic"/>
          <w:sz w:val="22"/>
          <w:szCs w:val="22"/>
          <w:lang w:val="en-US" w:eastAsia="ja-JP"/>
        </w:rPr>
        <w:t>MHz</w:t>
      </w:r>
      <w:r w:rsidR="00B120F3">
        <w:rPr>
          <w:rFonts w:eastAsia="MS Gothic"/>
          <w:sz w:val="22"/>
          <w:szCs w:val="22"/>
          <w:lang w:val="en-US" w:eastAsia="ja-JP"/>
        </w:rPr>
        <w:t>.</w:t>
      </w:r>
      <w:proofErr w:type="spellEnd"/>
      <w:r w:rsidR="00DB4A61">
        <w:rPr>
          <w:rFonts w:eastAsia="MS Gothic"/>
          <w:sz w:val="22"/>
          <w:szCs w:val="22"/>
          <w:lang w:val="en-US" w:eastAsia="ja-JP"/>
        </w:rPr>
        <w:t xml:space="preserve">  </w:t>
      </w:r>
      <w:r w:rsidR="00A76535">
        <w:rPr>
          <w:rFonts w:eastAsia="MS Gothic"/>
          <w:sz w:val="22"/>
          <w:szCs w:val="22"/>
          <w:lang w:eastAsia="ja-JP"/>
        </w:rPr>
        <w:t>Bandwidth parts BWP</w:t>
      </w:r>
      <w:r w:rsidR="00DB4A61">
        <w:rPr>
          <w:rFonts w:eastAsia="MS Gothic"/>
          <w:sz w:val="22"/>
          <w:szCs w:val="22"/>
          <w:lang w:eastAsia="ja-JP"/>
        </w:rPr>
        <w:t xml:space="preserve"> </w:t>
      </w:r>
      <w:r w:rsidR="00A76535">
        <w:rPr>
          <w:rFonts w:eastAsia="MS Gothic"/>
          <w:sz w:val="22"/>
          <w:szCs w:val="22"/>
          <w:lang w:eastAsia="ja-JP"/>
        </w:rPr>
        <w:t>1 and BWP</w:t>
      </w:r>
      <w:r w:rsidR="00DB4A61">
        <w:rPr>
          <w:rFonts w:eastAsia="MS Gothic"/>
          <w:sz w:val="22"/>
          <w:szCs w:val="22"/>
          <w:lang w:eastAsia="ja-JP"/>
        </w:rPr>
        <w:t xml:space="preserve"> </w:t>
      </w:r>
      <w:r w:rsidR="00A76535">
        <w:rPr>
          <w:rFonts w:eastAsia="MS Gothic"/>
          <w:sz w:val="22"/>
          <w:szCs w:val="22"/>
          <w:lang w:eastAsia="ja-JP"/>
        </w:rPr>
        <w:t>2 are shown embedded in 5 MHz carrier</w:t>
      </w:r>
      <w:r w:rsidR="00B120F3">
        <w:rPr>
          <w:rFonts w:eastAsia="MS Gothic"/>
          <w:sz w:val="22"/>
          <w:szCs w:val="22"/>
          <w:lang w:eastAsia="ja-JP"/>
        </w:rPr>
        <w:t>s</w:t>
      </w:r>
      <w:r w:rsidR="00A76535">
        <w:rPr>
          <w:rFonts w:eastAsia="MS Gothic"/>
          <w:sz w:val="22"/>
          <w:szCs w:val="22"/>
          <w:lang w:eastAsia="ja-JP"/>
        </w:rPr>
        <w:t xml:space="preserve"> at the top of the figure and in </w:t>
      </w:r>
      <w:r w:rsidR="00DB4A61">
        <w:rPr>
          <w:rFonts w:eastAsia="MS Gothic"/>
          <w:sz w:val="22"/>
          <w:szCs w:val="22"/>
          <w:lang w:eastAsia="ja-JP"/>
        </w:rPr>
        <w:t>the</w:t>
      </w:r>
      <w:r w:rsidR="00A76535">
        <w:rPr>
          <w:rFonts w:eastAsia="MS Gothic"/>
          <w:sz w:val="22"/>
          <w:szCs w:val="22"/>
          <w:lang w:eastAsia="ja-JP"/>
        </w:rPr>
        <w:t xml:space="preserve"> 20 MHz carrier at the bottom of the figure.  It is assumed that the RB’s in the 5 MHz carriers at the top are aligned with the RB’s in the 20 MHz carrier at the bottom. </w:t>
      </w:r>
    </w:p>
    <w:p w14:paraId="48BAA018" w14:textId="58D1DE75" w:rsidR="00A76535" w:rsidRDefault="00DB4A61" w:rsidP="00C828F6">
      <w:pPr>
        <w:spacing w:after="120"/>
        <w:rPr>
          <w:rFonts w:eastAsia="MS Gothic"/>
          <w:sz w:val="22"/>
          <w:szCs w:val="22"/>
          <w:lang w:eastAsia="ja-JP"/>
        </w:rPr>
      </w:pPr>
      <w:r>
        <w:rPr>
          <w:rFonts w:eastAsia="MS Gothic"/>
          <w:sz w:val="22"/>
          <w:szCs w:val="22"/>
          <w:lang w:eastAsia="ja-JP"/>
        </w:rPr>
        <w:t>For each bandwidth part, we</w:t>
      </w:r>
      <w:r w:rsidR="00A76535">
        <w:rPr>
          <w:rFonts w:eastAsia="MS Gothic"/>
          <w:sz w:val="22"/>
          <w:szCs w:val="22"/>
          <w:lang w:eastAsia="ja-JP"/>
        </w:rPr>
        <w:t xml:space="preserve"> now consider the A-MPR that is allowed for the bandwidth part when </w:t>
      </w:r>
      <w:r>
        <w:rPr>
          <w:rFonts w:eastAsia="MS Gothic"/>
          <w:sz w:val="22"/>
          <w:szCs w:val="22"/>
          <w:lang w:eastAsia="ja-JP"/>
        </w:rPr>
        <w:t>it is</w:t>
      </w:r>
      <w:r w:rsidR="00A76535">
        <w:rPr>
          <w:rFonts w:eastAsia="MS Gothic"/>
          <w:sz w:val="22"/>
          <w:szCs w:val="22"/>
          <w:lang w:eastAsia="ja-JP"/>
        </w:rPr>
        <w:t xml:space="preserve"> embedded in the 5 MHz carrier vs. the A-MPR that is allowed for the bandwidth part when it is embedded in the 20 MHz carrier. As mentioned </w:t>
      </w:r>
      <w:r>
        <w:rPr>
          <w:rFonts w:eastAsia="MS Gothic"/>
          <w:sz w:val="22"/>
          <w:szCs w:val="22"/>
          <w:lang w:eastAsia="ja-JP"/>
        </w:rPr>
        <w:t>previously</w:t>
      </w:r>
      <w:r w:rsidR="00A76535">
        <w:rPr>
          <w:rFonts w:eastAsia="MS Gothic"/>
          <w:sz w:val="22"/>
          <w:szCs w:val="22"/>
          <w:lang w:eastAsia="ja-JP"/>
        </w:rPr>
        <w:t xml:space="preserve">, </w:t>
      </w:r>
      <w:r w:rsidR="00A76535" w:rsidRPr="001342B0">
        <w:rPr>
          <w:rFonts w:eastAsia="MS Gothic"/>
          <w:i/>
          <w:iCs/>
          <w:sz w:val="22"/>
          <w:szCs w:val="22"/>
          <w:lang w:eastAsia="ja-JP"/>
        </w:rPr>
        <w:t xml:space="preserve">it is assumed that the </w:t>
      </w:r>
      <w:r w:rsidR="00882F91" w:rsidRPr="001342B0">
        <w:rPr>
          <w:rFonts w:eastAsia="MS Gothic"/>
          <w:i/>
          <w:iCs/>
          <w:sz w:val="22"/>
          <w:szCs w:val="22"/>
          <w:lang w:eastAsia="ja-JP"/>
        </w:rPr>
        <w:t xml:space="preserve">baseband </w:t>
      </w:r>
      <w:r w:rsidR="00A76535" w:rsidRPr="001342B0">
        <w:rPr>
          <w:rFonts w:eastAsia="MS Gothic"/>
          <w:i/>
          <w:iCs/>
          <w:sz w:val="22"/>
          <w:szCs w:val="22"/>
          <w:lang w:eastAsia="ja-JP"/>
        </w:rPr>
        <w:t xml:space="preserve">transmit filter </w:t>
      </w:r>
      <w:r w:rsidR="00882F91" w:rsidRPr="001342B0">
        <w:rPr>
          <w:rFonts w:eastAsia="MS Gothic"/>
          <w:i/>
          <w:iCs/>
          <w:sz w:val="22"/>
          <w:szCs w:val="22"/>
          <w:lang w:eastAsia="ja-JP"/>
        </w:rPr>
        <w:t xml:space="preserve">used for the bandwidth part is </w:t>
      </w:r>
      <w:r w:rsidR="00B120F3" w:rsidRPr="001342B0">
        <w:rPr>
          <w:rFonts w:eastAsia="MS Gothic"/>
          <w:i/>
          <w:iCs/>
          <w:sz w:val="22"/>
          <w:szCs w:val="22"/>
          <w:lang w:eastAsia="ja-JP"/>
        </w:rPr>
        <w:t xml:space="preserve">the same </w:t>
      </w:r>
      <w:r w:rsidR="00A76535" w:rsidRPr="001342B0">
        <w:rPr>
          <w:rFonts w:eastAsia="MS Gothic"/>
          <w:i/>
          <w:iCs/>
          <w:sz w:val="22"/>
          <w:szCs w:val="22"/>
          <w:lang w:eastAsia="ja-JP"/>
        </w:rPr>
        <w:t>bandwidth of the carrier in which the bandwidth part is embedded</w:t>
      </w:r>
      <w:r w:rsidR="00A76535">
        <w:rPr>
          <w:rFonts w:eastAsia="MS Gothic"/>
          <w:sz w:val="22"/>
          <w:szCs w:val="22"/>
          <w:lang w:eastAsia="ja-JP"/>
        </w:rPr>
        <w:t>.</w:t>
      </w:r>
      <w:r>
        <w:rPr>
          <w:rFonts w:eastAsia="MS Gothic"/>
          <w:sz w:val="22"/>
          <w:szCs w:val="22"/>
          <w:lang w:eastAsia="ja-JP"/>
        </w:rPr>
        <w:t xml:space="preserve"> </w:t>
      </w:r>
    </w:p>
    <w:p w14:paraId="3DECD81C" w14:textId="35B35D68" w:rsidR="00DB4A61" w:rsidRDefault="00DB4A61" w:rsidP="00C828F6">
      <w:pPr>
        <w:spacing w:after="120"/>
        <w:rPr>
          <w:rFonts w:eastAsia="MS Gothic"/>
          <w:sz w:val="22"/>
          <w:szCs w:val="22"/>
          <w:lang w:eastAsia="ja-JP"/>
        </w:rPr>
      </w:pPr>
      <w:r>
        <w:rPr>
          <w:rFonts w:eastAsia="MS Gothic"/>
          <w:sz w:val="22"/>
          <w:szCs w:val="22"/>
          <w:lang w:eastAsia="ja-JP"/>
        </w:rPr>
        <w:t xml:space="preserve">From Table 1, it is apparent that no A-MPR is allowed for any RB allocation </w:t>
      </w:r>
      <w:r w:rsidR="001342B0">
        <w:rPr>
          <w:rFonts w:eastAsia="MS Gothic"/>
          <w:sz w:val="22"/>
          <w:szCs w:val="22"/>
          <w:lang w:eastAsia="ja-JP"/>
        </w:rPr>
        <w:t>less than 2.52 MHz</w:t>
      </w:r>
      <w:r w:rsidR="00F4056C">
        <w:rPr>
          <w:rFonts w:eastAsia="MS Gothic"/>
          <w:sz w:val="22"/>
          <w:szCs w:val="22"/>
          <w:lang w:eastAsia="ja-JP"/>
        </w:rPr>
        <w:t xml:space="preserve"> </w:t>
      </w:r>
      <w:r>
        <w:rPr>
          <w:rFonts w:eastAsia="MS Gothic"/>
          <w:sz w:val="22"/>
          <w:szCs w:val="22"/>
          <w:lang w:eastAsia="ja-JP"/>
        </w:rPr>
        <w:t xml:space="preserve">within the 5 MHz carrier </w:t>
      </w:r>
      <w:proofErr w:type="spellStart"/>
      <w:r>
        <w:rPr>
          <w:rFonts w:eastAsia="MS Gothic"/>
          <w:sz w:val="22"/>
          <w:szCs w:val="22"/>
          <w:lang w:eastAsia="ja-JP"/>
        </w:rPr>
        <w:t>centered</w:t>
      </w:r>
      <w:proofErr w:type="spellEnd"/>
      <w:r>
        <w:rPr>
          <w:rFonts w:eastAsia="MS Gothic"/>
          <w:sz w:val="22"/>
          <w:szCs w:val="22"/>
          <w:lang w:eastAsia="ja-JP"/>
        </w:rPr>
        <w:t xml:space="preserve"> at 192</w:t>
      </w:r>
      <w:r w:rsidR="00B120F3">
        <w:rPr>
          <w:rFonts w:eastAsia="MS Gothic"/>
          <w:sz w:val="22"/>
          <w:szCs w:val="22"/>
          <w:lang w:eastAsia="ja-JP"/>
        </w:rPr>
        <w:t>2</w:t>
      </w:r>
      <w:r w:rsidR="00882F91">
        <w:rPr>
          <w:rFonts w:eastAsia="MS Gothic"/>
          <w:sz w:val="22"/>
          <w:szCs w:val="22"/>
          <w:lang w:eastAsia="ja-JP"/>
        </w:rPr>
        <w:t>.</w:t>
      </w:r>
      <w:r>
        <w:rPr>
          <w:rFonts w:eastAsia="MS Gothic"/>
          <w:sz w:val="22"/>
          <w:szCs w:val="22"/>
          <w:lang w:eastAsia="ja-JP"/>
        </w:rPr>
        <w:t xml:space="preserve">5 </w:t>
      </w:r>
      <w:proofErr w:type="spellStart"/>
      <w:r>
        <w:rPr>
          <w:rFonts w:eastAsia="MS Gothic"/>
          <w:sz w:val="22"/>
          <w:szCs w:val="22"/>
          <w:lang w:eastAsia="ja-JP"/>
        </w:rPr>
        <w:t>MHz.</w:t>
      </w:r>
      <w:proofErr w:type="spellEnd"/>
      <w:r>
        <w:rPr>
          <w:rFonts w:eastAsia="MS Gothic"/>
          <w:sz w:val="22"/>
          <w:szCs w:val="22"/>
          <w:lang w:eastAsia="ja-JP"/>
        </w:rPr>
        <w:t xml:space="preserve">  Thus, it follows that no A-MPR should be allowed for any RB allocation </w:t>
      </w:r>
      <w:r w:rsidR="001342B0">
        <w:rPr>
          <w:rFonts w:eastAsia="MS Gothic"/>
          <w:sz w:val="22"/>
          <w:szCs w:val="22"/>
          <w:lang w:eastAsia="ja-JP"/>
        </w:rPr>
        <w:t>less than</w:t>
      </w:r>
      <w:r w:rsidR="00F4056C">
        <w:rPr>
          <w:rFonts w:eastAsia="MS Gothic"/>
          <w:sz w:val="22"/>
          <w:szCs w:val="22"/>
          <w:lang w:eastAsia="ja-JP"/>
        </w:rPr>
        <w:t xml:space="preserve"> or equal to</w:t>
      </w:r>
      <w:r w:rsidR="001342B0">
        <w:rPr>
          <w:rFonts w:eastAsia="MS Gothic"/>
          <w:sz w:val="22"/>
          <w:szCs w:val="22"/>
          <w:lang w:eastAsia="ja-JP"/>
        </w:rPr>
        <w:t xml:space="preserve"> 2.52 MHz</w:t>
      </w:r>
      <w:r w:rsidR="00F4056C">
        <w:rPr>
          <w:rFonts w:eastAsia="MS Gothic"/>
          <w:sz w:val="22"/>
          <w:szCs w:val="22"/>
          <w:lang w:eastAsia="ja-JP"/>
        </w:rPr>
        <w:t xml:space="preserve"> </w:t>
      </w:r>
      <w:r>
        <w:rPr>
          <w:rFonts w:eastAsia="MS Gothic"/>
          <w:sz w:val="22"/>
          <w:szCs w:val="22"/>
          <w:lang w:eastAsia="ja-JP"/>
        </w:rPr>
        <w:t xml:space="preserve">contained within BWP 1 when it is embedded within this 5 MHz carrier.  In contrast, when this same bandwidth part is embedded within the 20 MHz carrier (with corresponding </w:t>
      </w:r>
      <w:r w:rsidR="00882F91">
        <w:rPr>
          <w:rFonts w:eastAsia="MS Gothic"/>
          <w:sz w:val="22"/>
          <w:szCs w:val="22"/>
          <w:lang w:eastAsia="ja-JP"/>
        </w:rPr>
        <w:t xml:space="preserve">20 MHz </w:t>
      </w:r>
      <w:r>
        <w:rPr>
          <w:rFonts w:eastAsia="MS Gothic"/>
          <w:sz w:val="22"/>
          <w:szCs w:val="22"/>
          <w:lang w:eastAsia="ja-JP"/>
        </w:rPr>
        <w:t xml:space="preserve">transmit filter), the A-MPR A1 From Table 6.2.3.4-2 applies. It can be noted that for A1, the allowed A-MPR is never less than 10 </w:t>
      </w:r>
      <w:proofErr w:type="spellStart"/>
      <w:r>
        <w:rPr>
          <w:rFonts w:eastAsia="MS Gothic"/>
          <w:sz w:val="22"/>
          <w:szCs w:val="22"/>
          <w:lang w:eastAsia="ja-JP"/>
        </w:rPr>
        <w:t>dB.</w:t>
      </w:r>
      <w:proofErr w:type="spellEnd"/>
      <w:r>
        <w:rPr>
          <w:rFonts w:eastAsia="MS Gothic"/>
          <w:sz w:val="22"/>
          <w:szCs w:val="22"/>
          <w:lang w:eastAsia="ja-JP"/>
        </w:rPr>
        <w:t xml:space="preserve">  Thus, the allowed A-MPR is reduced by</w:t>
      </w:r>
      <w:r w:rsidR="00F4056C">
        <w:rPr>
          <w:rFonts w:eastAsia="MS Gothic"/>
          <w:sz w:val="22"/>
          <w:szCs w:val="22"/>
          <w:lang w:eastAsia="ja-JP"/>
        </w:rPr>
        <w:t xml:space="preserve"> at least</w:t>
      </w:r>
      <w:r>
        <w:rPr>
          <w:rFonts w:eastAsia="MS Gothic"/>
          <w:sz w:val="22"/>
          <w:szCs w:val="22"/>
          <w:lang w:eastAsia="ja-JP"/>
        </w:rPr>
        <w:t xml:space="preserve"> 10 dB </w:t>
      </w:r>
      <w:r w:rsidR="00B94E55">
        <w:rPr>
          <w:rFonts w:eastAsia="MS Gothic"/>
          <w:sz w:val="22"/>
          <w:szCs w:val="22"/>
          <w:lang w:eastAsia="ja-JP"/>
        </w:rPr>
        <w:t xml:space="preserve">for RB allocations less than or equal to 2.52 MHz </w:t>
      </w:r>
      <w:r>
        <w:rPr>
          <w:rFonts w:eastAsia="MS Gothic"/>
          <w:sz w:val="22"/>
          <w:szCs w:val="22"/>
          <w:lang w:eastAsia="ja-JP"/>
        </w:rPr>
        <w:t>when BWP 1 is embedded in the smaller carrier.</w:t>
      </w:r>
    </w:p>
    <w:p w14:paraId="397870EE" w14:textId="17AD70CA" w:rsidR="0096193C" w:rsidRPr="00285CB8" w:rsidRDefault="0096193C" w:rsidP="00285CB8">
      <w:pPr>
        <w:tabs>
          <w:tab w:val="left" w:pos="1620"/>
        </w:tabs>
        <w:spacing w:after="120"/>
        <w:ind w:left="1620" w:hanging="1620"/>
        <w:rPr>
          <w:rFonts w:eastAsia="MS Gothic"/>
          <w:sz w:val="22"/>
          <w:szCs w:val="22"/>
          <w:lang w:eastAsia="ja-JP"/>
        </w:rPr>
      </w:pPr>
      <w:r w:rsidRPr="0096193C">
        <w:rPr>
          <w:rFonts w:eastAsia="MS Gothic"/>
          <w:b/>
          <w:bCs/>
          <w:sz w:val="22"/>
          <w:szCs w:val="22"/>
          <w:lang w:eastAsia="ja-JP"/>
        </w:rPr>
        <w:t xml:space="preserve">Observation </w:t>
      </w:r>
      <w:r w:rsidR="00B94E55">
        <w:rPr>
          <w:rFonts w:eastAsia="MS Gothic"/>
          <w:b/>
          <w:bCs/>
          <w:sz w:val="22"/>
          <w:szCs w:val="22"/>
          <w:lang w:eastAsia="ja-JP"/>
        </w:rPr>
        <w:t>2</w:t>
      </w:r>
      <w:r w:rsidRPr="0096193C">
        <w:rPr>
          <w:rFonts w:eastAsia="MS Gothic"/>
          <w:b/>
          <w:bCs/>
          <w:sz w:val="22"/>
          <w:szCs w:val="22"/>
          <w:lang w:eastAsia="ja-JP"/>
        </w:rPr>
        <w:t>:</w:t>
      </w:r>
      <w:r w:rsidR="00285CB8">
        <w:rPr>
          <w:rFonts w:eastAsia="MS Gothic"/>
          <w:b/>
          <w:bCs/>
          <w:sz w:val="22"/>
          <w:szCs w:val="22"/>
          <w:lang w:eastAsia="ja-JP"/>
        </w:rPr>
        <w:t xml:space="preserve">  </w:t>
      </w:r>
      <w:r w:rsidR="00285CB8">
        <w:rPr>
          <w:rFonts w:eastAsia="MS Gothic"/>
          <w:b/>
          <w:bCs/>
          <w:sz w:val="22"/>
          <w:szCs w:val="22"/>
          <w:lang w:eastAsia="ja-JP"/>
        </w:rPr>
        <w:tab/>
      </w:r>
      <w:r w:rsidR="00285CB8" w:rsidRPr="00285CB8">
        <w:rPr>
          <w:rFonts w:eastAsia="MS Gothic"/>
          <w:sz w:val="22"/>
          <w:szCs w:val="22"/>
          <w:lang w:eastAsia="ja-JP"/>
        </w:rPr>
        <w:t>The allowed A-MPR for</w:t>
      </w:r>
      <w:r w:rsidR="00B94E55">
        <w:rPr>
          <w:rFonts w:eastAsia="MS Gothic"/>
          <w:sz w:val="22"/>
          <w:szCs w:val="22"/>
          <w:lang w:eastAsia="ja-JP"/>
        </w:rPr>
        <w:t xml:space="preserve"> RB allocations of less than or equal to 2.52 MHz in</w:t>
      </w:r>
      <w:r w:rsidR="00285CB8" w:rsidRPr="00285CB8">
        <w:rPr>
          <w:rFonts w:eastAsia="MS Gothic"/>
          <w:sz w:val="22"/>
          <w:szCs w:val="22"/>
          <w:lang w:eastAsia="ja-JP"/>
        </w:rPr>
        <w:t xml:space="preserve"> bandwidth part BWP 1 is reduced </w:t>
      </w:r>
      <w:r w:rsidR="00285CB8" w:rsidRPr="00285CB8">
        <w:rPr>
          <w:rFonts w:eastAsia="MS Gothic"/>
          <w:b/>
          <w:bCs/>
          <w:i/>
          <w:iCs/>
          <w:sz w:val="22"/>
          <w:szCs w:val="22"/>
          <w:lang w:eastAsia="ja-JP"/>
        </w:rPr>
        <w:t>by at least 10 dB</w:t>
      </w:r>
      <w:r w:rsidR="00285CB8" w:rsidRPr="00285CB8">
        <w:rPr>
          <w:rFonts w:eastAsia="MS Gothic"/>
          <w:sz w:val="22"/>
          <w:szCs w:val="22"/>
          <w:lang w:eastAsia="ja-JP"/>
        </w:rPr>
        <w:t xml:space="preserve"> for the 5 MHz carrier C</w:t>
      </w:r>
      <w:r w:rsidR="00285CB8" w:rsidRPr="00285CB8">
        <w:rPr>
          <w:rFonts w:eastAsia="MS Gothic"/>
          <w:sz w:val="22"/>
          <w:szCs w:val="22"/>
          <w:vertAlign w:val="subscript"/>
          <w:lang w:eastAsia="ja-JP"/>
        </w:rPr>
        <w:t>1</w:t>
      </w:r>
      <w:r w:rsidR="00285CB8" w:rsidRPr="00285CB8">
        <w:rPr>
          <w:rFonts w:eastAsia="MS Gothic"/>
          <w:sz w:val="22"/>
          <w:szCs w:val="22"/>
          <w:lang w:eastAsia="ja-JP"/>
        </w:rPr>
        <w:t xml:space="preserve"> relative to the A-MPR that is allowed for the 20 MHz carrier.</w:t>
      </w:r>
    </w:p>
    <w:p w14:paraId="3F8580B8" w14:textId="23BA1C15" w:rsidR="00DB4A61" w:rsidRDefault="00DB4A61" w:rsidP="00C828F6">
      <w:pPr>
        <w:spacing w:after="120"/>
        <w:rPr>
          <w:rFonts w:eastAsia="MS Gothic"/>
          <w:sz w:val="22"/>
          <w:szCs w:val="22"/>
          <w:lang w:eastAsia="ja-JP"/>
        </w:rPr>
      </w:pPr>
      <w:r>
        <w:rPr>
          <w:rFonts w:eastAsia="MS Gothic"/>
          <w:sz w:val="22"/>
          <w:szCs w:val="22"/>
          <w:lang w:eastAsia="ja-JP"/>
        </w:rPr>
        <w:t xml:space="preserve">From Table 1, it can </w:t>
      </w:r>
      <w:r w:rsidR="0096193C">
        <w:rPr>
          <w:rFonts w:eastAsia="MS Gothic"/>
          <w:sz w:val="22"/>
          <w:szCs w:val="22"/>
          <w:lang w:eastAsia="ja-JP"/>
        </w:rPr>
        <w:t xml:space="preserve">similarly </w:t>
      </w:r>
      <w:r>
        <w:rPr>
          <w:rFonts w:eastAsia="MS Gothic"/>
          <w:sz w:val="22"/>
          <w:szCs w:val="22"/>
          <w:lang w:eastAsia="ja-JP"/>
        </w:rPr>
        <w:t xml:space="preserve">be observed also that no A-MPR is allowed for </w:t>
      </w:r>
      <w:r w:rsidR="0096193C">
        <w:rPr>
          <w:rFonts w:eastAsia="MS Gothic"/>
          <w:sz w:val="22"/>
          <w:szCs w:val="22"/>
          <w:lang w:eastAsia="ja-JP"/>
        </w:rPr>
        <w:t xml:space="preserve">any RB allocation within </w:t>
      </w:r>
      <w:r>
        <w:rPr>
          <w:rFonts w:eastAsia="MS Gothic"/>
          <w:sz w:val="22"/>
          <w:szCs w:val="22"/>
          <w:lang w:eastAsia="ja-JP"/>
        </w:rPr>
        <w:t xml:space="preserve">the 5 MHz </w:t>
      </w:r>
      <w:r w:rsidR="0096193C">
        <w:rPr>
          <w:rFonts w:eastAsia="MS Gothic"/>
          <w:sz w:val="22"/>
          <w:szCs w:val="22"/>
          <w:lang w:eastAsia="ja-JP"/>
        </w:rPr>
        <w:t xml:space="preserve">carrier </w:t>
      </w:r>
      <w:proofErr w:type="spellStart"/>
      <w:r>
        <w:rPr>
          <w:rFonts w:eastAsia="MS Gothic"/>
          <w:sz w:val="22"/>
          <w:szCs w:val="22"/>
          <w:lang w:eastAsia="ja-JP"/>
        </w:rPr>
        <w:t>centered</w:t>
      </w:r>
      <w:proofErr w:type="spellEnd"/>
      <w:r>
        <w:rPr>
          <w:rFonts w:eastAsia="MS Gothic"/>
          <w:sz w:val="22"/>
          <w:szCs w:val="22"/>
          <w:lang w:eastAsia="ja-JP"/>
        </w:rPr>
        <w:t xml:space="preserve"> at 19</w:t>
      </w:r>
      <w:r w:rsidR="00B94E55">
        <w:rPr>
          <w:rFonts w:eastAsia="MS Gothic"/>
          <w:sz w:val="22"/>
          <w:szCs w:val="22"/>
          <w:lang w:eastAsia="ja-JP"/>
        </w:rPr>
        <w:t>37.5</w:t>
      </w:r>
      <w:r>
        <w:rPr>
          <w:rFonts w:eastAsia="MS Gothic"/>
          <w:sz w:val="22"/>
          <w:szCs w:val="22"/>
          <w:lang w:eastAsia="ja-JP"/>
        </w:rPr>
        <w:t xml:space="preserve"> </w:t>
      </w:r>
      <w:proofErr w:type="spellStart"/>
      <w:r>
        <w:rPr>
          <w:rFonts w:eastAsia="MS Gothic"/>
          <w:sz w:val="22"/>
          <w:szCs w:val="22"/>
          <w:lang w:eastAsia="ja-JP"/>
        </w:rPr>
        <w:t>MHz.</w:t>
      </w:r>
      <w:proofErr w:type="spellEnd"/>
      <w:r>
        <w:rPr>
          <w:rFonts w:eastAsia="MS Gothic"/>
          <w:sz w:val="22"/>
          <w:szCs w:val="22"/>
          <w:lang w:eastAsia="ja-JP"/>
        </w:rPr>
        <w:t xml:space="preserve"> Thus, no A-MPR is allowed for any RB allocation within BWP 2 when it is embedded within this 5 MHz carrier.  Conversely, when BWP 2 is embedded in the 20 MHz carrier, the allowed A-MPR is given by A</w:t>
      </w:r>
      <w:r w:rsidR="00B94E55">
        <w:rPr>
          <w:rFonts w:eastAsia="MS Gothic"/>
          <w:sz w:val="22"/>
          <w:szCs w:val="22"/>
          <w:lang w:eastAsia="ja-JP"/>
        </w:rPr>
        <w:t>2</w:t>
      </w:r>
      <w:r>
        <w:rPr>
          <w:rFonts w:eastAsia="MS Gothic"/>
          <w:sz w:val="22"/>
          <w:szCs w:val="22"/>
          <w:lang w:eastAsia="ja-JP"/>
        </w:rPr>
        <w:t xml:space="preserve"> in Table 2 which applies for any RB allocation which is </w:t>
      </w:r>
      <w:r w:rsidR="00B94E55">
        <w:rPr>
          <w:rFonts w:eastAsia="MS Gothic"/>
          <w:sz w:val="22"/>
          <w:szCs w:val="22"/>
          <w:lang w:eastAsia="ja-JP"/>
        </w:rPr>
        <w:t xml:space="preserve">less </w:t>
      </w:r>
      <w:r>
        <w:rPr>
          <w:rFonts w:eastAsia="MS Gothic"/>
          <w:sz w:val="22"/>
          <w:szCs w:val="22"/>
          <w:lang w:eastAsia="ja-JP"/>
        </w:rPr>
        <w:t>than</w:t>
      </w:r>
      <w:r w:rsidR="00B94E55">
        <w:rPr>
          <w:rFonts w:eastAsia="MS Gothic"/>
          <w:sz w:val="22"/>
          <w:szCs w:val="22"/>
          <w:lang w:eastAsia="ja-JP"/>
        </w:rPr>
        <w:t xml:space="preserve"> or equal to</w:t>
      </w:r>
      <w:r>
        <w:rPr>
          <w:rFonts w:eastAsia="MS Gothic"/>
          <w:sz w:val="22"/>
          <w:szCs w:val="22"/>
          <w:lang w:eastAsia="ja-JP"/>
        </w:rPr>
        <w:t xml:space="preserve"> 1.08 </w:t>
      </w:r>
      <w:proofErr w:type="spellStart"/>
      <w:r>
        <w:rPr>
          <w:rFonts w:eastAsia="MS Gothic"/>
          <w:sz w:val="22"/>
          <w:szCs w:val="22"/>
          <w:lang w:eastAsia="ja-JP"/>
        </w:rPr>
        <w:t>MHz.</w:t>
      </w:r>
      <w:proofErr w:type="spellEnd"/>
      <w:r>
        <w:rPr>
          <w:rFonts w:eastAsia="MS Gothic"/>
          <w:sz w:val="22"/>
          <w:szCs w:val="22"/>
          <w:lang w:eastAsia="ja-JP"/>
        </w:rPr>
        <w:t xml:space="preserve">  From Table 2, it can be observed that the allowed A-MPR </w:t>
      </w:r>
      <w:r w:rsidR="00480DDE">
        <w:rPr>
          <w:rFonts w:eastAsia="MS Gothic"/>
          <w:sz w:val="22"/>
          <w:szCs w:val="22"/>
          <w:lang w:eastAsia="ja-JP"/>
        </w:rPr>
        <w:t xml:space="preserve">is </w:t>
      </w:r>
      <w:r w:rsidR="00BC6BC9">
        <w:rPr>
          <w:rFonts w:eastAsia="MS Gothic"/>
          <w:sz w:val="22"/>
          <w:szCs w:val="22"/>
          <w:lang w:eastAsia="ja-JP"/>
        </w:rPr>
        <w:t xml:space="preserve">5 </w:t>
      </w:r>
      <w:proofErr w:type="spellStart"/>
      <w:r w:rsidR="00BC6BC9">
        <w:rPr>
          <w:rFonts w:eastAsia="MS Gothic"/>
          <w:sz w:val="22"/>
          <w:szCs w:val="22"/>
          <w:lang w:eastAsia="ja-JP"/>
        </w:rPr>
        <w:t>dB</w:t>
      </w:r>
      <w:r>
        <w:rPr>
          <w:rFonts w:eastAsia="MS Gothic"/>
          <w:sz w:val="22"/>
          <w:szCs w:val="22"/>
          <w:lang w:eastAsia="ja-JP"/>
        </w:rPr>
        <w:t>.</w:t>
      </w:r>
      <w:proofErr w:type="spellEnd"/>
    </w:p>
    <w:p w14:paraId="22C89782" w14:textId="196448A0" w:rsidR="00B120F3" w:rsidRDefault="0096193C" w:rsidP="00B120F3">
      <w:pPr>
        <w:tabs>
          <w:tab w:val="left" w:pos="1620"/>
        </w:tabs>
        <w:spacing w:after="120"/>
        <w:ind w:left="1620" w:hanging="1620"/>
        <w:rPr>
          <w:rFonts w:eastAsia="MS Gothic"/>
          <w:sz w:val="22"/>
          <w:szCs w:val="22"/>
          <w:lang w:eastAsia="ja-JP"/>
        </w:rPr>
      </w:pPr>
      <w:r w:rsidRPr="0096193C">
        <w:rPr>
          <w:rFonts w:eastAsia="MS Gothic"/>
          <w:b/>
          <w:bCs/>
          <w:sz w:val="22"/>
          <w:szCs w:val="22"/>
          <w:lang w:eastAsia="ja-JP"/>
        </w:rPr>
        <w:t xml:space="preserve">Observation </w:t>
      </w:r>
      <w:r w:rsidR="00BC6BC9">
        <w:rPr>
          <w:rFonts w:eastAsia="MS Gothic"/>
          <w:b/>
          <w:bCs/>
          <w:sz w:val="22"/>
          <w:szCs w:val="22"/>
          <w:lang w:eastAsia="ja-JP"/>
        </w:rPr>
        <w:t>3</w:t>
      </w:r>
      <w:r w:rsidRPr="0096193C">
        <w:rPr>
          <w:rFonts w:eastAsia="MS Gothic"/>
          <w:b/>
          <w:bCs/>
          <w:sz w:val="22"/>
          <w:szCs w:val="22"/>
          <w:lang w:eastAsia="ja-JP"/>
        </w:rPr>
        <w:t>:</w:t>
      </w:r>
      <w:r w:rsidR="00285CB8">
        <w:rPr>
          <w:rFonts w:eastAsia="MS Gothic"/>
          <w:b/>
          <w:bCs/>
          <w:sz w:val="22"/>
          <w:szCs w:val="22"/>
          <w:lang w:eastAsia="ja-JP"/>
        </w:rPr>
        <w:tab/>
      </w:r>
      <w:r w:rsidR="0027583A">
        <w:rPr>
          <w:rFonts w:eastAsia="MS Gothic"/>
          <w:sz w:val="22"/>
          <w:szCs w:val="22"/>
          <w:lang w:eastAsia="ja-JP"/>
        </w:rPr>
        <w:t xml:space="preserve">For RB allocations </w:t>
      </w:r>
      <w:r w:rsidR="00B94E55">
        <w:rPr>
          <w:rFonts w:eastAsia="MS Gothic"/>
          <w:sz w:val="22"/>
          <w:szCs w:val="22"/>
          <w:lang w:eastAsia="ja-JP"/>
        </w:rPr>
        <w:t>less than or equal to</w:t>
      </w:r>
      <w:r w:rsidR="0027583A">
        <w:rPr>
          <w:rFonts w:eastAsia="MS Gothic"/>
          <w:sz w:val="22"/>
          <w:szCs w:val="22"/>
          <w:lang w:eastAsia="ja-JP"/>
        </w:rPr>
        <w:t xml:space="preserve"> 1.08 MHz, the</w:t>
      </w:r>
      <w:r w:rsidR="00285CB8">
        <w:rPr>
          <w:rFonts w:eastAsia="MS Gothic"/>
          <w:sz w:val="22"/>
          <w:szCs w:val="22"/>
          <w:lang w:eastAsia="ja-JP"/>
        </w:rPr>
        <w:t xml:space="preserve"> allowed A-MPR for BWP</w:t>
      </w:r>
      <w:r w:rsidR="0027583A">
        <w:rPr>
          <w:rFonts w:eastAsia="MS Gothic"/>
          <w:sz w:val="22"/>
          <w:szCs w:val="22"/>
          <w:lang w:eastAsia="ja-JP"/>
        </w:rPr>
        <w:t xml:space="preserve"> </w:t>
      </w:r>
      <w:r w:rsidR="00285CB8">
        <w:rPr>
          <w:rFonts w:eastAsia="MS Gothic"/>
          <w:sz w:val="22"/>
          <w:szCs w:val="22"/>
          <w:lang w:eastAsia="ja-JP"/>
        </w:rPr>
        <w:t xml:space="preserve">2 is reduced by </w:t>
      </w:r>
      <w:r w:rsidR="00B94E55">
        <w:rPr>
          <w:rFonts w:eastAsia="MS Gothic"/>
          <w:b/>
          <w:bCs/>
          <w:i/>
          <w:iCs/>
          <w:sz w:val="22"/>
          <w:szCs w:val="22"/>
          <w:lang w:eastAsia="ja-JP"/>
        </w:rPr>
        <w:t>5</w:t>
      </w:r>
      <w:r w:rsidR="00285CB8" w:rsidRPr="002B3E0C">
        <w:rPr>
          <w:rFonts w:eastAsia="MS Gothic"/>
          <w:b/>
          <w:bCs/>
          <w:i/>
          <w:iCs/>
          <w:sz w:val="22"/>
          <w:szCs w:val="22"/>
          <w:lang w:eastAsia="ja-JP"/>
        </w:rPr>
        <w:t xml:space="preserve"> dB</w:t>
      </w:r>
      <w:r w:rsidR="0027583A">
        <w:rPr>
          <w:rFonts w:eastAsia="MS Gothic"/>
          <w:sz w:val="22"/>
          <w:szCs w:val="22"/>
          <w:lang w:eastAsia="ja-JP"/>
        </w:rPr>
        <w:t xml:space="preserve"> for the 5 MHz carrier C</w:t>
      </w:r>
      <w:r w:rsidR="0027583A" w:rsidRPr="009D09E8">
        <w:rPr>
          <w:rFonts w:eastAsia="MS Gothic"/>
          <w:sz w:val="22"/>
          <w:szCs w:val="22"/>
          <w:vertAlign w:val="subscript"/>
          <w:lang w:eastAsia="ja-JP"/>
        </w:rPr>
        <w:t>2</w:t>
      </w:r>
      <w:r w:rsidR="0027583A">
        <w:rPr>
          <w:rFonts w:eastAsia="MS Gothic"/>
          <w:sz w:val="22"/>
          <w:szCs w:val="22"/>
          <w:lang w:eastAsia="ja-JP"/>
        </w:rPr>
        <w:t xml:space="preserve"> relative to the A-MPR that is allowed for the 20 MHz carrier.</w:t>
      </w:r>
    </w:p>
    <w:p w14:paraId="6DFD7F2E" w14:textId="6FED407A" w:rsidR="00A76535" w:rsidRDefault="00DE6C1B" w:rsidP="00A76535">
      <w:pPr>
        <w:spacing w:after="120"/>
        <w:jc w:val="center"/>
        <w:rPr>
          <w:rFonts w:eastAsia="MS Gothic"/>
          <w:sz w:val="22"/>
          <w:szCs w:val="22"/>
          <w:lang w:val="en-US" w:eastAsia="ja-JP"/>
        </w:rPr>
      </w:pPr>
      <w:r w:rsidRPr="00DE6C1B">
        <w:lastRenderedPageBreak/>
        <w:drawing>
          <wp:inline distT="0" distB="0" distL="0" distR="0" wp14:anchorId="73C28FFD" wp14:editId="25C77557">
            <wp:extent cx="5154930" cy="2106930"/>
            <wp:effectExtent l="0" t="0" r="7620" b="762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54930" cy="2106930"/>
                    </a:xfrm>
                    <a:prstGeom prst="rect">
                      <a:avLst/>
                    </a:prstGeom>
                    <a:noFill/>
                    <a:ln>
                      <a:noFill/>
                    </a:ln>
                  </pic:spPr>
                </pic:pic>
              </a:graphicData>
            </a:graphic>
          </wp:inline>
        </w:drawing>
      </w:r>
    </w:p>
    <w:p w14:paraId="22659D7D" w14:textId="61680903" w:rsidR="00A76535" w:rsidRPr="00A76535" w:rsidRDefault="00A76535" w:rsidP="00DB4A61">
      <w:pPr>
        <w:spacing w:after="120"/>
        <w:jc w:val="center"/>
        <w:rPr>
          <w:rFonts w:eastAsia="MS Gothic"/>
          <w:b/>
          <w:bCs/>
          <w:sz w:val="22"/>
          <w:szCs w:val="22"/>
          <w:lang w:val="en-US" w:eastAsia="ja-JP"/>
        </w:rPr>
      </w:pPr>
      <w:r w:rsidRPr="00A76535">
        <w:rPr>
          <w:rFonts w:eastAsia="MS Gothic"/>
          <w:b/>
          <w:bCs/>
          <w:sz w:val="22"/>
          <w:szCs w:val="22"/>
          <w:lang w:val="en-US" w:eastAsia="ja-JP"/>
        </w:rPr>
        <w:t xml:space="preserve">Figure </w:t>
      </w:r>
      <w:r w:rsidR="00DE6C1B">
        <w:rPr>
          <w:rFonts w:eastAsia="MS Gothic"/>
          <w:b/>
          <w:bCs/>
          <w:sz w:val="22"/>
          <w:szCs w:val="22"/>
          <w:lang w:val="en-US" w:eastAsia="ja-JP"/>
        </w:rPr>
        <w:t>3</w:t>
      </w:r>
      <w:r w:rsidRPr="00A76535">
        <w:rPr>
          <w:rFonts w:eastAsia="MS Gothic"/>
          <w:b/>
          <w:bCs/>
          <w:sz w:val="22"/>
          <w:szCs w:val="22"/>
          <w:lang w:val="en-US" w:eastAsia="ja-JP"/>
        </w:rPr>
        <w:t xml:space="preserve">:  Bandwidth parts embedded in </w:t>
      </w:r>
      <w:r w:rsidR="00882F91">
        <w:rPr>
          <w:rFonts w:eastAsia="MS Gothic"/>
          <w:b/>
          <w:bCs/>
          <w:sz w:val="22"/>
          <w:szCs w:val="22"/>
          <w:lang w:val="en-US" w:eastAsia="ja-JP"/>
        </w:rPr>
        <w:t xml:space="preserve">5 MHz and 20 MHz </w:t>
      </w:r>
      <w:r w:rsidRPr="00A76535">
        <w:rPr>
          <w:rFonts w:eastAsia="MS Gothic"/>
          <w:b/>
          <w:bCs/>
          <w:sz w:val="22"/>
          <w:szCs w:val="22"/>
          <w:lang w:val="en-US" w:eastAsia="ja-JP"/>
        </w:rPr>
        <w:t>carrier bandwidths</w:t>
      </w:r>
    </w:p>
    <w:p w14:paraId="695DEB17" w14:textId="77777777" w:rsidR="0027583A" w:rsidRDefault="0027583A" w:rsidP="0027583A">
      <w:pPr>
        <w:spacing w:after="120"/>
        <w:rPr>
          <w:rFonts w:eastAsia="MS Gothic"/>
          <w:sz w:val="22"/>
          <w:szCs w:val="22"/>
          <w:lang w:val="en-US" w:eastAsia="ja-JP"/>
        </w:rPr>
      </w:pPr>
    </w:p>
    <w:p w14:paraId="0134D2A5" w14:textId="30D744A1" w:rsidR="0027583A" w:rsidRPr="0027583A" w:rsidRDefault="0027583A" w:rsidP="0027583A">
      <w:pPr>
        <w:spacing w:after="120"/>
        <w:rPr>
          <w:rFonts w:eastAsia="MS Gothic"/>
          <w:b/>
          <w:bCs/>
          <w:sz w:val="22"/>
          <w:szCs w:val="22"/>
          <w:lang w:val="en-US" w:eastAsia="ja-JP"/>
        </w:rPr>
      </w:pPr>
      <w:r w:rsidRPr="0027583A">
        <w:rPr>
          <w:rFonts w:eastAsia="MS Gothic"/>
          <w:b/>
          <w:bCs/>
          <w:sz w:val="22"/>
          <w:szCs w:val="22"/>
          <w:lang w:val="en-US" w:eastAsia="ja-JP"/>
        </w:rPr>
        <w:t>Motivation</w:t>
      </w:r>
      <w:r>
        <w:rPr>
          <w:rFonts w:eastAsia="MS Gothic"/>
          <w:b/>
          <w:bCs/>
          <w:sz w:val="22"/>
          <w:szCs w:val="22"/>
          <w:lang w:val="en-US" w:eastAsia="ja-JP"/>
        </w:rPr>
        <w:t xml:space="preserve"> for Bandwidth Part A-MPR</w:t>
      </w:r>
    </w:p>
    <w:p w14:paraId="57002CF8" w14:textId="585A7657" w:rsidR="003F6083" w:rsidRDefault="0027583A" w:rsidP="0027583A">
      <w:pPr>
        <w:spacing w:after="120"/>
        <w:rPr>
          <w:rFonts w:eastAsia="MS Gothic"/>
          <w:sz w:val="22"/>
          <w:szCs w:val="22"/>
          <w:lang w:eastAsia="ja-JP"/>
        </w:rPr>
      </w:pPr>
      <w:r>
        <w:rPr>
          <w:rFonts w:eastAsia="MS Gothic"/>
          <w:sz w:val="22"/>
          <w:szCs w:val="22"/>
          <w:lang w:eastAsia="ja-JP"/>
        </w:rPr>
        <w:t xml:space="preserve">As mentioned in the introduction, </w:t>
      </w:r>
      <w:r w:rsidR="003F6083">
        <w:rPr>
          <w:rFonts w:eastAsia="MS Gothic"/>
          <w:sz w:val="22"/>
          <w:szCs w:val="22"/>
          <w:lang w:eastAsia="ja-JP"/>
        </w:rPr>
        <w:t>one</w:t>
      </w:r>
      <w:r>
        <w:rPr>
          <w:rFonts w:eastAsia="MS Gothic"/>
          <w:sz w:val="22"/>
          <w:szCs w:val="22"/>
          <w:lang w:eastAsia="ja-JP"/>
        </w:rPr>
        <w:t xml:space="preserve"> reason for considering the issue of A-MPR for bandwidth parts is that </w:t>
      </w:r>
      <w:r w:rsidRPr="0027583A">
        <w:rPr>
          <w:rFonts w:eastAsia="MS Gothic"/>
          <w:i/>
          <w:iCs/>
          <w:sz w:val="22"/>
          <w:szCs w:val="22"/>
          <w:lang w:eastAsia="ja-JP"/>
        </w:rPr>
        <w:t xml:space="preserve">it allows the UE to access the full carrier bandwidth on the downlink </w:t>
      </w:r>
      <w:r w:rsidRPr="002A0B66">
        <w:rPr>
          <w:rFonts w:eastAsia="MS Gothic"/>
          <w:i/>
          <w:iCs/>
          <w:sz w:val="22"/>
          <w:szCs w:val="22"/>
          <w:lang w:eastAsia="ja-JP"/>
        </w:rPr>
        <w:t>without incurring the corresponding very large A-MPR on the uplink</w:t>
      </w:r>
      <w:r>
        <w:rPr>
          <w:rFonts w:eastAsia="MS Gothic"/>
          <w:sz w:val="22"/>
          <w:szCs w:val="22"/>
          <w:lang w:eastAsia="ja-JP"/>
        </w:rPr>
        <w:t xml:space="preserve"> when additional emissions requirements apply.  This approach is possible when the required uplink bandwidth is less than the required downlink bandwidth </w:t>
      </w:r>
      <w:r w:rsidR="003F6083">
        <w:rPr>
          <w:rFonts w:eastAsia="MS Gothic"/>
          <w:sz w:val="22"/>
          <w:szCs w:val="22"/>
          <w:lang w:eastAsia="ja-JP"/>
        </w:rPr>
        <w:t>and is contained within a smaller carrier bandwidth for which A-MPR is already defined.  However, this approach does require that the UE apply the same baseband transmit filter as for the smaller carrier bandwidth which contains the bandwidth part.</w:t>
      </w:r>
    </w:p>
    <w:p w14:paraId="217AC63E" w14:textId="50D9DB99" w:rsidR="003F6083" w:rsidRDefault="003F6083" w:rsidP="0027583A">
      <w:pPr>
        <w:spacing w:after="120"/>
        <w:rPr>
          <w:rFonts w:eastAsia="MS Gothic"/>
          <w:sz w:val="22"/>
          <w:szCs w:val="22"/>
          <w:lang w:eastAsia="ja-JP"/>
        </w:rPr>
      </w:pPr>
      <w:r>
        <w:rPr>
          <w:rFonts w:eastAsia="MS Gothic"/>
          <w:sz w:val="22"/>
          <w:szCs w:val="22"/>
          <w:lang w:eastAsia="ja-JP"/>
        </w:rPr>
        <w:t>The advantages of this approach are that</w:t>
      </w:r>
    </w:p>
    <w:p w14:paraId="50CA5DEA" w14:textId="382F67C8" w:rsidR="003F6083" w:rsidRDefault="00875DEE" w:rsidP="003F6083">
      <w:pPr>
        <w:pStyle w:val="ListParagraph"/>
        <w:numPr>
          <w:ilvl w:val="0"/>
          <w:numId w:val="39"/>
        </w:numPr>
        <w:spacing w:after="120"/>
        <w:rPr>
          <w:rFonts w:eastAsia="MS Gothic"/>
          <w:sz w:val="22"/>
          <w:szCs w:val="22"/>
          <w:lang w:eastAsia="ja-JP"/>
        </w:rPr>
      </w:pPr>
      <w:r>
        <w:rPr>
          <w:rFonts w:eastAsia="MS Gothic"/>
          <w:sz w:val="22"/>
          <w:szCs w:val="22"/>
          <w:lang w:eastAsia="ja-JP"/>
        </w:rPr>
        <w:t>It can</w:t>
      </w:r>
      <w:r w:rsidR="003F6083">
        <w:rPr>
          <w:rFonts w:eastAsia="MS Gothic"/>
          <w:sz w:val="22"/>
          <w:szCs w:val="22"/>
          <w:lang w:eastAsia="ja-JP"/>
        </w:rPr>
        <w:t xml:space="preserve"> dramatically reduce A-MPR for RB allocations near either edge of the wideband carrier</w:t>
      </w:r>
    </w:p>
    <w:p w14:paraId="2D3E1C0F" w14:textId="147AB33D" w:rsidR="003F6083" w:rsidRDefault="003F6083" w:rsidP="0027583A">
      <w:pPr>
        <w:pStyle w:val="ListParagraph"/>
        <w:numPr>
          <w:ilvl w:val="0"/>
          <w:numId w:val="39"/>
        </w:numPr>
        <w:spacing w:after="120"/>
        <w:rPr>
          <w:rFonts w:eastAsia="MS Gothic"/>
          <w:sz w:val="22"/>
          <w:szCs w:val="22"/>
          <w:lang w:eastAsia="ja-JP"/>
        </w:rPr>
      </w:pPr>
      <w:r>
        <w:rPr>
          <w:rFonts w:eastAsia="MS Gothic"/>
          <w:sz w:val="22"/>
          <w:szCs w:val="22"/>
          <w:lang w:eastAsia="ja-JP"/>
        </w:rPr>
        <w:t>It can use existing the existing A-MPR tables</w:t>
      </w:r>
    </w:p>
    <w:p w14:paraId="522628F7" w14:textId="704BA131" w:rsidR="00875DEE" w:rsidRPr="003F6083" w:rsidRDefault="00875DEE" w:rsidP="0027583A">
      <w:pPr>
        <w:pStyle w:val="ListParagraph"/>
        <w:numPr>
          <w:ilvl w:val="0"/>
          <w:numId w:val="39"/>
        </w:numPr>
        <w:spacing w:after="120"/>
        <w:rPr>
          <w:rFonts w:eastAsia="MS Gothic"/>
          <w:sz w:val="22"/>
          <w:szCs w:val="22"/>
          <w:lang w:eastAsia="ja-JP"/>
        </w:rPr>
      </w:pPr>
      <w:r>
        <w:rPr>
          <w:rFonts w:eastAsia="MS Gothic"/>
          <w:sz w:val="22"/>
          <w:szCs w:val="22"/>
          <w:lang w:eastAsia="ja-JP"/>
        </w:rPr>
        <w:t>It can be applied for any band.</w:t>
      </w:r>
    </w:p>
    <w:p w14:paraId="4DE39326" w14:textId="36F59FDB" w:rsidR="0027583A" w:rsidRDefault="003F6083" w:rsidP="0027583A">
      <w:pPr>
        <w:spacing w:after="120"/>
        <w:rPr>
          <w:rFonts w:eastAsia="MS Gothic"/>
          <w:sz w:val="22"/>
          <w:szCs w:val="22"/>
          <w:lang w:eastAsia="ja-JP"/>
        </w:rPr>
      </w:pPr>
      <w:r>
        <w:rPr>
          <w:rFonts w:eastAsia="MS Gothic"/>
          <w:sz w:val="22"/>
          <w:szCs w:val="22"/>
          <w:lang w:eastAsia="ja-JP"/>
        </w:rPr>
        <w:t>Based on these observations, we have the following proposal:</w:t>
      </w:r>
    </w:p>
    <w:p w14:paraId="1AF334E4" w14:textId="61A16D48" w:rsidR="0027583A" w:rsidRPr="0027583A" w:rsidRDefault="0027583A" w:rsidP="0027583A">
      <w:pPr>
        <w:tabs>
          <w:tab w:val="left" w:pos="1620"/>
        </w:tabs>
        <w:spacing w:after="120"/>
        <w:ind w:left="1440" w:hanging="1440"/>
        <w:rPr>
          <w:rFonts w:eastAsia="MS Gothic"/>
          <w:sz w:val="22"/>
          <w:szCs w:val="22"/>
          <w:lang w:eastAsia="ja-JP"/>
        </w:rPr>
      </w:pPr>
      <w:r w:rsidRPr="0027583A">
        <w:rPr>
          <w:rFonts w:eastAsia="MS Gothic"/>
          <w:b/>
          <w:bCs/>
          <w:sz w:val="22"/>
          <w:szCs w:val="22"/>
          <w:lang w:eastAsia="ja-JP"/>
        </w:rPr>
        <w:t>Proposal:</w:t>
      </w:r>
      <w:r>
        <w:rPr>
          <w:rFonts w:eastAsia="MS Gothic"/>
          <w:b/>
          <w:bCs/>
          <w:sz w:val="22"/>
          <w:szCs w:val="22"/>
          <w:lang w:eastAsia="ja-JP"/>
        </w:rPr>
        <w:t xml:space="preserve">  </w:t>
      </w:r>
      <w:r>
        <w:rPr>
          <w:rFonts w:eastAsia="MS Gothic"/>
          <w:b/>
          <w:bCs/>
          <w:sz w:val="22"/>
          <w:szCs w:val="22"/>
          <w:lang w:eastAsia="ja-JP"/>
        </w:rPr>
        <w:tab/>
      </w:r>
      <w:r>
        <w:rPr>
          <w:rFonts w:eastAsia="MS Gothic"/>
          <w:sz w:val="22"/>
          <w:szCs w:val="22"/>
          <w:lang w:eastAsia="ja-JP"/>
        </w:rPr>
        <w:t>In order to reduce</w:t>
      </w:r>
      <w:r w:rsidR="00845346">
        <w:rPr>
          <w:rFonts w:eastAsia="MS Gothic"/>
          <w:sz w:val="22"/>
          <w:szCs w:val="22"/>
          <w:lang w:eastAsia="ja-JP"/>
        </w:rPr>
        <w:t xml:space="preserve"> the</w:t>
      </w:r>
      <w:r>
        <w:rPr>
          <w:rFonts w:eastAsia="MS Gothic"/>
          <w:sz w:val="22"/>
          <w:szCs w:val="22"/>
          <w:lang w:eastAsia="ja-JP"/>
        </w:rPr>
        <w:t xml:space="preserve"> A-MPR </w:t>
      </w:r>
      <w:r w:rsidR="003F6083">
        <w:rPr>
          <w:rFonts w:eastAsia="MS Gothic"/>
          <w:sz w:val="22"/>
          <w:szCs w:val="22"/>
          <w:lang w:eastAsia="ja-JP"/>
        </w:rPr>
        <w:t>for wideband carriers at the edge of bands with additional emissions requirements</w:t>
      </w:r>
      <w:r>
        <w:rPr>
          <w:rFonts w:eastAsia="MS Gothic"/>
          <w:sz w:val="22"/>
          <w:szCs w:val="22"/>
          <w:lang w:eastAsia="ja-JP"/>
        </w:rPr>
        <w:t xml:space="preserve">, consider studying the definition </w:t>
      </w:r>
      <w:r w:rsidR="00845346">
        <w:rPr>
          <w:rFonts w:eastAsia="MS Gothic"/>
          <w:sz w:val="22"/>
          <w:szCs w:val="22"/>
          <w:lang w:eastAsia="ja-JP"/>
        </w:rPr>
        <w:t>of</w:t>
      </w:r>
      <w:r>
        <w:rPr>
          <w:rFonts w:eastAsia="MS Gothic"/>
          <w:sz w:val="22"/>
          <w:szCs w:val="22"/>
          <w:lang w:eastAsia="ja-JP"/>
        </w:rPr>
        <w:t xml:space="preserve"> A-MPR for bandwidth parts contained within carriers </w:t>
      </w:r>
      <w:r w:rsidR="00845346">
        <w:rPr>
          <w:rFonts w:eastAsia="MS Gothic"/>
          <w:sz w:val="22"/>
          <w:szCs w:val="22"/>
          <w:lang w:eastAsia="ja-JP"/>
        </w:rPr>
        <w:t>smaller than the full carrier bandwidth.</w:t>
      </w:r>
    </w:p>
    <w:p w14:paraId="0E65F7DC" w14:textId="38B7640F" w:rsidR="00BD6A89" w:rsidRPr="00BD6A89" w:rsidRDefault="000C2A03" w:rsidP="00BD6A89">
      <w:pPr>
        <w:pStyle w:val="TH"/>
      </w:pPr>
      <w:r>
        <w:t xml:space="preserve">Table 1: </w:t>
      </w:r>
      <w:r w:rsidR="00BD6A89">
        <w:t>Table 6.2.3.4-1: A-MPR regions for NS_05 and NS_05U</w:t>
      </w:r>
      <w:r>
        <w:t xml:space="preserve"> </w:t>
      </w:r>
      <w:r w:rsidR="00163A7A">
        <w:t>[1]</w:t>
      </w:r>
    </w:p>
    <w:p w14:paraId="2B7E3276" w14:textId="3CE40B9F" w:rsidR="00163A7A" w:rsidRDefault="00BD6A89" w:rsidP="002B3E0C">
      <w:pPr>
        <w:spacing w:after="120"/>
        <w:jc w:val="center"/>
        <w:rPr>
          <w:rFonts w:eastAsia="MS Gothic"/>
          <w:sz w:val="22"/>
          <w:szCs w:val="22"/>
          <w:lang w:val="en-US" w:eastAsia="ja-JP"/>
        </w:rPr>
      </w:pPr>
      <w:r w:rsidRPr="00BD6A89">
        <w:rPr>
          <w:noProof/>
        </w:rPr>
        <w:drawing>
          <wp:inline distT="0" distB="0" distL="0" distR="0" wp14:anchorId="4D27FDA8" wp14:editId="47422B09">
            <wp:extent cx="5276088" cy="1993392"/>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76088" cy="1993392"/>
                    </a:xfrm>
                    <a:prstGeom prst="rect">
                      <a:avLst/>
                    </a:prstGeom>
                    <a:noFill/>
                    <a:ln>
                      <a:noFill/>
                    </a:ln>
                  </pic:spPr>
                </pic:pic>
              </a:graphicData>
            </a:graphic>
          </wp:inline>
        </w:drawing>
      </w:r>
    </w:p>
    <w:p w14:paraId="4CA3131C" w14:textId="77777777" w:rsidR="00163A7A" w:rsidRPr="00163A7A" w:rsidRDefault="00163A7A" w:rsidP="00163A7A">
      <w:pPr>
        <w:pStyle w:val="TH"/>
      </w:pPr>
      <w:r>
        <w:lastRenderedPageBreak/>
        <w:t>Table 2: Table 6.2.3.4-2: A-MPR for NS_05 and NS_05U [1]</w:t>
      </w:r>
    </w:p>
    <w:tbl>
      <w:tblPr>
        <w:tblW w:w="5649" w:type="dxa"/>
        <w:jc w:val="center"/>
        <w:tblCellMar>
          <w:left w:w="70" w:type="dxa"/>
          <w:right w:w="70" w:type="dxa"/>
        </w:tblCellMar>
        <w:tblLook w:val="01E0" w:firstRow="1" w:lastRow="1" w:firstColumn="1" w:lastColumn="1" w:noHBand="0" w:noVBand="0"/>
      </w:tblPr>
      <w:tblGrid>
        <w:gridCol w:w="1087"/>
        <w:gridCol w:w="1088"/>
        <w:gridCol w:w="1111"/>
        <w:gridCol w:w="1111"/>
        <w:gridCol w:w="669"/>
        <w:gridCol w:w="583"/>
      </w:tblGrid>
      <w:tr w:rsidR="00163A7A" w:rsidRPr="00A1115A" w14:paraId="635D8BAB" w14:textId="77777777" w:rsidTr="00791989">
        <w:trPr>
          <w:jc w:val="center"/>
        </w:trPr>
        <w:tc>
          <w:tcPr>
            <w:tcW w:w="2175" w:type="dxa"/>
            <w:gridSpan w:val="2"/>
            <w:tcBorders>
              <w:top w:val="single" w:sz="4" w:space="0" w:color="auto"/>
              <w:left w:val="single" w:sz="4" w:space="0" w:color="auto"/>
              <w:right w:val="single" w:sz="4" w:space="0" w:color="auto"/>
            </w:tcBorders>
            <w:shd w:val="clear" w:color="auto" w:fill="auto"/>
            <w:vAlign w:val="center"/>
            <w:hideMark/>
          </w:tcPr>
          <w:p w14:paraId="2720F2B7" w14:textId="77777777" w:rsidR="00163A7A" w:rsidRPr="00A1115A" w:rsidRDefault="00163A7A" w:rsidP="00791989">
            <w:pPr>
              <w:pStyle w:val="TAH"/>
            </w:pPr>
            <w:r w:rsidRPr="00A1115A">
              <w:t>Modulation/Waveform</w:t>
            </w:r>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360C0C48" w14:textId="77777777" w:rsidR="00163A7A" w:rsidRPr="00A1115A" w:rsidRDefault="00163A7A" w:rsidP="00791989">
            <w:pPr>
              <w:pStyle w:val="TAH"/>
            </w:pPr>
            <w:r w:rsidRPr="00A1115A">
              <w:t>A1 (dB)</w:t>
            </w:r>
          </w:p>
        </w:tc>
        <w:tc>
          <w:tcPr>
            <w:tcW w:w="1111" w:type="dxa"/>
            <w:tcBorders>
              <w:top w:val="single" w:sz="4" w:space="0" w:color="000000"/>
              <w:left w:val="single" w:sz="4" w:space="0" w:color="000000"/>
              <w:bottom w:val="single" w:sz="4" w:space="0" w:color="000000"/>
              <w:right w:val="single" w:sz="4" w:space="0" w:color="000000"/>
            </w:tcBorders>
            <w:vAlign w:val="center"/>
          </w:tcPr>
          <w:p w14:paraId="073FE9AC" w14:textId="77777777" w:rsidR="00163A7A" w:rsidRPr="00A1115A" w:rsidRDefault="00163A7A" w:rsidP="00791989">
            <w:pPr>
              <w:pStyle w:val="TAH"/>
            </w:pPr>
            <w:r w:rsidRPr="00A1115A">
              <w:t>A2 (dB)</w:t>
            </w:r>
          </w:p>
        </w:tc>
        <w:tc>
          <w:tcPr>
            <w:tcW w:w="1252" w:type="dxa"/>
            <w:gridSpan w:val="2"/>
            <w:tcBorders>
              <w:top w:val="single" w:sz="4" w:space="0" w:color="000000"/>
              <w:left w:val="single" w:sz="4" w:space="0" w:color="000000"/>
              <w:bottom w:val="single" w:sz="4" w:space="0" w:color="000000"/>
              <w:right w:val="single" w:sz="4" w:space="0" w:color="000000"/>
            </w:tcBorders>
          </w:tcPr>
          <w:p w14:paraId="39F411D9" w14:textId="77777777" w:rsidR="00163A7A" w:rsidRPr="00163A7A" w:rsidRDefault="00163A7A" w:rsidP="00791989">
            <w:pPr>
              <w:pStyle w:val="TAH"/>
            </w:pPr>
            <w:r w:rsidRPr="00163A7A">
              <w:t>A3 (dB)</w:t>
            </w:r>
          </w:p>
        </w:tc>
      </w:tr>
      <w:tr w:rsidR="00163A7A" w:rsidRPr="00A1115A" w14:paraId="01CD6C0C" w14:textId="77777777" w:rsidTr="00791989">
        <w:trPr>
          <w:jc w:val="center"/>
        </w:trPr>
        <w:tc>
          <w:tcPr>
            <w:tcW w:w="2175" w:type="dxa"/>
            <w:gridSpan w:val="2"/>
            <w:tcBorders>
              <w:left w:val="single" w:sz="4" w:space="0" w:color="auto"/>
              <w:bottom w:val="single" w:sz="4" w:space="0" w:color="auto"/>
              <w:right w:val="single" w:sz="4" w:space="0" w:color="auto"/>
            </w:tcBorders>
            <w:shd w:val="clear" w:color="auto" w:fill="auto"/>
            <w:vAlign w:val="center"/>
          </w:tcPr>
          <w:p w14:paraId="16C41729" w14:textId="77777777" w:rsidR="00163A7A" w:rsidRPr="00A1115A" w:rsidRDefault="00163A7A" w:rsidP="00791989">
            <w:pPr>
              <w:pStyle w:val="TAH"/>
            </w:pPr>
          </w:p>
        </w:tc>
        <w:tc>
          <w:tcPr>
            <w:tcW w:w="1111" w:type="dxa"/>
            <w:tcBorders>
              <w:top w:val="single" w:sz="4" w:space="0" w:color="000000"/>
              <w:left w:val="single" w:sz="4" w:space="0" w:color="auto"/>
              <w:bottom w:val="single" w:sz="4" w:space="0" w:color="000000"/>
              <w:right w:val="single" w:sz="4" w:space="0" w:color="000000"/>
            </w:tcBorders>
            <w:vAlign w:val="center"/>
          </w:tcPr>
          <w:p w14:paraId="7BB932EB" w14:textId="77777777" w:rsidR="00163A7A" w:rsidRPr="00A1115A" w:rsidRDefault="00163A7A" w:rsidP="00791989">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0AE355F7" w14:textId="77777777" w:rsidR="00163A7A" w:rsidRPr="00A1115A" w:rsidRDefault="00163A7A" w:rsidP="00791989">
            <w:pPr>
              <w:pStyle w:val="TAH"/>
            </w:pPr>
            <w:r w:rsidRPr="00A1115A">
              <w:t>Outer/Inner</w:t>
            </w:r>
          </w:p>
        </w:tc>
        <w:tc>
          <w:tcPr>
            <w:tcW w:w="669" w:type="dxa"/>
            <w:tcBorders>
              <w:top w:val="single" w:sz="4" w:space="0" w:color="000000"/>
              <w:left w:val="single" w:sz="4" w:space="0" w:color="000000"/>
              <w:bottom w:val="single" w:sz="4" w:space="0" w:color="000000"/>
              <w:right w:val="single" w:sz="4" w:space="0" w:color="000000"/>
            </w:tcBorders>
          </w:tcPr>
          <w:p w14:paraId="4E658A1E" w14:textId="77777777" w:rsidR="00163A7A" w:rsidRPr="00163A7A" w:rsidRDefault="00163A7A" w:rsidP="00791989">
            <w:pPr>
              <w:pStyle w:val="TAH"/>
            </w:pPr>
            <w:r w:rsidRPr="00163A7A">
              <w:t>Outer</w:t>
            </w:r>
          </w:p>
        </w:tc>
        <w:tc>
          <w:tcPr>
            <w:tcW w:w="583" w:type="dxa"/>
            <w:tcBorders>
              <w:top w:val="single" w:sz="4" w:space="0" w:color="000000"/>
              <w:left w:val="single" w:sz="4" w:space="0" w:color="000000"/>
              <w:bottom w:val="single" w:sz="4" w:space="0" w:color="000000"/>
              <w:right w:val="single" w:sz="4" w:space="0" w:color="000000"/>
            </w:tcBorders>
          </w:tcPr>
          <w:p w14:paraId="2870933E" w14:textId="77777777" w:rsidR="00163A7A" w:rsidRPr="00163A7A" w:rsidRDefault="00163A7A" w:rsidP="00791989">
            <w:pPr>
              <w:pStyle w:val="TAH"/>
            </w:pPr>
            <w:r w:rsidRPr="00163A7A">
              <w:t>Inner</w:t>
            </w:r>
          </w:p>
        </w:tc>
      </w:tr>
      <w:tr w:rsidR="00163A7A" w:rsidRPr="00A1115A" w14:paraId="64983B75" w14:textId="77777777" w:rsidTr="00791989">
        <w:trPr>
          <w:jc w:val="center"/>
        </w:trPr>
        <w:tc>
          <w:tcPr>
            <w:tcW w:w="1087" w:type="dxa"/>
            <w:tcBorders>
              <w:top w:val="single" w:sz="4" w:space="0" w:color="auto"/>
              <w:left w:val="single" w:sz="4" w:space="0" w:color="auto"/>
              <w:right w:val="single" w:sz="4" w:space="0" w:color="auto"/>
            </w:tcBorders>
            <w:shd w:val="clear" w:color="auto" w:fill="auto"/>
            <w:hideMark/>
          </w:tcPr>
          <w:p w14:paraId="40B6B684" w14:textId="77777777" w:rsidR="00163A7A" w:rsidRPr="00A1115A" w:rsidRDefault="00163A7A" w:rsidP="00791989">
            <w:pPr>
              <w:pStyle w:val="TAC"/>
            </w:pPr>
            <w:r w:rsidRPr="00A1115A">
              <w:t>DFT-s-OFDM</w:t>
            </w:r>
          </w:p>
        </w:tc>
        <w:tc>
          <w:tcPr>
            <w:tcW w:w="1088" w:type="dxa"/>
            <w:tcBorders>
              <w:top w:val="single" w:sz="4" w:space="0" w:color="auto"/>
              <w:left w:val="single" w:sz="4" w:space="0" w:color="auto"/>
              <w:bottom w:val="single" w:sz="4" w:space="0" w:color="000000"/>
              <w:right w:val="single" w:sz="4" w:space="0" w:color="000000"/>
            </w:tcBorders>
          </w:tcPr>
          <w:p w14:paraId="3C84BB99" w14:textId="77777777" w:rsidR="00163A7A" w:rsidRPr="00A1115A" w:rsidRDefault="00163A7A" w:rsidP="00791989">
            <w:pPr>
              <w:pStyle w:val="TAC"/>
            </w:pPr>
            <w:r w:rsidRPr="00A1115A">
              <w:t>Pi/2 BPSK</w:t>
            </w:r>
          </w:p>
        </w:tc>
        <w:tc>
          <w:tcPr>
            <w:tcW w:w="1111" w:type="dxa"/>
            <w:tcBorders>
              <w:top w:val="single" w:sz="4" w:space="0" w:color="000000"/>
              <w:left w:val="single" w:sz="4" w:space="0" w:color="000000"/>
              <w:bottom w:val="single" w:sz="4" w:space="0" w:color="000000"/>
              <w:right w:val="single" w:sz="4" w:space="0" w:color="000000"/>
            </w:tcBorders>
            <w:hideMark/>
          </w:tcPr>
          <w:p w14:paraId="4B1DBEAA" w14:textId="77777777" w:rsidR="00163A7A" w:rsidRPr="00A1115A" w:rsidRDefault="00163A7A" w:rsidP="00791989">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4F2850AE" w14:textId="77777777" w:rsidR="00163A7A" w:rsidRPr="00A1115A" w:rsidRDefault="00163A7A" w:rsidP="00791989">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58AC03A4" w14:textId="77777777" w:rsidR="00163A7A" w:rsidRPr="00163A7A" w:rsidRDefault="00163A7A" w:rsidP="00791989">
            <w:pPr>
              <w:pStyle w:val="TAC"/>
            </w:pPr>
            <w:r w:rsidRPr="00163A7A">
              <w:t>≤ 4</w:t>
            </w:r>
          </w:p>
        </w:tc>
        <w:tc>
          <w:tcPr>
            <w:tcW w:w="583" w:type="dxa"/>
            <w:tcBorders>
              <w:top w:val="single" w:sz="4" w:space="0" w:color="000000"/>
              <w:left w:val="single" w:sz="4" w:space="0" w:color="000000"/>
              <w:bottom w:val="single" w:sz="4" w:space="0" w:color="000000"/>
              <w:right w:val="single" w:sz="4" w:space="0" w:color="000000"/>
            </w:tcBorders>
          </w:tcPr>
          <w:p w14:paraId="5A14A203" w14:textId="77777777" w:rsidR="00163A7A" w:rsidRPr="00163A7A" w:rsidRDefault="00163A7A" w:rsidP="00791989">
            <w:pPr>
              <w:pStyle w:val="TAC"/>
            </w:pPr>
          </w:p>
        </w:tc>
      </w:tr>
      <w:tr w:rsidR="00163A7A" w:rsidRPr="00A1115A" w14:paraId="687C4FC0" w14:textId="77777777" w:rsidTr="00791989">
        <w:trPr>
          <w:jc w:val="center"/>
        </w:trPr>
        <w:tc>
          <w:tcPr>
            <w:tcW w:w="1087" w:type="dxa"/>
            <w:tcBorders>
              <w:left w:val="single" w:sz="4" w:space="0" w:color="auto"/>
              <w:right w:val="single" w:sz="4" w:space="0" w:color="auto"/>
            </w:tcBorders>
            <w:shd w:val="clear" w:color="auto" w:fill="auto"/>
            <w:hideMark/>
          </w:tcPr>
          <w:p w14:paraId="3F2DE6B3" w14:textId="77777777" w:rsidR="00163A7A" w:rsidRPr="00A1115A" w:rsidRDefault="00163A7A" w:rsidP="00791989">
            <w:pPr>
              <w:pStyle w:val="TAC"/>
            </w:pPr>
          </w:p>
        </w:tc>
        <w:tc>
          <w:tcPr>
            <w:tcW w:w="1088" w:type="dxa"/>
            <w:tcBorders>
              <w:top w:val="single" w:sz="4" w:space="0" w:color="000000"/>
              <w:left w:val="single" w:sz="4" w:space="0" w:color="auto"/>
              <w:bottom w:val="single" w:sz="4" w:space="0" w:color="000000"/>
              <w:right w:val="single" w:sz="4" w:space="0" w:color="000000"/>
            </w:tcBorders>
          </w:tcPr>
          <w:p w14:paraId="5EF829C8" w14:textId="77777777" w:rsidR="00163A7A" w:rsidRPr="00A1115A" w:rsidRDefault="00163A7A" w:rsidP="00791989">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hideMark/>
          </w:tcPr>
          <w:p w14:paraId="7167C5CE" w14:textId="77777777" w:rsidR="00163A7A" w:rsidRPr="00A1115A" w:rsidRDefault="00163A7A" w:rsidP="00791989">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351C5C1C" w14:textId="77777777" w:rsidR="00163A7A" w:rsidRPr="00A1115A" w:rsidRDefault="00163A7A" w:rsidP="00791989">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1C0663C8" w14:textId="77777777" w:rsidR="00163A7A" w:rsidRPr="00163A7A" w:rsidRDefault="00163A7A" w:rsidP="00791989">
            <w:pPr>
              <w:pStyle w:val="TAC"/>
            </w:pPr>
            <w:r w:rsidRPr="00163A7A">
              <w:t>≤ 4.5</w:t>
            </w:r>
          </w:p>
        </w:tc>
        <w:tc>
          <w:tcPr>
            <w:tcW w:w="583" w:type="dxa"/>
            <w:tcBorders>
              <w:top w:val="single" w:sz="4" w:space="0" w:color="000000"/>
              <w:left w:val="single" w:sz="4" w:space="0" w:color="000000"/>
              <w:bottom w:val="single" w:sz="4" w:space="0" w:color="000000"/>
              <w:right w:val="single" w:sz="4" w:space="0" w:color="000000"/>
            </w:tcBorders>
          </w:tcPr>
          <w:p w14:paraId="3C2EBFAE" w14:textId="77777777" w:rsidR="00163A7A" w:rsidRPr="00163A7A" w:rsidRDefault="00163A7A" w:rsidP="00791989">
            <w:pPr>
              <w:pStyle w:val="TAC"/>
            </w:pPr>
          </w:p>
        </w:tc>
      </w:tr>
      <w:tr w:rsidR="00163A7A" w:rsidRPr="00A1115A" w14:paraId="38180DDB" w14:textId="77777777" w:rsidTr="00791989">
        <w:trPr>
          <w:trHeight w:val="70"/>
          <w:jc w:val="center"/>
        </w:trPr>
        <w:tc>
          <w:tcPr>
            <w:tcW w:w="1087" w:type="dxa"/>
            <w:tcBorders>
              <w:left w:val="single" w:sz="4" w:space="0" w:color="auto"/>
              <w:right w:val="single" w:sz="4" w:space="0" w:color="auto"/>
            </w:tcBorders>
            <w:shd w:val="clear" w:color="auto" w:fill="auto"/>
            <w:hideMark/>
          </w:tcPr>
          <w:p w14:paraId="040C54EA" w14:textId="77777777" w:rsidR="00163A7A" w:rsidRPr="00A1115A" w:rsidRDefault="00163A7A" w:rsidP="00791989">
            <w:pPr>
              <w:pStyle w:val="TAC"/>
            </w:pPr>
          </w:p>
        </w:tc>
        <w:tc>
          <w:tcPr>
            <w:tcW w:w="1088" w:type="dxa"/>
            <w:tcBorders>
              <w:top w:val="single" w:sz="4" w:space="0" w:color="000000"/>
              <w:left w:val="single" w:sz="4" w:space="0" w:color="auto"/>
              <w:bottom w:val="single" w:sz="4" w:space="0" w:color="000000"/>
              <w:right w:val="single" w:sz="4" w:space="0" w:color="000000"/>
            </w:tcBorders>
          </w:tcPr>
          <w:p w14:paraId="68225884" w14:textId="77777777" w:rsidR="00163A7A" w:rsidRPr="00A1115A" w:rsidRDefault="00163A7A" w:rsidP="00791989">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hideMark/>
          </w:tcPr>
          <w:p w14:paraId="08AAB30C" w14:textId="77777777" w:rsidR="00163A7A" w:rsidRPr="00A1115A" w:rsidRDefault="00163A7A" w:rsidP="00791989">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17A386D7" w14:textId="77777777" w:rsidR="00163A7A" w:rsidRPr="00A1115A" w:rsidRDefault="00163A7A" w:rsidP="00791989">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77789169" w14:textId="77777777" w:rsidR="00163A7A" w:rsidRPr="00163A7A" w:rsidRDefault="00163A7A" w:rsidP="00791989">
            <w:pPr>
              <w:pStyle w:val="TAC"/>
            </w:pPr>
            <w:r w:rsidRPr="00163A7A">
              <w:t>≤ 6</w:t>
            </w:r>
          </w:p>
        </w:tc>
        <w:tc>
          <w:tcPr>
            <w:tcW w:w="583" w:type="dxa"/>
            <w:tcBorders>
              <w:top w:val="single" w:sz="4" w:space="0" w:color="000000"/>
              <w:left w:val="single" w:sz="4" w:space="0" w:color="000000"/>
              <w:bottom w:val="single" w:sz="4" w:space="0" w:color="000000"/>
              <w:right w:val="single" w:sz="4" w:space="0" w:color="000000"/>
            </w:tcBorders>
          </w:tcPr>
          <w:p w14:paraId="676F68E5" w14:textId="77777777" w:rsidR="00163A7A" w:rsidRPr="00163A7A" w:rsidRDefault="00163A7A" w:rsidP="00791989">
            <w:pPr>
              <w:pStyle w:val="TAC"/>
            </w:pPr>
          </w:p>
        </w:tc>
      </w:tr>
      <w:tr w:rsidR="00163A7A" w:rsidRPr="00A1115A" w14:paraId="0A1BB14C" w14:textId="77777777" w:rsidTr="00791989">
        <w:trPr>
          <w:jc w:val="center"/>
        </w:trPr>
        <w:tc>
          <w:tcPr>
            <w:tcW w:w="1087" w:type="dxa"/>
            <w:tcBorders>
              <w:left w:val="single" w:sz="4" w:space="0" w:color="auto"/>
              <w:right w:val="single" w:sz="4" w:space="0" w:color="auto"/>
            </w:tcBorders>
            <w:shd w:val="clear" w:color="auto" w:fill="auto"/>
            <w:hideMark/>
          </w:tcPr>
          <w:p w14:paraId="0DD85D48" w14:textId="77777777" w:rsidR="00163A7A" w:rsidRPr="00A1115A" w:rsidRDefault="00163A7A" w:rsidP="00791989">
            <w:pPr>
              <w:pStyle w:val="TAC"/>
            </w:pPr>
          </w:p>
        </w:tc>
        <w:tc>
          <w:tcPr>
            <w:tcW w:w="1088" w:type="dxa"/>
            <w:tcBorders>
              <w:top w:val="single" w:sz="4" w:space="0" w:color="000000"/>
              <w:left w:val="single" w:sz="4" w:space="0" w:color="auto"/>
              <w:bottom w:val="single" w:sz="4" w:space="0" w:color="000000"/>
              <w:right w:val="single" w:sz="4" w:space="0" w:color="000000"/>
            </w:tcBorders>
          </w:tcPr>
          <w:p w14:paraId="407F5B03" w14:textId="77777777" w:rsidR="00163A7A" w:rsidRPr="00A1115A" w:rsidRDefault="00163A7A" w:rsidP="00791989">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hideMark/>
          </w:tcPr>
          <w:p w14:paraId="70D36358" w14:textId="77777777" w:rsidR="00163A7A" w:rsidRPr="00A1115A" w:rsidRDefault="00163A7A" w:rsidP="00791989">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78971E54" w14:textId="77777777" w:rsidR="00163A7A" w:rsidRPr="00A1115A" w:rsidRDefault="00163A7A" w:rsidP="00791989">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587363FE" w14:textId="77777777" w:rsidR="00163A7A" w:rsidRPr="00163A7A" w:rsidRDefault="00163A7A" w:rsidP="00791989">
            <w:pPr>
              <w:pStyle w:val="TAC"/>
            </w:pPr>
            <w:r w:rsidRPr="00163A7A">
              <w:t>≤ 6</w:t>
            </w:r>
          </w:p>
        </w:tc>
        <w:tc>
          <w:tcPr>
            <w:tcW w:w="583" w:type="dxa"/>
            <w:tcBorders>
              <w:top w:val="single" w:sz="4" w:space="0" w:color="000000"/>
              <w:left w:val="single" w:sz="4" w:space="0" w:color="000000"/>
              <w:bottom w:val="single" w:sz="4" w:space="0" w:color="000000"/>
              <w:right w:val="single" w:sz="4" w:space="0" w:color="000000"/>
            </w:tcBorders>
          </w:tcPr>
          <w:p w14:paraId="5DCFDB44" w14:textId="77777777" w:rsidR="00163A7A" w:rsidRPr="00163A7A" w:rsidRDefault="00163A7A" w:rsidP="00791989">
            <w:pPr>
              <w:pStyle w:val="TAC"/>
            </w:pPr>
          </w:p>
        </w:tc>
      </w:tr>
      <w:tr w:rsidR="00163A7A" w:rsidRPr="00A1115A" w14:paraId="30CB1BA3" w14:textId="77777777" w:rsidTr="00791989">
        <w:trPr>
          <w:jc w:val="center"/>
        </w:trPr>
        <w:tc>
          <w:tcPr>
            <w:tcW w:w="1087" w:type="dxa"/>
            <w:tcBorders>
              <w:left w:val="single" w:sz="4" w:space="0" w:color="auto"/>
              <w:bottom w:val="single" w:sz="4" w:space="0" w:color="auto"/>
              <w:right w:val="single" w:sz="4" w:space="0" w:color="auto"/>
            </w:tcBorders>
            <w:shd w:val="clear" w:color="auto" w:fill="auto"/>
            <w:hideMark/>
          </w:tcPr>
          <w:p w14:paraId="636D722B" w14:textId="77777777" w:rsidR="00163A7A" w:rsidRPr="00A1115A" w:rsidRDefault="00163A7A" w:rsidP="00791989">
            <w:pPr>
              <w:pStyle w:val="TAC"/>
            </w:pPr>
          </w:p>
        </w:tc>
        <w:tc>
          <w:tcPr>
            <w:tcW w:w="1088" w:type="dxa"/>
            <w:tcBorders>
              <w:top w:val="single" w:sz="4" w:space="0" w:color="000000"/>
              <w:left w:val="single" w:sz="4" w:space="0" w:color="auto"/>
              <w:bottom w:val="single" w:sz="4" w:space="0" w:color="000000"/>
              <w:right w:val="single" w:sz="4" w:space="0" w:color="000000"/>
            </w:tcBorders>
          </w:tcPr>
          <w:p w14:paraId="78C1D959" w14:textId="77777777" w:rsidR="00163A7A" w:rsidRPr="00A1115A" w:rsidRDefault="00163A7A" w:rsidP="00791989">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hideMark/>
          </w:tcPr>
          <w:p w14:paraId="3FBC2398" w14:textId="77777777" w:rsidR="00163A7A" w:rsidRPr="00A1115A" w:rsidRDefault="00163A7A" w:rsidP="00791989">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2FAE463A" w14:textId="77777777" w:rsidR="00163A7A" w:rsidRPr="00A1115A" w:rsidRDefault="00163A7A" w:rsidP="00791989">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4BC8E7E6" w14:textId="77777777" w:rsidR="00163A7A" w:rsidRPr="00163A7A" w:rsidRDefault="00163A7A" w:rsidP="00791989">
            <w:pPr>
              <w:pStyle w:val="TAC"/>
            </w:pPr>
            <w:r w:rsidRPr="00163A7A">
              <w:t>≤ 7</w:t>
            </w:r>
          </w:p>
        </w:tc>
        <w:tc>
          <w:tcPr>
            <w:tcW w:w="583" w:type="dxa"/>
            <w:tcBorders>
              <w:top w:val="single" w:sz="4" w:space="0" w:color="000000"/>
              <w:left w:val="single" w:sz="4" w:space="0" w:color="000000"/>
              <w:bottom w:val="single" w:sz="4" w:space="0" w:color="000000"/>
              <w:right w:val="single" w:sz="4" w:space="0" w:color="000000"/>
            </w:tcBorders>
          </w:tcPr>
          <w:p w14:paraId="757551AC" w14:textId="77777777" w:rsidR="00163A7A" w:rsidRPr="00163A7A" w:rsidRDefault="00163A7A" w:rsidP="00791989">
            <w:pPr>
              <w:pStyle w:val="TAC"/>
            </w:pPr>
          </w:p>
        </w:tc>
      </w:tr>
      <w:tr w:rsidR="00163A7A" w:rsidRPr="00A1115A" w14:paraId="7C521592" w14:textId="77777777" w:rsidTr="00791989">
        <w:trPr>
          <w:jc w:val="center"/>
        </w:trPr>
        <w:tc>
          <w:tcPr>
            <w:tcW w:w="1087" w:type="dxa"/>
            <w:tcBorders>
              <w:top w:val="single" w:sz="4" w:space="0" w:color="auto"/>
              <w:left w:val="single" w:sz="4" w:space="0" w:color="auto"/>
              <w:right w:val="single" w:sz="4" w:space="0" w:color="auto"/>
            </w:tcBorders>
            <w:shd w:val="clear" w:color="auto" w:fill="auto"/>
            <w:hideMark/>
          </w:tcPr>
          <w:p w14:paraId="7AF00245" w14:textId="77777777" w:rsidR="00163A7A" w:rsidRPr="00A1115A" w:rsidRDefault="00163A7A" w:rsidP="00791989">
            <w:pPr>
              <w:pStyle w:val="TAC"/>
            </w:pPr>
            <w:r w:rsidRPr="00A1115A">
              <w:t>CP-OFDM</w:t>
            </w:r>
          </w:p>
        </w:tc>
        <w:tc>
          <w:tcPr>
            <w:tcW w:w="1088" w:type="dxa"/>
            <w:tcBorders>
              <w:top w:val="single" w:sz="4" w:space="0" w:color="000000"/>
              <w:left w:val="single" w:sz="4" w:space="0" w:color="auto"/>
              <w:bottom w:val="single" w:sz="4" w:space="0" w:color="000000"/>
              <w:right w:val="single" w:sz="4" w:space="0" w:color="000000"/>
            </w:tcBorders>
          </w:tcPr>
          <w:p w14:paraId="64940AE6" w14:textId="77777777" w:rsidR="00163A7A" w:rsidRPr="00A1115A" w:rsidRDefault="00163A7A" w:rsidP="00791989">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hideMark/>
          </w:tcPr>
          <w:p w14:paraId="1E7300E2" w14:textId="77777777" w:rsidR="00163A7A" w:rsidRPr="00A1115A" w:rsidRDefault="00163A7A" w:rsidP="00791989">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3CF5A416" w14:textId="77777777" w:rsidR="00163A7A" w:rsidRPr="00A1115A" w:rsidRDefault="00163A7A" w:rsidP="00791989">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36A4AC7F" w14:textId="77777777" w:rsidR="00163A7A" w:rsidRPr="00163A7A" w:rsidRDefault="00163A7A" w:rsidP="00791989">
            <w:pPr>
              <w:pStyle w:val="TAC"/>
            </w:pPr>
            <w:r w:rsidRPr="00163A7A">
              <w:t>≤ 7.5</w:t>
            </w:r>
          </w:p>
        </w:tc>
        <w:tc>
          <w:tcPr>
            <w:tcW w:w="583" w:type="dxa"/>
            <w:tcBorders>
              <w:top w:val="single" w:sz="4" w:space="0" w:color="000000"/>
              <w:left w:val="single" w:sz="4" w:space="0" w:color="000000"/>
              <w:bottom w:val="single" w:sz="4" w:space="0" w:color="000000"/>
              <w:right w:val="single" w:sz="4" w:space="0" w:color="000000"/>
            </w:tcBorders>
          </w:tcPr>
          <w:p w14:paraId="667A4912" w14:textId="77777777" w:rsidR="00163A7A" w:rsidRPr="00163A7A" w:rsidRDefault="00163A7A" w:rsidP="00791989">
            <w:pPr>
              <w:pStyle w:val="TAC"/>
            </w:pPr>
            <w:r w:rsidRPr="00163A7A">
              <w:t>≤ 2</w:t>
            </w:r>
          </w:p>
        </w:tc>
      </w:tr>
      <w:tr w:rsidR="00163A7A" w:rsidRPr="00A1115A" w14:paraId="78F08E2B" w14:textId="77777777" w:rsidTr="00791989">
        <w:trPr>
          <w:jc w:val="center"/>
        </w:trPr>
        <w:tc>
          <w:tcPr>
            <w:tcW w:w="1087" w:type="dxa"/>
            <w:tcBorders>
              <w:left w:val="single" w:sz="4" w:space="0" w:color="auto"/>
              <w:right w:val="single" w:sz="4" w:space="0" w:color="auto"/>
            </w:tcBorders>
            <w:shd w:val="clear" w:color="auto" w:fill="auto"/>
            <w:hideMark/>
          </w:tcPr>
          <w:p w14:paraId="741280AA" w14:textId="77777777" w:rsidR="00163A7A" w:rsidRPr="00A1115A" w:rsidRDefault="00163A7A" w:rsidP="00791989">
            <w:pPr>
              <w:pStyle w:val="TAC"/>
            </w:pPr>
          </w:p>
        </w:tc>
        <w:tc>
          <w:tcPr>
            <w:tcW w:w="1088" w:type="dxa"/>
            <w:tcBorders>
              <w:top w:val="single" w:sz="4" w:space="0" w:color="000000"/>
              <w:left w:val="single" w:sz="4" w:space="0" w:color="auto"/>
              <w:bottom w:val="single" w:sz="4" w:space="0" w:color="000000"/>
              <w:right w:val="single" w:sz="4" w:space="0" w:color="000000"/>
            </w:tcBorders>
          </w:tcPr>
          <w:p w14:paraId="04DEF911" w14:textId="77777777" w:rsidR="00163A7A" w:rsidRPr="00A1115A" w:rsidRDefault="00163A7A" w:rsidP="00791989">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hideMark/>
          </w:tcPr>
          <w:p w14:paraId="7905A5AA" w14:textId="77777777" w:rsidR="00163A7A" w:rsidRPr="00A1115A" w:rsidRDefault="00163A7A" w:rsidP="00791989">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68B15634" w14:textId="77777777" w:rsidR="00163A7A" w:rsidRPr="00A1115A" w:rsidRDefault="00163A7A" w:rsidP="00791989">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7644F502" w14:textId="77777777" w:rsidR="00163A7A" w:rsidRPr="00163A7A" w:rsidRDefault="00163A7A" w:rsidP="00791989">
            <w:pPr>
              <w:pStyle w:val="TAC"/>
            </w:pPr>
            <w:r w:rsidRPr="00163A7A">
              <w:t>≤ 7.5</w:t>
            </w:r>
          </w:p>
        </w:tc>
        <w:tc>
          <w:tcPr>
            <w:tcW w:w="583" w:type="dxa"/>
            <w:tcBorders>
              <w:top w:val="single" w:sz="4" w:space="0" w:color="000000"/>
              <w:left w:val="single" w:sz="4" w:space="0" w:color="000000"/>
              <w:bottom w:val="single" w:sz="4" w:space="0" w:color="000000"/>
              <w:right w:val="single" w:sz="4" w:space="0" w:color="000000"/>
            </w:tcBorders>
          </w:tcPr>
          <w:p w14:paraId="4E78520D" w14:textId="77777777" w:rsidR="00163A7A" w:rsidRPr="00163A7A" w:rsidRDefault="00163A7A" w:rsidP="00791989">
            <w:pPr>
              <w:pStyle w:val="TAC"/>
            </w:pPr>
          </w:p>
        </w:tc>
      </w:tr>
      <w:tr w:rsidR="00163A7A" w:rsidRPr="00A1115A" w14:paraId="1613D5A6" w14:textId="77777777" w:rsidTr="00791989">
        <w:trPr>
          <w:jc w:val="center"/>
        </w:trPr>
        <w:tc>
          <w:tcPr>
            <w:tcW w:w="1087" w:type="dxa"/>
            <w:tcBorders>
              <w:left w:val="single" w:sz="4" w:space="0" w:color="auto"/>
              <w:right w:val="single" w:sz="4" w:space="0" w:color="auto"/>
            </w:tcBorders>
            <w:shd w:val="clear" w:color="auto" w:fill="auto"/>
            <w:hideMark/>
          </w:tcPr>
          <w:p w14:paraId="3F8AF278" w14:textId="77777777" w:rsidR="00163A7A" w:rsidRPr="00A1115A" w:rsidRDefault="00163A7A" w:rsidP="00791989">
            <w:pPr>
              <w:pStyle w:val="TAC"/>
            </w:pPr>
          </w:p>
        </w:tc>
        <w:tc>
          <w:tcPr>
            <w:tcW w:w="1088" w:type="dxa"/>
            <w:tcBorders>
              <w:top w:val="single" w:sz="4" w:space="0" w:color="000000"/>
              <w:left w:val="single" w:sz="4" w:space="0" w:color="auto"/>
              <w:bottom w:val="single" w:sz="4" w:space="0" w:color="000000"/>
              <w:right w:val="single" w:sz="4" w:space="0" w:color="000000"/>
            </w:tcBorders>
          </w:tcPr>
          <w:p w14:paraId="5084C055" w14:textId="77777777" w:rsidR="00163A7A" w:rsidRPr="00A1115A" w:rsidRDefault="00163A7A" w:rsidP="00791989">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hideMark/>
          </w:tcPr>
          <w:p w14:paraId="0FD35573" w14:textId="77777777" w:rsidR="00163A7A" w:rsidRPr="00A1115A" w:rsidRDefault="00163A7A" w:rsidP="00791989">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3981C4B7" w14:textId="77777777" w:rsidR="00163A7A" w:rsidRPr="00A1115A" w:rsidRDefault="00163A7A" w:rsidP="00791989">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42647334" w14:textId="77777777" w:rsidR="00163A7A" w:rsidRPr="00163A7A" w:rsidRDefault="00163A7A" w:rsidP="00791989">
            <w:pPr>
              <w:pStyle w:val="TAC"/>
            </w:pPr>
            <w:r w:rsidRPr="00163A7A">
              <w:t>≤ 8</w:t>
            </w:r>
          </w:p>
        </w:tc>
        <w:tc>
          <w:tcPr>
            <w:tcW w:w="583" w:type="dxa"/>
            <w:tcBorders>
              <w:top w:val="single" w:sz="4" w:space="0" w:color="000000"/>
              <w:left w:val="single" w:sz="4" w:space="0" w:color="000000"/>
              <w:bottom w:val="single" w:sz="4" w:space="0" w:color="000000"/>
              <w:right w:val="single" w:sz="4" w:space="0" w:color="000000"/>
            </w:tcBorders>
          </w:tcPr>
          <w:p w14:paraId="22A459C0" w14:textId="77777777" w:rsidR="00163A7A" w:rsidRPr="00163A7A" w:rsidRDefault="00163A7A" w:rsidP="00791989">
            <w:pPr>
              <w:pStyle w:val="TAC"/>
            </w:pPr>
          </w:p>
        </w:tc>
      </w:tr>
      <w:tr w:rsidR="00163A7A" w:rsidRPr="00A1115A" w14:paraId="379044C2" w14:textId="77777777" w:rsidTr="00791989">
        <w:trPr>
          <w:jc w:val="center"/>
        </w:trPr>
        <w:tc>
          <w:tcPr>
            <w:tcW w:w="1087" w:type="dxa"/>
            <w:tcBorders>
              <w:left w:val="single" w:sz="4" w:space="0" w:color="auto"/>
              <w:bottom w:val="single" w:sz="4" w:space="0" w:color="auto"/>
              <w:right w:val="single" w:sz="4" w:space="0" w:color="auto"/>
            </w:tcBorders>
            <w:shd w:val="clear" w:color="auto" w:fill="auto"/>
            <w:hideMark/>
          </w:tcPr>
          <w:p w14:paraId="11F7EBF1" w14:textId="77777777" w:rsidR="00163A7A" w:rsidRPr="00A1115A" w:rsidRDefault="00163A7A" w:rsidP="00791989">
            <w:pPr>
              <w:pStyle w:val="TAC"/>
            </w:pPr>
          </w:p>
        </w:tc>
        <w:tc>
          <w:tcPr>
            <w:tcW w:w="1088" w:type="dxa"/>
            <w:tcBorders>
              <w:top w:val="single" w:sz="4" w:space="0" w:color="000000"/>
              <w:left w:val="single" w:sz="4" w:space="0" w:color="auto"/>
              <w:bottom w:val="single" w:sz="4" w:space="0" w:color="000000"/>
              <w:right w:val="single" w:sz="4" w:space="0" w:color="000000"/>
            </w:tcBorders>
          </w:tcPr>
          <w:p w14:paraId="6F233D96" w14:textId="77777777" w:rsidR="00163A7A" w:rsidRPr="00A1115A" w:rsidRDefault="00163A7A" w:rsidP="00791989">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hideMark/>
          </w:tcPr>
          <w:p w14:paraId="35FE96CF" w14:textId="77777777" w:rsidR="00163A7A" w:rsidRPr="00A1115A" w:rsidRDefault="00163A7A" w:rsidP="00791989">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02EC4BA9" w14:textId="77777777" w:rsidR="00163A7A" w:rsidRPr="00A1115A" w:rsidRDefault="00163A7A" w:rsidP="00791989">
            <w:pPr>
              <w:pStyle w:val="TAC"/>
            </w:pPr>
          </w:p>
        </w:tc>
        <w:tc>
          <w:tcPr>
            <w:tcW w:w="669" w:type="dxa"/>
            <w:tcBorders>
              <w:top w:val="single" w:sz="4" w:space="0" w:color="000000"/>
              <w:left w:val="single" w:sz="4" w:space="0" w:color="000000"/>
              <w:bottom w:val="single" w:sz="4" w:space="0" w:color="000000"/>
              <w:right w:val="single" w:sz="4" w:space="0" w:color="000000"/>
            </w:tcBorders>
          </w:tcPr>
          <w:p w14:paraId="3E1F384F" w14:textId="77777777" w:rsidR="00163A7A" w:rsidRPr="00163A7A" w:rsidRDefault="00163A7A" w:rsidP="00791989">
            <w:pPr>
              <w:pStyle w:val="TAC"/>
            </w:pPr>
            <w:r w:rsidRPr="00163A7A">
              <w:t>≤ 10</w:t>
            </w:r>
          </w:p>
        </w:tc>
        <w:tc>
          <w:tcPr>
            <w:tcW w:w="583" w:type="dxa"/>
            <w:tcBorders>
              <w:top w:val="single" w:sz="4" w:space="0" w:color="000000"/>
              <w:left w:val="single" w:sz="4" w:space="0" w:color="000000"/>
              <w:bottom w:val="single" w:sz="4" w:space="0" w:color="000000"/>
              <w:right w:val="single" w:sz="4" w:space="0" w:color="000000"/>
            </w:tcBorders>
          </w:tcPr>
          <w:p w14:paraId="4EC00518" w14:textId="77777777" w:rsidR="00163A7A" w:rsidRPr="00163A7A" w:rsidRDefault="00163A7A" w:rsidP="00791989">
            <w:pPr>
              <w:pStyle w:val="TAC"/>
            </w:pPr>
          </w:p>
        </w:tc>
      </w:tr>
      <w:tr w:rsidR="00163A7A" w:rsidRPr="00A1115A" w14:paraId="386848A3" w14:textId="77777777" w:rsidTr="00791989">
        <w:trPr>
          <w:jc w:val="center"/>
        </w:trPr>
        <w:tc>
          <w:tcPr>
            <w:tcW w:w="5649" w:type="dxa"/>
            <w:gridSpan w:val="6"/>
            <w:tcBorders>
              <w:top w:val="single" w:sz="4" w:space="0" w:color="000000"/>
              <w:left w:val="single" w:sz="4" w:space="0" w:color="000000"/>
              <w:bottom w:val="single" w:sz="4" w:space="0" w:color="000000"/>
              <w:right w:val="single" w:sz="4" w:space="0" w:color="000000"/>
            </w:tcBorders>
            <w:vAlign w:val="center"/>
          </w:tcPr>
          <w:p w14:paraId="34AA948E" w14:textId="77777777" w:rsidR="00163A7A" w:rsidRPr="00A1115A" w:rsidRDefault="00163A7A" w:rsidP="00791989">
            <w:pPr>
              <w:keepNext/>
              <w:keepLines/>
              <w:spacing w:after="0"/>
              <w:ind w:left="851" w:hanging="851"/>
              <w:rPr>
                <w:rFonts w:ascii="Arial" w:hAnsi="Arial"/>
                <w:sz w:val="18"/>
              </w:rPr>
            </w:pPr>
            <w:r w:rsidRPr="00A1115A">
              <w:rPr>
                <w:rFonts w:ascii="Arial" w:hAnsi="Arial"/>
                <w:sz w:val="18"/>
              </w:rPr>
              <w:t>NOTE 1:</w:t>
            </w:r>
            <w:r w:rsidRPr="00A1115A">
              <w:rPr>
                <w:rFonts w:ascii="Arial" w:hAnsi="Arial"/>
                <w:sz w:val="18"/>
              </w:rPr>
              <w:tab/>
              <w:t>Void</w:t>
            </w:r>
          </w:p>
          <w:p w14:paraId="0F11C968" w14:textId="77777777" w:rsidR="00163A7A" w:rsidRPr="00A1115A" w:rsidRDefault="00163A7A" w:rsidP="00791989">
            <w:pPr>
              <w:keepNext/>
              <w:keepLines/>
              <w:spacing w:after="0"/>
              <w:ind w:left="851" w:hanging="851"/>
              <w:rPr>
                <w:rFonts w:ascii="Arial" w:hAnsi="Arial"/>
                <w:sz w:val="18"/>
              </w:rPr>
            </w:pPr>
            <w:r w:rsidRPr="00A1115A">
              <w:rPr>
                <w:rFonts w:ascii="Arial" w:hAnsi="Arial"/>
                <w:sz w:val="18"/>
              </w:rPr>
              <w:t>NOTE 2:</w:t>
            </w:r>
            <w:r w:rsidRPr="00A1115A">
              <w:rPr>
                <w:rFonts w:ascii="Arial" w:hAnsi="Arial"/>
                <w:sz w:val="18"/>
              </w:rPr>
              <w:tab/>
              <w:t>Void</w:t>
            </w:r>
          </w:p>
        </w:tc>
      </w:tr>
    </w:tbl>
    <w:p w14:paraId="333EE870" w14:textId="77777777" w:rsidR="002B3E0C" w:rsidRDefault="002B3E0C" w:rsidP="00227301">
      <w:pPr>
        <w:spacing w:after="120"/>
        <w:rPr>
          <w:rFonts w:eastAsia="MS Gothic"/>
          <w:sz w:val="22"/>
          <w:szCs w:val="22"/>
          <w:lang w:eastAsia="ja-JP"/>
        </w:rPr>
      </w:pPr>
    </w:p>
    <w:p w14:paraId="571F7BA5" w14:textId="39C0FCEF" w:rsidR="00971273" w:rsidRDefault="0020219E" w:rsidP="00227301">
      <w:pPr>
        <w:spacing w:after="120"/>
        <w:rPr>
          <w:rFonts w:ascii="Arial" w:eastAsia="MS Gothic" w:hAnsi="Arial"/>
          <w:b/>
          <w:color w:val="000000"/>
          <w:kern w:val="28"/>
          <w:sz w:val="28"/>
          <w:lang w:eastAsia="ja-JP"/>
        </w:rPr>
      </w:pPr>
      <w:r>
        <w:rPr>
          <w:rFonts w:eastAsia="MS Gothic"/>
          <w:sz w:val="22"/>
          <w:szCs w:val="22"/>
          <w:lang w:eastAsia="ja-JP"/>
        </w:rPr>
        <w:t xml:space="preserve"> </w:t>
      </w:r>
      <w:r w:rsidR="00845346">
        <w:rPr>
          <w:rFonts w:ascii="Arial" w:eastAsia="MS Gothic" w:hAnsi="Arial"/>
          <w:b/>
          <w:color w:val="000000"/>
          <w:kern w:val="28"/>
          <w:sz w:val="28"/>
          <w:lang w:eastAsia="ja-JP"/>
        </w:rPr>
        <w:t>Summary</w:t>
      </w:r>
    </w:p>
    <w:p w14:paraId="046DC916" w14:textId="0855F028" w:rsidR="009E62FD" w:rsidRDefault="009E62FD" w:rsidP="00845346">
      <w:pPr>
        <w:spacing w:after="120"/>
        <w:rPr>
          <w:rFonts w:eastAsia="MS Gothic"/>
          <w:sz w:val="22"/>
          <w:szCs w:val="22"/>
          <w:lang w:eastAsia="ja-JP"/>
        </w:rPr>
      </w:pPr>
      <w:r>
        <w:rPr>
          <w:rFonts w:eastAsia="MS Gothic"/>
          <w:sz w:val="22"/>
          <w:szCs w:val="22"/>
          <w:lang w:eastAsia="ja-JP"/>
        </w:rPr>
        <w:t>There is</w:t>
      </w:r>
      <w:r>
        <w:rPr>
          <w:rFonts w:eastAsia="MS Gothic"/>
          <w:sz w:val="22"/>
          <w:szCs w:val="22"/>
          <w:lang w:eastAsia="ja-JP"/>
        </w:rPr>
        <w:t xml:space="preserve"> a </w:t>
      </w:r>
      <w:r w:rsidRPr="002A0B66">
        <w:rPr>
          <w:rFonts w:eastAsia="MS Gothic"/>
          <w:i/>
          <w:iCs/>
          <w:sz w:val="22"/>
          <w:szCs w:val="22"/>
          <w:lang w:eastAsia="ja-JP"/>
        </w:rPr>
        <w:t xml:space="preserve">fundamental problem </w:t>
      </w:r>
      <w:r>
        <w:rPr>
          <w:rFonts w:eastAsia="MS Gothic"/>
          <w:sz w:val="22"/>
          <w:szCs w:val="22"/>
          <w:lang w:eastAsia="ja-JP"/>
        </w:rPr>
        <w:t>which occurs whenever a wideband carrier is placed near the edge of a band with NS signalled additional emissions constraints</w:t>
      </w:r>
      <w:r>
        <w:rPr>
          <w:rFonts w:eastAsia="MS Gothic"/>
          <w:sz w:val="22"/>
          <w:szCs w:val="22"/>
          <w:lang w:eastAsia="ja-JP"/>
        </w:rPr>
        <w:t xml:space="preserve"> in that the resulting A-MPR can be very large.  For a given RB allocation, it is generally true that the A-MPR that is required increases with the bandwidth of the carrier in which it is contained.</w:t>
      </w:r>
    </w:p>
    <w:p w14:paraId="4487475C" w14:textId="7C9003BD" w:rsidR="009E62FD" w:rsidRDefault="00875DEE" w:rsidP="00845346">
      <w:pPr>
        <w:spacing w:after="120"/>
        <w:rPr>
          <w:rFonts w:eastAsia="MS Gothic"/>
          <w:sz w:val="22"/>
          <w:szCs w:val="22"/>
          <w:lang w:eastAsia="ja-JP"/>
        </w:rPr>
      </w:pPr>
      <w:r>
        <w:rPr>
          <w:rFonts w:eastAsia="MS Gothic"/>
          <w:sz w:val="22"/>
          <w:szCs w:val="22"/>
          <w:lang w:eastAsia="ja-JP"/>
        </w:rPr>
        <w:t>For wideband carriers</w:t>
      </w:r>
      <w:r w:rsidR="00845346">
        <w:rPr>
          <w:rFonts w:eastAsia="MS Gothic"/>
          <w:sz w:val="22"/>
          <w:szCs w:val="22"/>
          <w:lang w:eastAsia="ja-JP"/>
        </w:rPr>
        <w:t xml:space="preserve">, </w:t>
      </w:r>
      <w:r>
        <w:rPr>
          <w:rFonts w:eastAsia="MS Gothic"/>
          <w:sz w:val="22"/>
          <w:szCs w:val="22"/>
          <w:lang w:eastAsia="ja-JP"/>
        </w:rPr>
        <w:t xml:space="preserve">it is often true that </w:t>
      </w:r>
      <w:r w:rsidR="00845346">
        <w:rPr>
          <w:rFonts w:eastAsia="MS Gothic"/>
          <w:sz w:val="22"/>
          <w:szCs w:val="22"/>
          <w:lang w:eastAsia="ja-JP"/>
        </w:rPr>
        <w:t xml:space="preserve">the required uplink bandwidth is less than the required downlink bandwidth so that the uplink bandwidth requirement can be supported with a bandwidth part that is </w:t>
      </w:r>
      <w:r w:rsidR="009D09E8">
        <w:rPr>
          <w:rFonts w:eastAsia="MS Gothic"/>
          <w:sz w:val="22"/>
          <w:szCs w:val="22"/>
          <w:lang w:eastAsia="ja-JP"/>
        </w:rPr>
        <w:t>significantly</w:t>
      </w:r>
      <w:r w:rsidR="00845346">
        <w:rPr>
          <w:rFonts w:eastAsia="MS Gothic"/>
          <w:sz w:val="22"/>
          <w:szCs w:val="22"/>
          <w:lang w:eastAsia="ja-JP"/>
        </w:rPr>
        <w:t xml:space="preserve"> less than the carrier bandwidth.  </w:t>
      </w:r>
      <w:r w:rsidR="009E62FD">
        <w:rPr>
          <w:rFonts w:eastAsia="MS Gothic"/>
          <w:sz w:val="22"/>
          <w:szCs w:val="22"/>
          <w:lang w:eastAsia="ja-JP"/>
        </w:rPr>
        <w:t>If the bandwidth part is can be contained in a smaller carrier bandwidth for which A-MPR is defined, it is beneficial to consider conditions under which the A-MPR for the smaller carrier bandwidth can be applied.</w:t>
      </w:r>
      <w:r>
        <w:rPr>
          <w:rFonts w:eastAsia="MS Gothic"/>
          <w:sz w:val="22"/>
          <w:szCs w:val="22"/>
          <w:lang w:eastAsia="ja-JP"/>
        </w:rPr>
        <w:t xml:space="preserve"> If the baseband transmit filter for the smaller carrier used by the transmitter, it seems reasonable to believe that the A-MPR for the smaller carrier bandwidth can be applied.</w:t>
      </w:r>
    </w:p>
    <w:p w14:paraId="7C2D894C" w14:textId="77777777" w:rsidR="00875DEE" w:rsidRDefault="00875DEE" w:rsidP="00875DEE">
      <w:pPr>
        <w:spacing w:after="120"/>
        <w:rPr>
          <w:rFonts w:eastAsia="MS Gothic"/>
          <w:sz w:val="22"/>
          <w:szCs w:val="22"/>
          <w:lang w:eastAsia="ja-JP"/>
        </w:rPr>
      </w:pPr>
      <w:r>
        <w:rPr>
          <w:rFonts w:eastAsia="MS Gothic"/>
          <w:sz w:val="22"/>
          <w:szCs w:val="22"/>
          <w:lang w:eastAsia="ja-JP"/>
        </w:rPr>
        <w:t>The advantages of this approach are that</w:t>
      </w:r>
    </w:p>
    <w:p w14:paraId="79F92DFB" w14:textId="77777777" w:rsidR="00875DEE" w:rsidRDefault="00875DEE" w:rsidP="00875DEE">
      <w:pPr>
        <w:pStyle w:val="ListParagraph"/>
        <w:numPr>
          <w:ilvl w:val="0"/>
          <w:numId w:val="40"/>
        </w:numPr>
        <w:spacing w:after="120"/>
        <w:rPr>
          <w:rFonts w:eastAsia="MS Gothic"/>
          <w:sz w:val="22"/>
          <w:szCs w:val="22"/>
          <w:lang w:eastAsia="ja-JP"/>
        </w:rPr>
      </w:pPr>
      <w:r>
        <w:rPr>
          <w:rFonts w:eastAsia="MS Gothic"/>
          <w:sz w:val="22"/>
          <w:szCs w:val="22"/>
          <w:lang w:eastAsia="ja-JP"/>
        </w:rPr>
        <w:t>It can dramatically reduce A-MPR for RB allocations near either edge of the wideband carrier</w:t>
      </w:r>
    </w:p>
    <w:p w14:paraId="6765DC4F" w14:textId="77777777" w:rsidR="00875DEE" w:rsidRDefault="00875DEE" w:rsidP="00875DEE">
      <w:pPr>
        <w:pStyle w:val="ListParagraph"/>
        <w:numPr>
          <w:ilvl w:val="0"/>
          <w:numId w:val="40"/>
        </w:numPr>
        <w:spacing w:after="120"/>
        <w:rPr>
          <w:rFonts w:eastAsia="MS Gothic"/>
          <w:sz w:val="22"/>
          <w:szCs w:val="22"/>
          <w:lang w:eastAsia="ja-JP"/>
        </w:rPr>
      </w:pPr>
      <w:r>
        <w:rPr>
          <w:rFonts w:eastAsia="MS Gothic"/>
          <w:sz w:val="22"/>
          <w:szCs w:val="22"/>
          <w:lang w:eastAsia="ja-JP"/>
        </w:rPr>
        <w:t>It can use existing the existing A-MPR tables</w:t>
      </w:r>
    </w:p>
    <w:p w14:paraId="49C1B2B7" w14:textId="77777777" w:rsidR="00875DEE" w:rsidRPr="003F6083" w:rsidRDefault="00875DEE" w:rsidP="00875DEE">
      <w:pPr>
        <w:pStyle w:val="ListParagraph"/>
        <w:numPr>
          <w:ilvl w:val="0"/>
          <w:numId w:val="40"/>
        </w:numPr>
        <w:spacing w:after="120"/>
        <w:rPr>
          <w:rFonts w:eastAsia="MS Gothic"/>
          <w:sz w:val="22"/>
          <w:szCs w:val="22"/>
          <w:lang w:eastAsia="ja-JP"/>
        </w:rPr>
      </w:pPr>
      <w:r>
        <w:rPr>
          <w:rFonts w:eastAsia="MS Gothic"/>
          <w:sz w:val="22"/>
          <w:szCs w:val="22"/>
          <w:lang w:eastAsia="ja-JP"/>
        </w:rPr>
        <w:t>It can be applied for any band.</w:t>
      </w:r>
    </w:p>
    <w:p w14:paraId="26F20587" w14:textId="77777777" w:rsidR="00875DEE" w:rsidRDefault="00875DEE" w:rsidP="00875DEE">
      <w:pPr>
        <w:spacing w:after="120"/>
        <w:rPr>
          <w:rFonts w:eastAsia="MS Gothic"/>
          <w:sz w:val="22"/>
          <w:szCs w:val="22"/>
          <w:lang w:eastAsia="ja-JP"/>
        </w:rPr>
      </w:pPr>
      <w:r>
        <w:rPr>
          <w:rFonts w:eastAsia="MS Gothic"/>
          <w:sz w:val="22"/>
          <w:szCs w:val="22"/>
          <w:lang w:eastAsia="ja-JP"/>
        </w:rPr>
        <w:t>Based on these observations, we have the following proposal:</w:t>
      </w:r>
    </w:p>
    <w:p w14:paraId="2DCAC6DD" w14:textId="77777777" w:rsidR="00875DEE" w:rsidRPr="0027583A" w:rsidRDefault="00875DEE" w:rsidP="00875DEE">
      <w:pPr>
        <w:tabs>
          <w:tab w:val="left" w:pos="1620"/>
        </w:tabs>
        <w:spacing w:after="120"/>
        <w:ind w:left="1440" w:hanging="1440"/>
        <w:rPr>
          <w:rFonts w:eastAsia="MS Gothic"/>
          <w:sz w:val="22"/>
          <w:szCs w:val="22"/>
          <w:lang w:eastAsia="ja-JP"/>
        </w:rPr>
      </w:pPr>
      <w:r w:rsidRPr="0027583A">
        <w:rPr>
          <w:rFonts w:eastAsia="MS Gothic"/>
          <w:b/>
          <w:bCs/>
          <w:sz w:val="22"/>
          <w:szCs w:val="22"/>
          <w:lang w:eastAsia="ja-JP"/>
        </w:rPr>
        <w:t>Proposal:</w:t>
      </w:r>
      <w:r>
        <w:rPr>
          <w:rFonts w:eastAsia="MS Gothic"/>
          <w:b/>
          <w:bCs/>
          <w:sz w:val="22"/>
          <w:szCs w:val="22"/>
          <w:lang w:eastAsia="ja-JP"/>
        </w:rPr>
        <w:t xml:space="preserve">  </w:t>
      </w:r>
      <w:r>
        <w:rPr>
          <w:rFonts w:eastAsia="MS Gothic"/>
          <w:b/>
          <w:bCs/>
          <w:sz w:val="22"/>
          <w:szCs w:val="22"/>
          <w:lang w:eastAsia="ja-JP"/>
        </w:rPr>
        <w:tab/>
      </w:r>
      <w:r>
        <w:rPr>
          <w:rFonts w:eastAsia="MS Gothic"/>
          <w:sz w:val="22"/>
          <w:szCs w:val="22"/>
          <w:lang w:eastAsia="ja-JP"/>
        </w:rPr>
        <w:t>In order to reduce the A-MPR for wideband carriers at the edge of bands with additional emissions requirements, consider studying the definition of A-MPR for bandwidth parts contained within carriers smaller than the full carrier bandwidth.</w:t>
      </w:r>
    </w:p>
    <w:p w14:paraId="78B86D40" w14:textId="77777777" w:rsidR="00546A86" w:rsidRDefault="00546A86"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p>
    <w:p w14:paraId="6D52598D" w14:textId="38964A98" w:rsidR="004A388F" w:rsidRPr="004A388F" w:rsidRDefault="004A388F"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bookmarkEnd w:id="1"/>
    <w:p w14:paraId="5C906840" w14:textId="20452528" w:rsidR="00AE6594" w:rsidRDefault="00845346" w:rsidP="00C226F6">
      <w:pPr>
        <w:numPr>
          <w:ilvl w:val="0"/>
          <w:numId w:val="21"/>
        </w:numPr>
        <w:spacing w:after="0"/>
        <w:rPr>
          <w:rFonts w:eastAsia="MS Gothic"/>
          <w:sz w:val="22"/>
          <w:szCs w:val="22"/>
          <w:lang w:eastAsia="ja-JP"/>
        </w:rPr>
      </w:pPr>
      <w:r>
        <w:rPr>
          <w:rFonts w:eastAsia="MS Gothic"/>
          <w:sz w:val="22"/>
          <w:szCs w:val="22"/>
          <w:lang w:eastAsia="ja-JP"/>
        </w:rPr>
        <w:t>TS 38.101-1</w:t>
      </w:r>
      <w:r w:rsidR="00EA3E64">
        <w:rPr>
          <w:rFonts w:eastAsia="MS Gothic"/>
          <w:sz w:val="22"/>
          <w:szCs w:val="22"/>
          <w:lang w:eastAsia="ja-JP"/>
        </w:rPr>
        <w:t xml:space="preserve">, </w:t>
      </w:r>
      <w:r w:rsidR="002227BB">
        <w:rPr>
          <w:rFonts w:eastAsia="MS Gothic"/>
          <w:sz w:val="22"/>
          <w:szCs w:val="22"/>
          <w:lang w:eastAsia="ja-JP"/>
        </w:rPr>
        <w:t>“</w:t>
      </w:r>
      <w:r w:rsidRPr="00845346">
        <w:rPr>
          <w:rFonts w:eastAsia="MS Gothic"/>
          <w:sz w:val="22"/>
          <w:szCs w:val="22"/>
          <w:lang w:eastAsia="ja-JP"/>
        </w:rPr>
        <w:t>NR; User Equipment (UE) radio transmission and reception; Part 1: Range 1 Standalone</w:t>
      </w:r>
      <w:r w:rsidR="002227BB">
        <w:rPr>
          <w:rFonts w:eastAsia="MS Gothic"/>
          <w:sz w:val="22"/>
          <w:szCs w:val="22"/>
          <w:lang w:eastAsia="ja-JP"/>
        </w:rPr>
        <w:t>,”</w:t>
      </w:r>
      <w:r w:rsidR="00EA3E64" w:rsidRPr="00EA3E64">
        <w:rPr>
          <w:rFonts w:eastAsia="MS Gothic"/>
          <w:sz w:val="22"/>
          <w:szCs w:val="22"/>
          <w:lang w:eastAsia="ja-JP"/>
        </w:rPr>
        <w:t xml:space="preserve"> </w:t>
      </w:r>
      <w:r>
        <w:rPr>
          <w:rFonts w:eastAsia="MS Gothic"/>
          <w:sz w:val="22"/>
          <w:szCs w:val="22"/>
          <w:lang w:eastAsia="ja-JP"/>
        </w:rPr>
        <w:t>v17.3.0</w:t>
      </w:r>
      <w:r w:rsidR="00541A89">
        <w:rPr>
          <w:rFonts w:eastAsia="MS Gothic"/>
          <w:sz w:val="22"/>
          <w:szCs w:val="22"/>
          <w:lang w:eastAsia="ja-JP"/>
        </w:rPr>
        <w:t>.</w:t>
      </w:r>
    </w:p>
    <w:p w14:paraId="17AF3BD0" w14:textId="43069A30" w:rsidR="00546A86" w:rsidRPr="00C226F6" w:rsidRDefault="00546A86" w:rsidP="00C226F6">
      <w:pPr>
        <w:numPr>
          <w:ilvl w:val="0"/>
          <w:numId w:val="21"/>
        </w:numPr>
        <w:spacing w:after="0"/>
        <w:rPr>
          <w:rFonts w:eastAsia="MS Gothic"/>
          <w:sz w:val="22"/>
          <w:szCs w:val="22"/>
          <w:lang w:eastAsia="ja-JP"/>
        </w:rPr>
      </w:pPr>
      <w:r>
        <w:rPr>
          <w:rFonts w:eastAsia="MS Gothic"/>
          <w:sz w:val="22"/>
          <w:szCs w:val="22"/>
          <w:lang w:eastAsia="ja-JP"/>
        </w:rPr>
        <w:t>R4-2202008</w:t>
      </w:r>
      <w:r w:rsidR="00480DDE">
        <w:rPr>
          <w:rFonts w:eastAsia="MS Gothic"/>
          <w:sz w:val="22"/>
          <w:szCs w:val="22"/>
          <w:lang w:eastAsia="ja-JP"/>
        </w:rPr>
        <w:t>, “</w:t>
      </w:r>
      <w:r w:rsidR="00480DDE" w:rsidRPr="00480DDE">
        <w:rPr>
          <w:rFonts w:eastAsia="MS Gothic"/>
          <w:sz w:val="22"/>
          <w:szCs w:val="22"/>
          <w:lang w:eastAsia="ja-JP"/>
        </w:rPr>
        <w:t>A-MPR for Bandwidth Parts</w:t>
      </w:r>
      <w:r w:rsidR="00480DDE">
        <w:rPr>
          <w:rFonts w:eastAsia="MS Gothic"/>
          <w:sz w:val="22"/>
          <w:szCs w:val="22"/>
          <w:lang w:eastAsia="ja-JP"/>
        </w:rPr>
        <w:t xml:space="preserve">,” Lenovo, Motorola Mobility, </w:t>
      </w:r>
      <w:r w:rsidR="00962902">
        <w:rPr>
          <w:rFonts w:eastAsia="MS Gothic"/>
          <w:bCs/>
          <w:sz w:val="22"/>
          <w:szCs w:val="22"/>
          <w:lang w:eastAsia="ja-JP"/>
        </w:rPr>
        <w:t>3GPP TSG-RAN WG4 Meeting #101-</w:t>
      </w:r>
      <w:r w:rsidR="00962902">
        <w:rPr>
          <w:rFonts w:eastAsia="MS Gothic"/>
          <w:bCs/>
          <w:sz w:val="22"/>
          <w:szCs w:val="22"/>
          <w:lang w:eastAsia="ja-JP"/>
        </w:rPr>
        <w:t>bis-e.</w:t>
      </w:r>
    </w:p>
    <w:sectPr w:rsidR="00546A86" w:rsidRPr="00C226F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4BBE99" w14:textId="77777777" w:rsidR="00941C35" w:rsidRDefault="00941C35" w:rsidP="00E84719">
      <w:pPr>
        <w:spacing w:after="0"/>
      </w:pPr>
      <w:r>
        <w:separator/>
      </w:r>
    </w:p>
  </w:endnote>
  <w:endnote w:type="continuationSeparator" w:id="0">
    <w:p w14:paraId="2BB5A454" w14:textId="77777777" w:rsidR="00941C35" w:rsidRDefault="00941C35"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ADC3D9" w14:textId="77777777" w:rsidR="00941C35" w:rsidRDefault="00941C35" w:rsidP="00E84719">
      <w:pPr>
        <w:spacing w:after="0"/>
      </w:pPr>
      <w:r>
        <w:separator/>
      </w:r>
    </w:p>
  </w:footnote>
  <w:footnote w:type="continuationSeparator" w:id="0">
    <w:p w14:paraId="54B0738A" w14:textId="77777777" w:rsidR="00941C35" w:rsidRDefault="00941C35"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C615DC"/>
    <w:multiLevelType w:val="hybridMultilevel"/>
    <w:tmpl w:val="8D047B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43FA3"/>
    <w:multiLevelType w:val="hybridMultilevel"/>
    <w:tmpl w:val="0D5E0A18"/>
    <w:lvl w:ilvl="0" w:tplc="D3D647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895F76"/>
    <w:multiLevelType w:val="hybridMultilevel"/>
    <w:tmpl w:val="9178216C"/>
    <w:lvl w:ilvl="0" w:tplc="F53A763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872FC4"/>
    <w:multiLevelType w:val="hybridMultilevel"/>
    <w:tmpl w:val="86CA7376"/>
    <w:lvl w:ilvl="0" w:tplc="B74EABE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C50350"/>
    <w:multiLevelType w:val="hybridMultilevel"/>
    <w:tmpl w:val="905CADE6"/>
    <w:lvl w:ilvl="0" w:tplc="A99C64B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AC2435"/>
    <w:multiLevelType w:val="hybridMultilevel"/>
    <w:tmpl w:val="A5D6B632"/>
    <w:lvl w:ilvl="0" w:tplc="1DF246C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B108A2"/>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2B34DE"/>
    <w:multiLevelType w:val="hybridMultilevel"/>
    <w:tmpl w:val="3D10E83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DB32FF"/>
    <w:multiLevelType w:val="hybridMultilevel"/>
    <w:tmpl w:val="DA767B6A"/>
    <w:lvl w:ilvl="0" w:tplc="F6BC3BE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9BA1FAE"/>
    <w:multiLevelType w:val="hybridMultilevel"/>
    <w:tmpl w:val="DA581A26"/>
    <w:lvl w:ilvl="0" w:tplc="43A8EB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4102EF9"/>
    <w:multiLevelType w:val="hybridMultilevel"/>
    <w:tmpl w:val="7FE60B90"/>
    <w:lvl w:ilvl="0" w:tplc="337C69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C96AB5"/>
    <w:multiLevelType w:val="hybridMultilevel"/>
    <w:tmpl w:val="178CCD50"/>
    <w:lvl w:ilvl="0" w:tplc="61F682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3B2D99"/>
    <w:multiLevelType w:val="hybridMultilevel"/>
    <w:tmpl w:val="905CADE6"/>
    <w:lvl w:ilvl="0" w:tplc="A99C64B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6A91D1C"/>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6"/>
  </w:num>
  <w:num w:numId="3">
    <w:abstractNumId w:val="6"/>
  </w:num>
  <w:num w:numId="4">
    <w:abstractNumId w:val="26"/>
  </w:num>
  <w:num w:numId="5">
    <w:abstractNumId w:val="19"/>
  </w:num>
  <w:num w:numId="6">
    <w:abstractNumId w:val="34"/>
  </w:num>
  <w:num w:numId="7">
    <w:abstractNumId w:val="37"/>
  </w:num>
  <w:num w:numId="8">
    <w:abstractNumId w:val="38"/>
  </w:num>
  <w:num w:numId="9">
    <w:abstractNumId w:val="16"/>
  </w:num>
  <w:num w:numId="10">
    <w:abstractNumId w:val="7"/>
  </w:num>
  <w:num w:numId="11">
    <w:abstractNumId w:val="22"/>
  </w:num>
  <w:num w:numId="12">
    <w:abstractNumId w:val="24"/>
  </w:num>
  <w:num w:numId="13">
    <w:abstractNumId w:val="17"/>
  </w:num>
  <w:num w:numId="14">
    <w:abstractNumId w:val="32"/>
  </w:num>
  <w:num w:numId="15">
    <w:abstractNumId w:val="0"/>
  </w:num>
  <w:num w:numId="16">
    <w:abstractNumId w:val="3"/>
  </w:num>
  <w:num w:numId="17">
    <w:abstractNumId w:val="8"/>
  </w:num>
  <w:num w:numId="18">
    <w:abstractNumId w:val="30"/>
  </w:num>
  <w:num w:numId="19">
    <w:abstractNumId w:val="18"/>
  </w:num>
  <w:num w:numId="20">
    <w:abstractNumId w:val="33"/>
  </w:num>
  <w:num w:numId="21">
    <w:abstractNumId w:val="11"/>
  </w:num>
  <w:num w:numId="22">
    <w:abstractNumId w:val="39"/>
  </w:num>
  <w:num w:numId="23">
    <w:abstractNumId w:val="9"/>
  </w:num>
  <w:num w:numId="24">
    <w:abstractNumId w:val="23"/>
  </w:num>
  <w:num w:numId="25">
    <w:abstractNumId w:val="1"/>
  </w:num>
  <w:num w:numId="26">
    <w:abstractNumId w:val="35"/>
  </w:num>
  <w:num w:numId="27">
    <w:abstractNumId w:val="28"/>
  </w:num>
  <w:num w:numId="28">
    <w:abstractNumId w:val="20"/>
  </w:num>
  <w:num w:numId="29">
    <w:abstractNumId w:val="4"/>
  </w:num>
  <w:num w:numId="30">
    <w:abstractNumId w:val="31"/>
  </w:num>
  <w:num w:numId="31">
    <w:abstractNumId w:val="25"/>
  </w:num>
  <w:num w:numId="32">
    <w:abstractNumId w:val="27"/>
  </w:num>
  <w:num w:numId="33">
    <w:abstractNumId w:val="15"/>
  </w:num>
  <w:num w:numId="34">
    <w:abstractNumId w:val="5"/>
  </w:num>
  <w:num w:numId="35">
    <w:abstractNumId w:val="21"/>
  </w:num>
  <w:num w:numId="36">
    <w:abstractNumId w:val="13"/>
  </w:num>
  <w:num w:numId="37">
    <w:abstractNumId w:val="10"/>
  </w:num>
  <w:num w:numId="38">
    <w:abstractNumId w:val="2"/>
  </w:num>
  <w:num w:numId="39">
    <w:abstractNumId w:val="12"/>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C27"/>
    <w:rsid w:val="000007F1"/>
    <w:rsid w:val="00001433"/>
    <w:rsid w:val="000014B3"/>
    <w:rsid w:val="00001F3C"/>
    <w:rsid w:val="00002A23"/>
    <w:rsid w:val="0000686C"/>
    <w:rsid w:val="00006C15"/>
    <w:rsid w:val="0000749C"/>
    <w:rsid w:val="00012165"/>
    <w:rsid w:val="000125F9"/>
    <w:rsid w:val="000136FC"/>
    <w:rsid w:val="00014186"/>
    <w:rsid w:val="00021194"/>
    <w:rsid w:val="0002185F"/>
    <w:rsid w:val="00021A64"/>
    <w:rsid w:val="00021FFF"/>
    <w:rsid w:val="000226DC"/>
    <w:rsid w:val="000231C2"/>
    <w:rsid w:val="0002322E"/>
    <w:rsid w:val="00026CF8"/>
    <w:rsid w:val="00030909"/>
    <w:rsid w:val="000379B4"/>
    <w:rsid w:val="0004036E"/>
    <w:rsid w:val="00042837"/>
    <w:rsid w:val="00045781"/>
    <w:rsid w:val="00046109"/>
    <w:rsid w:val="00047997"/>
    <w:rsid w:val="00050C01"/>
    <w:rsid w:val="0005505B"/>
    <w:rsid w:val="000553B9"/>
    <w:rsid w:val="000553C5"/>
    <w:rsid w:val="00056D23"/>
    <w:rsid w:val="0005765C"/>
    <w:rsid w:val="000602E4"/>
    <w:rsid w:val="00063327"/>
    <w:rsid w:val="00064205"/>
    <w:rsid w:val="000701D5"/>
    <w:rsid w:val="00073F23"/>
    <w:rsid w:val="00073FF9"/>
    <w:rsid w:val="00074435"/>
    <w:rsid w:val="000758A8"/>
    <w:rsid w:val="000765E4"/>
    <w:rsid w:val="00076673"/>
    <w:rsid w:val="00080B43"/>
    <w:rsid w:val="0008162C"/>
    <w:rsid w:val="00081653"/>
    <w:rsid w:val="00082753"/>
    <w:rsid w:val="00091EE7"/>
    <w:rsid w:val="00092A71"/>
    <w:rsid w:val="000A16AB"/>
    <w:rsid w:val="000A3434"/>
    <w:rsid w:val="000A48C8"/>
    <w:rsid w:val="000B0B7D"/>
    <w:rsid w:val="000B0D6C"/>
    <w:rsid w:val="000B3DCB"/>
    <w:rsid w:val="000B43A3"/>
    <w:rsid w:val="000B4DAC"/>
    <w:rsid w:val="000B51EE"/>
    <w:rsid w:val="000B5732"/>
    <w:rsid w:val="000B5BC4"/>
    <w:rsid w:val="000B7A8C"/>
    <w:rsid w:val="000C2463"/>
    <w:rsid w:val="000C2A03"/>
    <w:rsid w:val="000C338B"/>
    <w:rsid w:val="000D38C6"/>
    <w:rsid w:val="000D5266"/>
    <w:rsid w:val="000D6E08"/>
    <w:rsid w:val="000E1D80"/>
    <w:rsid w:val="000E2832"/>
    <w:rsid w:val="000E2B60"/>
    <w:rsid w:val="000E310C"/>
    <w:rsid w:val="000E407D"/>
    <w:rsid w:val="000E630B"/>
    <w:rsid w:val="000E65D1"/>
    <w:rsid w:val="000E7F4C"/>
    <w:rsid w:val="000F0857"/>
    <w:rsid w:val="000F0A0F"/>
    <w:rsid w:val="000F16BA"/>
    <w:rsid w:val="000F33FA"/>
    <w:rsid w:val="000F3EAB"/>
    <w:rsid w:val="000F6853"/>
    <w:rsid w:val="000F68D8"/>
    <w:rsid w:val="000F7DFE"/>
    <w:rsid w:val="001001C7"/>
    <w:rsid w:val="0010066B"/>
    <w:rsid w:val="00100CA7"/>
    <w:rsid w:val="00101997"/>
    <w:rsid w:val="001033BE"/>
    <w:rsid w:val="00103B05"/>
    <w:rsid w:val="00103E2C"/>
    <w:rsid w:val="00104731"/>
    <w:rsid w:val="001047AD"/>
    <w:rsid w:val="00106ABA"/>
    <w:rsid w:val="00107529"/>
    <w:rsid w:val="00107B4B"/>
    <w:rsid w:val="00110095"/>
    <w:rsid w:val="001108D8"/>
    <w:rsid w:val="00111477"/>
    <w:rsid w:val="0011303B"/>
    <w:rsid w:val="00113735"/>
    <w:rsid w:val="00114E18"/>
    <w:rsid w:val="001204FC"/>
    <w:rsid w:val="00121D08"/>
    <w:rsid w:val="001222B7"/>
    <w:rsid w:val="00124A53"/>
    <w:rsid w:val="0012546A"/>
    <w:rsid w:val="00127028"/>
    <w:rsid w:val="00132EF0"/>
    <w:rsid w:val="001339E6"/>
    <w:rsid w:val="001342B0"/>
    <w:rsid w:val="001358FC"/>
    <w:rsid w:val="00137A84"/>
    <w:rsid w:val="001401CA"/>
    <w:rsid w:val="001422C3"/>
    <w:rsid w:val="00142B21"/>
    <w:rsid w:val="00143EE8"/>
    <w:rsid w:val="00152696"/>
    <w:rsid w:val="00152FE6"/>
    <w:rsid w:val="00160806"/>
    <w:rsid w:val="00160D5A"/>
    <w:rsid w:val="001619A8"/>
    <w:rsid w:val="0016369E"/>
    <w:rsid w:val="00163A7A"/>
    <w:rsid w:val="00163FB6"/>
    <w:rsid w:val="001641E9"/>
    <w:rsid w:val="001648E9"/>
    <w:rsid w:val="001672DF"/>
    <w:rsid w:val="0017089E"/>
    <w:rsid w:val="00172267"/>
    <w:rsid w:val="0017265F"/>
    <w:rsid w:val="001736AB"/>
    <w:rsid w:val="00181C73"/>
    <w:rsid w:val="00183180"/>
    <w:rsid w:val="001832A8"/>
    <w:rsid w:val="00183613"/>
    <w:rsid w:val="00183A87"/>
    <w:rsid w:val="00186200"/>
    <w:rsid w:val="00191CE3"/>
    <w:rsid w:val="00193C09"/>
    <w:rsid w:val="001A1961"/>
    <w:rsid w:val="001A21C9"/>
    <w:rsid w:val="001A2A7E"/>
    <w:rsid w:val="001A3FB8"/>
    <w:rsid w:val="001A44E0"/>
    <w:rsid w:val="001B243E"/>
    <w:rsid w:val="001B2889"/>
    <w:rsid w:val="001B42CE"/>
    <w:rsid w:val="001B6C92"/>
    <w:rsid w:val="001C4873"/>
    <w:rsid w:val="001C6A31"/>
    <w:rsid w:val="001C73FB"/>
    <w:rsid w:val="001C780A"/>
    <w:rsid w:val="001D28FA"/>
    <w:rsid w:val="001D3A26"/>
    <w:rsid w:val="001D3C01"/>
    <w:rsid w:val="001E146B"/>
    <w:rsid w:val="001E20AE"/>
    <w:rsid w:val="001E2713"/>
    <w:rsid w:val="001E410F"/>
    <w:rsid w:val="001E65EF"/>
    <w:rsid w:val="001F1D07"/>
    <w:rsid w:val="001F216F"/>
    <w:rsid w:val="001F7F08"/>
    <w:rsid w:val="0020219E"/>
    <w:rsid w:val="00202901"/>
    <w:rsid w:val="00202AB7"/>
    <w:rsid w:val="00204C27"/>
    <w:rsid w:val="00205573"/>
    <w:rsid w:val="002143D7"/>
    <w:rsid w:val="002159A2"/>
    <w:rsid w:val="0021634B"/>
    <w:rsid w:val="00222437"/>
    <w:rsid w:val="002227BB"/>
    <w:rsid w:val="00223C89"/>
    <w:rsid w:val="00224FA5"/>
    <w:rsid w:val="002259BC"/>
    <w:rsid w:val="0022635F"/>
    <w:rsid w:val="00226C9E"/>
    <w:rsid w:val="00226EDE"/>
    <w:rsid w:val="00227301"/>
    <w:rsid w:val="00234996"/>
    <w:rsid w:val="002443F1"/>
    <w:rsid w:val="002445B7"/>
    <w:rsid w:val="0024472C"/>
    <w:rsid w:val="00250A04"/>
    <w:rsid w:val="00250C5C"/>
    <w:rsid w:val="0025155E"/>
    <w:rsid w:val="00253916"/>
    <w:rsid w:val="00253A4A"/>
    <w:rsid w:val="0025498A"/>
    <w:rsid w:val="00255D1F"/>
    <w:rsid w:val="00255EEF"/>
    <w:rsid w:val="002564C5"/>
    <w:rsid w:val="00257724"/>
    <w:rsid w:val="00260B0D"/>
    <w:rsid w:val="0026111B"/>
    <w:rsid w:val="0026193B"/>
    <w:rsid w:val="00261FEA"/>
    <w:rsid w:val="0026313D"/>
    <w:rsid w:val="002633CE"/>
    <w:rsid w:val="00263538"/>
    <w:rsid w:val="00265A24"/>
    <w:rsid w:val="00266997"/>
    <w:rsid w:val="002672EE"/>
    <w:rsid w:val="002702AF"/>
    <w:rsid w:val="00271E0B"/>
    <w:rsid w:val="00272DED"/>
    <w:rsid w:val="00273609"/>
    <w:rsid w:val="002737D2"/>
    <w:rsid w:val="0027382E"/>
    <w:rsid w:val="00274CFF"/>
    <w:rsid w:val="0027583A"/>
    <w:rsid w:val="00276107"/>
    <w:rsid w:val="002805D8"/>
    <w:rsid w:val="00280999"/>
    <w:rsid w:val="00281757"/>
    <w:rsid w:val="00283DC3"/>
    <w:rsid w:val="00285BF4"/>
    <w:rsid w:val="00285CB8"/>
    <w:rsid w:val="00285EFF"/>
    <w:rsid w:val="00286A37"/>
    <w:rsid w:val="002873E9"/>
    <w:rsid w:val="00287B13"/>
    <w:rsid w:val="00290783"/>
    <w:rsid w:val="00292B8D"/>
    <w:rsid w:val="00292BB0"/>
    <w:rsid w:val="00293F6D"/>
    <w:rsid w:val="0029412B"/>
    <w:rsid w:val="002953F8"/>
    <w:rsid w:val="00295504"/>
    <w:rsid w:val="002963A9"/>
    <w:rsid w:val="002A0349"/>
    <w:rsid w:val="002A0B66"/>
    <w:rsid w:val="002A0E78"/>
    <w:rsid w:val="002A43F6"/>
    <w:rsid w:val="002A535C"/>
    <w:rsid w:val="002A552E"/>
    <w:rsid w:val="002A5B0F"/>
    <w:rsid w:val="002A7715"/>
    <w:rsid w:val="002B2B3A"/>
    <w:rsid w:val="002B3E0C"/>
    <w:rsid w:val="002B3FFC"/>
    <w:rsid w:val="002B4B30"/>
    <w:rsid w:val="002B68DF"/>
    <w:rsid w:val="002B76DE"/>
    <w:rsid w:val="002C22AC"/>
    <w:rsid w:val="002C4A32"/>
    <w:rsid w:val="002C5B83"/>
    <w:rsid w:val="002C6249"/>
    <w:rsid w:val="002C6AEA"/>
    <w:rsid w:val="002D172D"/>
    <w:rsid w:val="002D2084"/>
    <w:rsid w:val="002D263E"/>
    <w:rsid w:val="002D2D9D"/>
    <w:rsid w:val="002D2F0B"/>
    <w:rsid w:val="002D409D"/>
    <w:rsid w:val="002E1207"/>
    <w:rsid w:val="002E1CEB"/>
    <w:rsid w:val="002E5DA8"/>
    <w:rsid w:val="002E5FCC"/>
    <w:rsid w:val="002E6A7F"/>
    <w:rsid w:val="002F0215"/>
    <w:rsid w:val="002F543D"/>
    <w:rsid w:val="002F6D47"/>
    <w:rsid w:val="002F7D6A"/>
    <w:rsid w:val="003017A1"/>
    <w:rsid w:val="0030363A"/>
    <w:rsid w:val="0030380B"/>
    <w:rsid w:val="00303CFC"/>
    <w:rsid w:val="00307243"/>
    <w:rsid w:val="003078DE"/>
    <w:rsid w:val="00310F8A"/>
    <w:rsid w:val="00311BF7"/>
    <w:rsid w:val="003148A3"/>
    <w:rsid w:val="00315933"/>
    <w:rsid w:val="003221A9"/>
    <w:rsid w:val="0032242D"/>
    <w:rsid w:val="003224DA"/>
    <w:rsid w:val="003307E5"/>
    <w:rsid w:val="0033094F"/>
    <w:rsid w:val="00330E17"/>
    <w:rsid w:val="00335515"/>
    <w:rsid w:val="00336FB6"/>
    <w:rsid w:val="003374FC"/>
    <w:rsid w:val="0034607B"/>
    <w:rsid w:val="00346172"/>
    <w:rsid w:val="00346E12"/>
    <w:rsid w:val="0034735E"/>
    <w:rsid w:val="003526D9"/>
    <w:rsid w:val="003558DA"/>
    <w:rsid w:val="00356D22"/>
    <w:rsid w:val="00362A69"/>
    <w:rsid w:val="00366655"/>
    <w:rsid w:val="0037162B"/>
    <w:rsid w:val="00372242"/>
    <w:rsid w:val="00372F30"/>
    <w:rsid w:val="003733DF"/>
    <w:rsid w:val="00373C91"/>
    <w:rsid w:val="00374089"/>
    <w:rsid w:val="00374458"/>
    <w:rsid w:val="00376B73"/>
    <w:rsid w:val="00380E20"/>
    <w:rsid w:val="003818E0"/>
    <w:rsid w:val="00382556"/>
    <w:rsid w:val="00382FA3"/>
    <w:rsid w:val="00384834"/>
    <w:rsid w:val="00385AE9"/>
    <w:rsid w:val="003865C4"/>
    <w:rsid w:val="00386A73"/>
    <w:rsid w:val="00390410"/>
    <w:rsid w:val="00390E6C"/>
    <w:rsid w:val="0039229F"/>
    <w:rsid w:val="003924EB"/>
    <w:rsid w:val="003928B4"/>
    <w:rsid w:val="00392D5C"/>
    <w:rsid w:val="00392F71"/>
    <w:rsid w:val="003934DD"/>
    <w:rsid w:val="00393D6B"/>
    <w:rsid w:val="00394390"/>
    <w:rsid w:val="00395F12"/>
    <w:rsid w:val="00396235"/>
    <w:rsid w:val="003A1507"/>
    <w:rsid w:val="003A3E1D"/>
    <w:rsid w:val="003A4FE8"/>
    <w:rsid w:val="003A5909"/>
    <w:rsid w:val="003A766D"/>
    <w:rsid w:val="003B19E5"/>
    <w:rsid w:val="003B328B"/>
    <w:rsid w:val="003B380A"/>
    <w:rsid w:val="003B401B"/>
    <w:rsid w:val="003B532C"/>
    <w:rsid w:val="003B65CA"/>
    <w:rsid w:val="003B6E1E"/>
    <w:rsid w:val="003B72A8"/>
    <w:rsid w:val="003C07A3"/>
    <w:rsid w:val="003C1AA2"/>
    <w:rsid w:val="003C3130"/>
    <w:rsid w:val="003C3407"/>
    <w:rsid w:val="003C627D"/>
    <w:rsid w:val="003C69D5"/>
    <w:rsid w:val="003C711D"/>
    <w:rsid w:val="003D1F2B"/>
    <w:rsid w:val="003D27A0"/>
    <w:rsid w:val="003D2BD4"/>
    <w:rsid w:val="003D2EC6"/>
    <w:rsid w:val="003D3836"/>
    <w:rsid w:val="003D451C"/>
    <w:rsid w:val="003D4DB6"/>
    <w:rsid w:val="003D4E80"/>
    <w:rsid w:val="003D6393"/>
    <w:rsid w:val="003D6856"/>
    <w:rsid w:val="003E1699"/>
    <w:rsid w:val="003E2567"/>
    <w:rsid w:val="003E4B7A"/>
    <w:rsid w:val="003E6EB0"/>
    <w:rsid w:val="003F0484"/>
    <w:rsid w:val="003F134F"/>
    <w:rsid w:val="003F36CB"/>
    <w:rsid w:val="003F5BC4"/>
    <w:rsid w:val="003F6083"/>
    <w:rsid w:val="003F6B42"/>
    <w:rsid w:val="003F7C53"/>
    <w:rsid w:val="00402BAF"/>
    <w:rsid w:val="0040417A"/>
    <w:rsid w:val="004056E2"/>
    <w:rsid w:val="00405C72"/>
    <w:rsid w:val="0040735B"/>
    <w:rsid w:val="004132B4"/>
    <w:rsid w:val="00414A36"/>
    <w:rsid w:val="00415B7B"/>
    <w:rsid w:val="00416D37"/>
    <w:rsid w:val="00417CAD"/>
    <w:rsid w:val="004203AA"/>
    <w:rsid w:val="0042528F"/>
    <w:rsid w:val="00427EB7"/>
    <w:rsid w:val="00430D8D"/>
    <w:rsid w:val="00432290"/>
    <w:rsid w:val="004416D6"/>
    <w:rsid w:val="004419D2"/>
    <w:rsid w:val="00441AA9"/>
    <w:rsid w:val="00441D6D"/>
    <w:rsid w:val="00441DA9"/>
    <w:rsid w:val="004432BF"/>
    <w:rsid w:val="00446AF9"/>
    <w:rsid w:val="00450025"/>
    <w:rsid w:val="004509D7"/>
    <w:rsid w:val="004512D6"/>
    <w:rsid w:val="004558F2"/>
    <w:rsid w:val="00456003"/>
    <w:rsid w:val="0046013D"/>
    <w:rsid w:val="00461975"/>
    <w:rsid w:val="00461C8C"/>
    <w:rsid w:val="004640D9"/>
    <w:rsid w:val="004646D9"/>
    <w:rsid w:val="00464F13"/>
    <w:rsid w:val="00465614"/>
    <w:rsid w:val="00467F7B"/>
    <w:rsid w:val="004700FA"/>
    <w:rsid w:val="0047044B"/>
    <w:rsid w:val="00470C7B"/>
    <w:rsid w:val="00470F8A"/>
    <w:rsid w:val="00472A79"/>
    <w:rsid w:val="004746B6"/>
    <w:rsid w:val="00475C81"/>
    <w:rsid w:val="00476389"/>
    <w:rsid w:val="00476E2F"/>
    <w:rsid w:val="00480AE2"/>
    <w:rsid w:val="00480DDE"/>
    <w:rsid w:val="004810F6"/>
    <w:rsid w:val="004872D2"/>
    <w:rsid w:val="00487EF2"/>
    <w:rsid w:val="00490E74"/>
    <w:rsid w:val="004921B5"/>
    <w:rsid w:val="00497F48"/>
    <w:rsid w:val="004A097E"/>
    <w:rsid w:val="004A0CE7"/>
    <w:rsid w:val="004A2C6E"/>
    <w:rsid w:val="004A388F"/>
    <w:rsid w:val="004B26A6"/>
    <w:rsid w:val="004B3608"/>
    <w:rsid w:val="004B37A2"/>
    <w:rsid w:val="004B3B7B"/>
    <w:rsid w:val="004B4F4D"/>
    <w:rsid w:val="004B5B02"/>
    <w:rsid w:val="004C30B7"/>
    <w:rsid w:val="004C39C7"/>
    <w:rsid w:val="004D0871"/>
    <w:rsid w:val="004D12A2"/>
    <w:rsid w:val="004D1351"/>
    <w:rsid w:val="004D1759"/>
    <w:rsid w:val="004D3938"/>
    <w:rsid w:val="004D40A2"/>
    <w:rsid w:val="004D6F21"/>
    <w:rsid w:val="004D7125"/>
    <w:rsid w:val="004E115C"/>
    <w:rsid w:val="004E2731"/>
    <w:rsid w:val="004E7D3D"/>
    <w:rsid w:val="004F051D"/>
    <w:rsid w:val="004F0830"/>
    <w:rsid w:val="004F225F"/>
    <w:rsid w:val="004F4697"/>
    <w:rsid w:val="004F5CDA"/>
    <w:rsid w:val="004F5FE6"/>
    <w:rsid w:val="004F75CD"/>
    <w:rsid w:val="004F77EC"/>
    <w:rsid w:val="004F7B3B"/>
    <w:rsid w:val="00500062"/>
    <w:rsid w:val="0050040B"/>
    <w:rsid w:val="00502076"/>
    <w:rsid w:val="00502CAA"/>
    <w:rsid w:val="0050364D"/>
    <w:rsid w:val="00503704"/>
    <w:rsid w:val="00505E60"/>
    <w:rsid w:val="00507B25"/>
    <w:rsid w:val="00511485"/>
    <w:rsid w:val="00513B7F"/>
    <w:rsid w:val="00513D20"/>
    <w:rsid w:val="00515765"/>
    <w:rsid w:val="00515CD3"/>
    <w:rsid w:val="00515E47"/>
    <w:rsid w:val="00516764"/>
    <w:rsid w:val="00520EC2"/>
    <w:rsid w:val="00521820"/>
    <w:rsid w:val="005225B2"/>
    <w:rsid w:val="0052615B"/>
    <w:rsid w:val="00526329"/>
    <w:rsid w:val="0052662A"/>
    <w:rsid w:val="00530CBA"/>
    <w:rsid w:val="00535AF4"/>
    <w:rsid w:val="00536A2B"/>
    <w:rsid w:val="00540264"/>
    <w:rsid w:val="00541A89"/>
    <w:rsid w:val="005422EE"/>
    <w:rsid w:val="00544C43"/>
    <w:rsid w:val="00545385"/>
    <w:rsid w:val="00545B45"/>
    <w:rsid w:val="00546309"/>
    <w:rsid w:val="0054669F"/>
    <w:rsid w:val="00546A86"/>
    <w:rsid w:val="00547915"/>
    <w:rsid w:val="005500F8"/>
    <w:rsid w:val="0055055F"/>
    <w:rsid w:val="00551B4A"/>
    <w:rsid w:val="00552299"/>
    <w:rsid w:val="00553A34"/>
    <w:rsid w:val="00554950"/>
    <w:rsid w:val="00556633"/>
    <w:rsid w:val="005605F7"/>
    <w:rsid w:val="0056076B"/>
    <w:rsid w:val="00561414"/>
    <w:rsid w:val="00562339"/>
    <w:rsid w:val="005647D1"/>
    <w:rsid w:val="0056522C"/>
    <w:rsid w:val="00570A8F"/>
    <w:rsid w:val="00571529"/>
    <w:rsid w:val="00571C94"/>
    <w:rsid w:val="00571EE9"/>
    <w:rsid w:val="005722DC"/>
    <w:rsid w:val="00572D14"/>
    <w:rsid w:val="00573915"/>
    <w:rsid w:val="00573E33"/>
    <w:rsid w:val="00573E55"/>
    <w:rsid w:val="005753E6"/>
    <w:rsid w:val="00575E63"/>
    <w:rsid w:val="005774A7"/>
    <w:rsid w:val="005813C1"/>
    <w:rsid w:val="0058179E"/>
    <w:rsid w:val="00581CD4"/>
    <w:rsid w:val="005825EA"/>
    <w:rsid w:val="00583430"/>
    <w:rsid w:val="00587D54"/>
    <w:rsid w:val="00587F47"/>
    <w:rsid w:val="00590691"/>
    <w:rsid w:val="00592468"/>
    <w:rsid w:val="00592678"/>
    <w:rsid w:val="005938A0"/>
    <w:rsid w:val="005941C8"/>
    <w:rsid w:val="0059435E"/>
    <w:rsid w:val="00595E65"/>
    <w:rsid w:val="0059611B"/>
    <w:rsid w:val="00596FC4"/>
    <w:rsid w:val="005A10EE"/>
    <w:rsid w:val="005A3243"/>
    <w:rsid w:val="005A42F5"/>
    <w:rsid w:val="005A4E38"/>
    <w:rsid w:val="005A7756"/>
    <w:rsid w:val="005B014B"/>
    <w:rsid w:val="005B1A79"/>
    <w:rsid w:val="005B2AF4"/>
    <w:rsid w:val="005B4ACF"/>
    <w:rsid w:val="005B53EB"/>
    <w:rsid w:val="005B6E5E"/>
    <w:rsid w:val="005C267B"/>
    <w:rsid w:val="005C2FF1"/>
    <w:rsid w:val="005C33BE"/>
    <w:rsid w:val="005C7DF9"/>
    <w:rsid w:val="005D0D04"/>
    <w:rsid w:val="005D174B"/>
    <w:rsid w:val="005D1A85"/>
    <w:rsid w:val="005D344F"/>
    <w:rsid w:val="005D34BE"/>
    <w:rsid w:val="005D6B75"/>
    <w:rsid w:val="005D7256"/>
    <w:rsid w:val="005E190A"/>
    <w:rsid w:val="005E31BD"/>
    <w:rsid w:val="005E5C81"/>
    <w:rsid w:val="005E66A5"/>
    <w:rsid w:val="005E6BA7"/>
    <w:rsid w:val="005E6D26"/>
    <w:rsid w:val="005F03ED"/>
    <w:rsid w:val="005F0A27"/>
    <w:rsid w:val="005F1BFA"/>
    <w:rsid w:val="005F2AB1"/>
    <w:rsid w:val="005F45B6"/>
    <w:rsid w:val="005F5AAA"/>
    <w:rsid w:val="005F6F3A"/>
    <w:rsid w:val="00600E27"/>
    <w:rsid w:val="00601777"/>
    <w:rsid w:val="00602B1D"/>
    <w:rsid w:val="00606D9D"/>
    <w:rsid w:val="00607106"/>
    <w:rsid w:val="00607A00"/>
    <w:rsid w:val="0061261E"/>
    <w:rsid w:val="00612914"/>
    <w:rsid w:val="00612E84"/>
    <w:rsid w:val="006143FD"/>
    <w:rsid w:val="006150CF"/>
    <w:rsid w:val="006150F6"/>
    <w:rsid w:val="00615A54"/>
    <w:rsid w:val="00616C24"/>
    <w:rsid w:val="006210BA"/>
    <w:rsid w:val="00623149"/>
    <w:rsid w:val="00626158"/>
    <w:rsid w:val="006270F6"/>
    <w:rsid w:val="006315B7"/>
    <w:rsid w:val="00631EE5"/>
    <w:rsid w:val="00634C5D"/>
    <w:rsid w:val="00635D2B"/>
    <w:rsid w:val="006362BE"/>
    <w:rsid w:val="006408DB"/>
    <w:rsid w:val="0064173C"/>
    <w:rsid w:val="00644A34"/>
    <w:rsid w:val="00645964"/>
    <w:rsid w:val="006500E1"/>
    <w:rsid w:val="0066130A"/>
    <w:rsid w:val="00661FB2"/>
    <w:rsid w:val="00666A12"/>
    <w:rsid w:val="00671085"/>
    <w:rsid w:val="00671861"/>
    <w:rsid w:val="00671CE6"/>
    <w:rsid w:val="0067281E"/>
    <w:rsid w:val="00674F24"/>
    <w:rsid w:val="0068172B"/>
    <w:rsid w:val="00681E7D"/>
    <w:rsid w:val="00684D34"/>
    <w:rsid w:val="006850A3"/>
    <w:rsid w:val="00685921"/>
    <w:rsid w:val="00690025"/>
    <w:rsid w:val="006903CB"/>
    <w:rsid w:val="00690B14"/>
    <w:rsid w:val="0069112C"/>
    <w:rsid w:val="00692125"/>
    <w:rsid w:val="00693131"/>
    <w:rsid w:val="00693632"/>
    <w:rsid w:val="006938A1"/>
    <w:rsid w:val="00693B3C"/>
    <w:rsid w:val="0069428A"/>
    <w:rsid w:val="00695418"/>
    <w:rsid w:val="00696758"/>
    <w:rsid w:val="00696DFF"/>
    <w:rsid w:val="006A061F"/>
    <w:rsid w:val="006A17B3"/>
    <w:rsid w:val="006A476D"/>
    <w:rsid w:val="006A5E17"/>
    <w:rsid w:val="006B0DD4"/>
    <w:rsid w:val="006B39A9"/>
    <w:rsid w:val="006B4E6A"/>
    <w:rsid w:val="006B62A3"/>
    <w:rsid w:val="006C0465"/>
    <w:rsid w:val="006C2972"/>
    <w:rsid w:val="006C618D"/>
    <w:rsid w:val="006D1CA1"/>
    <w:rsid w:val="006D1D05"/>
    <w:rsid w:val="006D210A"/>
    <w:rsid w:val="006D3424"/>
    <w:rsid w:val="006D3AD5"/>
    <w:rsid w:val="006D3FB5"/>
    <w:rsid w:val="006D7A53"/>
    <w:rsid w:val="006E0155"/>
    <w:rsid w:val="006E131E"/>
    <w:rsid w:val="006E626A"/>
    <w:rsid w:val="006E64AD"/>
    <w:rsid w:val="006E6940"/>
    <w:rsid w:val="006F13A0"/>
    <w:rsid w:val="006F44D9"/>
    <w:rsid w:val="006F6C65"/>
    <w:rsid w:val="00702D60"/>
    <w:rsid w:val="0070414A"/>
    <w:rsid w:val="0070691E"/>
    <w:rsid w:val="007077BC"/>
    <w:rsid w:val="00707AB3"/>
    <w:rsid w:val="007107A7"/>
    <w:rsid w:val="0071147F"/>
    <w:rsid w:val="00711CEA"/>
    <w:rsid w:val="00716362"/>
    <w:rsid w:val="007203F8"/>
    <w:rsid w:val="00721D94"/>
    <w:rsid w:val="00722383"/>
    <w:rsid w:val="007228D8"/>
    <w:rsid w:val="0072395E"/>
    <w:rsid w:val="00730EB4"/>
    <w:rsid w:val="0073134B"/>
    <w:rsid w:val="00731812"/>
    <w:rsid w:val="00733D82"/>
    <w:rsid w:val="007341C6"/>
    <w:rsid w:val="0073425E"/>
    <w:rsid w:val="007409D2"/>
    <w:rsid w:val="00740E8F"/>
    <w:rsid w:val="00742579"/>
    <w:rsid w:val="007431B9"/>
    <w:rsid w:val="007434CF"/>
    <w:rsid w:val="007441D0"/>
    <w:rsid w:val="0074436C"/>
    <w:rsid w:val="00744A16"/>
    <w:rsid w:val="00745830"/>
    <w:rsid w:val="007465FA"/>
    <w:rsid w:val="00750231"/>
    <w:rsid w:val="007563DB"/>
    <w:rsid w:val="0076117C"/>
    <w:rsid w:val="00761312"/>
    <w:rsid w:val="00761668"/>
    <w:rsid w:val="00761E19"/>
    <w:rsid w:val="00764682"/>
    <w:rsid w:val="00764BE3"/>
    <w:rsid w:val="0076530E"/>
    <w:rsid w:val="0076583C"/>
    <w:rsid w:val="00772036"/>
    <w:rsid w:val="00772076"/>
    <w:rsid w:val="00772A7E"/>
    <w:rsid w:val="00772EC6"/>
    <w:rsid w:val="00773C81"/>
    <w:rsid w:val="00774618"/>
    <w:rsid w:val="00774938"/>
    <w:rsid w:val="00774BE5"/>
    <w:rsid w:val="00775D58"/>
    <w:rsid w:val="0077695C"/>
    <w:rsid w:val="0077695E"/>
    <w:rsid w:val="00777483"/>
    <w:rsid w:val="00777536"/>
    <w:rsid w:val="007808AD"/>
    <w:rsid w:val="0078183C"/>
    <w:rsid w:val="00781BBB"/>
    <w:rsid w:val="007842BD"/>
    <w:rsid w:val="0078485A"/>
    <w:rsid w:val="00784D1E"/>
    <w:rsid w:val="0078579B"/>
    <w:rsid w:val="00787EBF"/>
    <w:rsid w:val="007900E3"/>
    <w:rsid w:val="00790723"/>
    <w:rsid w:val="00795299"/>
    <w:rsid w:val="00796DAC"/>
    <w:rsid w:val="00797404"/>
    <w:rsid w:val="007A06E1"/>
    <w:rsid w:val="007A17F2"/>
    <w:rsid w:val="007A1901"/>
    <w:rsid w:val="007A44B8"/>
    <w:rsid w:val="007B01C2"/>
    <w:rsid w:val="007B0A4A"/>
    <w:rsid w:val="007B1D15"/>
    <w:rsid w:val="007B4DCF"/>
    <w:rsid w:val="007B7391"/>
    <w:rsid w:val="007C027D"/>
    <w:rsid w:val="007C0F85"/>
    <w:rsid w:val="007C2A41"/>
    <w:rsid w:val="007C30DD"/>
    <w:rsid w:val="007C3812"/>
    <w:rsid w:val="007C4F86"/>
    <w:rsid w:val="007C7961"/>
    <w:rsid w:val="007D054F"/>
    <w:rsid w:val="007D1F65"/>
    <w:rsid w:val="007D2E96"/>
    <w:rsid w:val="007D332E"/>
    <w:rsid w:val="007D3BB9"/>
    <w:rsid w:val="007D4A13"/>
    <w:rsid w:val="007E051B"/>
    <w:rsid w:val="007E0D29"/>
    <w:rsid w:val="007E2519"/>
    <w:rsid w:val="007E3A57"/>
    <w:rsid w:val="007E504D"/>
    <w:rsid w:val="007E5480"/>
    <w:rsid w:val="007E5985"/>
    <w:rsid w:val="007E5A42"/>
    <w:rsid w:val="007E5AE9"/>
    <w:rsid w:val="007E5BAE"/>
    <w:rsid w:val="007E5D1F"/>
    <w:rsid w:val="007E6BD1"/>
    <w:rsid w:val="007E7F6F"/>
    <w:rsid w:val="007F067F"/>
    <w:rsid w:val="007F39D3"/>
    <w:rsid w:val="007F52BC"/>
    <w:rsid w:val="007F729C"/>
    <w:rsid w:val="008009D6"/>
    <w:rsid w:val="008012EE"/>
    <w:rsid w:val="00801FB4"/>
    <w:rsid w:val="008055F7"/>
    <w:rsid w:val="00807D21"/>
    <w:rsid w:val="00810FB8"/>
    <w:rsid w:val="008129DC"/>
    <w:rsid w:val="00812EF7"/>
    <w:rsid w:val="00815DCA"/>
    <w:rsid w:val="008162DE"/>
    <w:rsid w:val="0082070B"/>
    <w:rsid w:val="0082107B"/>
    <w:rsid w:val="00826443"/>
    <w:rsid w:val="00832726"/>
    <w:rsid w:val="00832CEC"/>
    <w:rsid w:val="00834138"/>
    <w:rsid w:val="00834166"/>
    <w:rsid w:val="0083434D"/>
    <w:rsid w:val="00834BCD"/>
    <w:rsid w:val="0083597D"/>
    <w:rsid w:val="008361E8"/>
    <w:rsid w:val="00837501"/>
    <w:rsid w:val="00845346"/>
    <w:rsid w:val="00845669"/>
    <w:rsid w:val="0084638E"/>
    <w:rsid w:val="00847137"/>
    <w:rsid w:val="00851B45"/>
    <w:rsid w:val="008529ED"/>
    <w:rsid w:val="00853E10"/>
    <w:rsid w:val="008544F4"/>
    <w:rsid w:val="008552CA"/>
    <w:rsid w:val="00857B45"/>
    <w:rsid w:val="008623A3"/>
    <w:rsid w:val="00862DA1"/>
    <w:rsid w:val="00863274"/>
    <w:rsid w:val="00864A48"/>
    <w:rsid w:val="00865261"/>
    <w:rsid w:val="00872B67"/>
    <w:rsid w:val="008734C8"/>
    <w:rsid w:val="00874FC1"/>
    <w:rsid w:val="00875DEE"/>
    <w:rsid w:val="00880F97"/>
    <w:rsid w:val="00882F91"/>
    <w:rsid w:val="00883284"/>
    <w:rsid w:val="00883437"/>
    <w:rsid w:val="00883A95"/>
    <w:rsid w:val="0088784C"/>
    <w:rsid w:val="00890362"/>
    <w:rsid w:val="00890801"/>
    <w:rsid w:val="00891499"/>
    <w:rsid w:val="00891D57"/>
    <w:rsid w:val="008947C2"/>
    <w:rsid w:val="00895939"/>
    <w:rsid w:val="00895B24"/>
    <w:rsid w:val="00896488"/>
    <w:rsid w:val="00897992"/>
    <w:rsid w:val="008A1F89"/>
    <w:rsid w:val="008A46AF"/>
    <w:rsid w:val="008A58F0"/>
    <w:rsid w:val="008A5A67"/>
    <w:rsid w:val="008A6EE9"/>
    <w:rsid w:val="008B0A45"/>
    <w:rsid w:val="008B5869"/>
    <w:rsid w:val="008B60C5"/>
    <w:rsid w:val="008B6269"/>
    <w:rsid w:val="008B7C1E"/>
    <w:rsid w:val="008C0D93"/>
    <w:rsid w:val="008C1792"/>
    <w:rsid w:val="008C238B"/>
    <w:rsid w:val="008C2C9C"/>
    <w:rsid w:val="008C5561"/>
    <w:rsid w:val="008D1ADF"/>
    <w:rsid w:val="008D3A5A"/>
    <w:rsid w:val="008D406F"/>
    <w:rsid w:val="008D60F5"/>
    <w:rsid w:val="008E0961"/>
    <w:rsid w:val="008E1F63"/>
    <w:rsid w:val="008E236F"/>
    <w:rsid w:val="008E478E"/>
    <w:rsid w:val="008E55CA"/>
    <w:rsid w:val="008E63BC"/>
    <w:rsid w:val="008F012A"/>
    <w:rsid w:val="008F106F"/>
    <w:rsid w:val="008F5AFD"/>
    <w:rsid w:val="008F6050"/>
    <w:rsid w:val="008F7238"/>
    <w:rsid w:val="008F7CB6"/>
    <w:rsid w:val="00900C6E"/>
    <w:rsid w:val="00901D06"/>
    <w:rsid w:val="00902C80"/>
    <w:rsid w:val="00906DAE"/>
    <w:rsid w:val="00906E14"/>
    <w:rsid w:val="009129D6"/>
    <w:rsid w:val="009169F6"/>
    <w:rsid w:val="00922AE3"/>
    <w:rsid w:val="009231E4"/>
    <w:rsid w:val="009241DB"/>
    <w:rsid w:val="00924B8A"/>
    <w:rsid w:val="009316FE"/>
    <w:rsid w:val="00933CFF"/>
    <w:rsid w:val="00940B5B"/>
    <w:rsid w:val="00941C35"/>
    <w:rsid w:val="00945AEA"/>
    <w:rsid w:val="00946724"/>
    <w:rsid w:val="00947154"/>
    <w:rsid w:val="009473ED"/>
    <w:rsid w:val="009533A5"/>
    <w:rsid w:val="009559F5"/>
    <w:rsid w:val="009578BC"/>
    <w:rsid w:val="009613E6"/>
    <w:rsid w:val="0096193C"/>
    <w:rsid w:val="00961FEC"/>
    <w:rsid w:val="009621B2"/>
    <w:rsid w:val="00962722"/>
    <w:rsid w:val="00962902"/>
    <w:rsid w:val="00962A51"/>
    <w:rsid w:val="0096379B"/>
    <w:rsid w:val="009639CB"/>
    <w:rsid w:val="00971273"/>
    <w:rsid w:val="009726E7"/>
    <w:rsid w:val="009728C5"/>
    <w:rsid w:val="00972935"/>
    <w:rsid w:val="00972B29"/>
    <w:rsid w:val="009752CF"/>
    <w:rsid w:val="00980B3C"/>
    <w:rsid w:val="009817DB"/>
    <w:rsid w:val="00984620"/>
    <w:rsid w:val="00985E9B"/>
    <w:rsid w:val="00987C0E"/>
    <w:rsid w:val="00987DE1"/>
    <w:rsid w:val="009906C2"/>
    <w:rsid w:val="00990CFD"/>
    <w:rsid w:val="00991DDC"/>
    <w:rsid w:val="009952C8"/>
    <w:rsid w:val="00995690"/>
    <w:rsid w:val="0099690A"/>
    <w:rsid w:val="00996A3F"/>
    <w:rsid w:val="009A36B0"/>
    <w:rsid w:val="009A376C"/>
    <w:rsid w:val="009A5B54"/>
    <w:rsid w:val="009A7E0A"/>
    <w:rsid w:val="009B0668"/>
    <w:rsid w:val="009B1F16"/>
    <w:rsid w:val="009B648D"/>
    <w:rsid w:val="009B6661"/>
    <w:rsid w:val="009C1817"/>
    <w:rsid w:val="009C1E7F"/>
    <w:rsid w:val="009C24A6"/>
    <w:rsid w:val="009C417C"/>
    <w:rsid w:val="009C5CF0"/>
    <w:rsid w:val="009D09E8"/>
    <w:rsid w:val="009D1159"/>
    <w:rsid w:val="009D1471"/>
    <w:rsid w:val="009D1A99"/>
    <w:rsid w:val="009D3181"/>
    <w:rsid w:val="009D3C39"/>
    <w:rsid w:val="009D577D"/>
    <w:rsid w:val="009D7CFE"/>
    <w:rsid w:val="009E046C"/>
    <w:rsid w:val="009E2ABD"/>
    <w:rsid w:val="009E5E3E"/>
    <w:rsid w:val="009E61BC"/>
    <w:rsid w:val="009E62FD"/>
    <w:rsid w:val="009E6F4F"/>
    <w:rsid w:val="009E7C90"/>
    <w:rsid w:val="009F08C9"/>
    <w:rsid w:val="009F0F79"/>
    <w:rsid w:val="009F3B9F"/>
    <w:rsid w:val="009F3DF7"/>
    <w:rsid w:val="009F4404"/>
    <w:rsid w:val="009F5864"/>
    <w:rsid w:val="009F74BB"/>
    <w:rsid w:val="009F77ED"/>
    <w:rsid w:val="00A00DED"/>
    <w:rsid w:val="00A04BE2"/>
    <w:rsid w:val="00A0571E"/>
    <w:rsid w:val="00A1070B"/>
    <w:rsid w:val="00A10D86"/>
    <w:rsid w:val="00A11E38"/>
    <w:rsid w:val="00A1206B"/>
    <w:rsid w:val="00A126F6"/>
    <w:rsid w:val="00A1293E"/>
    <w:rsid w:val="00A204DF"/>
    <w:rsid w:val="00A20B9E"/>
    <w:rsid w:val="00A227E4"/>
    <w:rsid w:val="00A22AB8"/>
    <w:rsid w:val="00A238BC"/>
    <w:rsid w:val="00A25FEC"/>
    <w:rsid w:val="00A317F2"/>
    <w:rsid w:val="00A35D8C"/>
    <w:rsid w:val="00A35FF9"/>
    <w:rsid w:val="00A360BD"/>
    <w:rsid w:val="00A371F7"/>
    <w:rsid w:val="00A378AB"/>
    <w:rsid w:val="00A40627"/>
    <w:rsid w:val="00A445FE"/>
    <w:rsid w:val="00A45528"/>
    <w:rsid w:val="00A4705F"/>
    <w:rsid w:val="00A50C5F"/>
    <w:rsid w:val="00A53EBB"/>
    <w:rsid w:val="00A54142"/>
    <w:rsid w:val="00A55130"/>
    <w:rsid w:val="00A55179"/>
    <w:rsid w:val="00A558E7"/>
    <w:rsid w:val="00A563D0"/>
    <w:rsid w:val="00A5752E"/>
    <w:rsid w:val="00A617D1"/>
    <w:rsid w:val="00A62073"/>
    <w:rsid w:val="00A64555"/>
    <w:rsid w:val="00A650B9"/>
    <w:rsid w:val="00A65926"/>
    <w:rsid w:val="00A70CAB"/>
    <w:rsid w:val="00A70E93"/>
    <w:rsid w:val="00A721F9"/>
    <w:rsid w:val="00A73CC4"/>
    <w:rsid w:val="00A75BCA"/>
    <w:rsid w:val="00A76288"/>
    <w:rsid w:val="00A76535"/>
    <w:rsid w:val="00A76DC1"/>
    <w:rsid w:val="00A83AF0"/>
    <w:rsid w:val="00A85240"/>
    <w:rsid w:val="00A86873"/>
    <w:rsid w:val="00A86E41"/>
    <w:rsid w:val="00A9257F"/>
    <w:rsid w:val="00A92C9A"/>
    <w:rsid w:val="00A94447"/>
    <w:rsid w:val="00A94A8D"/>
    <w:rsid w:val="00A94ACC"/>
    <w:rsid w:val="00A96B75"/>
    <w:rsid w:val="00A9707D"/>
    <w:rsid w:val="00A970B1"/>
    <w:rsid w:val="00AA1418"/>
    <w:rsid w:val="00AA2F08"/>
    <w:rsid w:val="00AA5D28"/>
    <w:rsid w:val="00AA6062"/>
    <w:rsid w:val="00AA6745"/>
    <w:rsid w:val="00AA6E02"/>
    <w:rsid w:val="00AA7DD0"/>
    <w:rsid w:val="00AB07D8"/>
    <w:rsid w:val="00AB1DD6"/>
    <w:rsid w:val="00AB3D6A"/>
    <w:rsid w:val="00AB3E54"/>
    <w:rsid w:val="00AB553A"/>
    <w:rsid w:val="00AB6F80"/>
    <w:rsid w:val="00AC146D"/>
    <w:rsid w:val="00AC38E8"/>
    <w:rsid w:val="00AC3F5A"/>
    <w:rsid w:val="00AC7102"/>
    <w:rsid w:val="00AD709D"/>
    <w:rsid w:val="00AD72D0"/>
    <w:rsid w:val="00AD7327"/>
    <w:rsid w:val="00AE0C14"/>
    <w:rsid w:val="00AE0E40"/>
    <w:rsid w:val="00AE12B7"/>
    <w:rsid w:val="00AE2CF1"/>
    <w:rsid w:val="00AE3610"/>
    <w:rsid w:val="00AE3A12"/>
    <w:rsid w:val="00AE6594"/>
    <w:rsid w:val="00AF0BC3"/>
    <w:rsid w:val="00AF149A"/>
    <w:rsid w:val="00AF3383"/>
    <w:rsid w:val="00AF5768"/>
    <w:rsid w:val="00AF6645"/>
    <w:rsid w:val="00AF6B14"/>
    <w:rsid w:val="00AF7A25"/>
    <w:rsid w:val="00B00B9A"/>
    <w:rsid w:val="00B05406"/>
    <w:rsid w:val="00B07A71"/>
    <w:rsid w:val="00B07F47"/>
    <w:rsid w:val="00B1011C"/>
    <w:rsid w:val="00B11729"/>
    <w:rsid w:val="00B120F3"/>
    <w:rsid w:val="00B146B8"/>
    <w:rsid w:val="00B14F83"/>
    <w:rsid w:val="00B163F5"/>
    <w:rsid w:val="00B176BA"/>
    <w:rsid w:val="00B177AF"/>
    <w:rsid w:val="00B21B1A"/>
    <w:rsid w:val="00B244D2"/>
    <w:rsid w:val="00B24C40"/>
    <w:rsid w:val="00B2504C"/>
    <w:rsid w:val="00B25A86"/>
    <w:rsid w:val="00B26447"/>
    <w:rsid w:val="00B26AB3"/>
    <w:rsid w:val="00B26B6E"/>
    <w:rsid w:val="00B3199A"/>
    <w:rsid w:val="00B3309C"/>
    <w:rsid w:val="00B34C56"/>
    <w:rsid w:val="00B35193"/>
    <w:rsid w:val="00B4154C"/>
    <w:rsid w:val="00B45B98"/>
    <w:rsid w:val="00B46F72"/>
    <w:rsid w:val="00B47796"/>
    <w:rsid w:val="00B47B28"/>
    <w:rsid w:val="00B517D3"/>
    <w:rsid w:val="00B5500E"/>
    <w:rsid w:val="00B552C4"/>
    <w:rsid w:val="00B55486"/>
    <w:rsid w:val="00B5772B"/>
    <w:rsid w:val="00B5775D"/>
    <w:rsid w:val="00B6146C"/>
    <w:rsid w:val="00B66E32"/>
    <w:rsid w:val="00B741A5"/>
    <w:rsid w:val="00B7485A"/>
    <w:rsid w:val="00B766E4"/>
    <w:rsid w:val="00B844F8"/>
    <w:rsid w:val="00B84AFC"/>
    <w:rsid w:val="00B8682E"/>
    <w:rsid w:val="00B86F07"/>
    <w:rsid w:val="00B873B7"/>
    <w:rsid w:val="00B9415A"/>
    <w:rsid w:val="00B94E55"/>
    <w:rsid w:val="00BA0C2A"/>
    <w:rsid w:val="00BA396C"/>
    <w:rsid w:val="00BA450E"/>
    <w:rsid w:val="00BB1AF7"/>
    <w:rsid w:val="00BB1FCE"/>
    <w:rsid w:val="00BB2A27"/>
    <w:rsid w:val="00BB429F"/>
    <w:rsid w:val="00BC0BCC"/>
    <w:rsid w:val="00BC339B"/>
    <w:rsid w:val="00BC6608"/>
    <w:rsid w:val="00BC6BC9"/>
    <w:rsid w:val="00BD00E2"/>
    <w:rsid w:val="00BD1B2F"/>
    <w:rsid w:val="00BD6109"/>
    <w:rsid w:val="00BD6A89"/>
    <w:rsid w:val="00BE410E"/>
    <w:rsid w:val="00BE6C20"/>
    <w:rsid w:val="00BF08C1"/>
    <w:rsid w:val="00BF0AE5"/>
    <w:rsid w:val="00BF3C14"/>
    <w:rsid w:val="00BF5B6C"/>
    <w:rsid w:val="00BF703C"/>
    <w:rsid w:val="00C033C0"/>
    <w:rsid w:val="00C07521"/>
    <w:rsid w:val="00C121D0"/>
    <w:rsid w:val="00C124E8"/>
    <w:rsid w:val="00C12C87"/>
    <w:rsid w:val="00C140E5"/>
    <w:rsid w:val="00C15DBC"/>
    <w:rsid w:val="00C172BE"/>
    <w:rsid w:val="00C173A1"/>
    <w:rsid w:val="00C2042E"/>
    <w:rsid w:val="00C226C0"/>
    <w:rsid w:val="00C226F6"/>
    <w:rsid w:val="00C22F4B"/>
    <w:rsid w:val="00C2481A"/>
    <w:rsid w:val="00C276B9"/>
    <w:rsid w:val="00C27FC9"/>
    <w:rsid w:val="00C30B02"/>
    <w:rsid w:val="00C31219"/>
    <w:rsid w:val="00C34435"/>
    <w:rsid w:val="00C35A63"/>
    <w:rsid w:val="00C42A76"/>
    <w:rsid w:val="00C42D07"/>
    <w:rsid w:val="00C46EF9"/>
    <w:rsid w:val="00C46F8B"/>
    <w:rsid w:val="00C5524B"/>
    <w:rsid w:val="00C6107E"/>
    <w:rsid w:val="00C61799"/>
    <w:rsid w:val="00C62B0A"/>
    <w:rsid w:val="00C640DA"/>
    <w:rsid w:val="00C644B7"/>
    <w:rsid w:val="00C6461B"/>
    <w:rsid w:val="00C655CC"/>
    <w:rsid w:val="00C666AC"/>
    <w:rsid w:val="00C669BD"/>
    <w:rsid w:val="00C66D6B"/>
    <w:rsid w:val="00C67FEB"/>
    <w:rsid w:val="00C71612"/>
    <w:rsid w:val="00C717CB"/>
    <w:rsid w:val="00C7184D"/>
    <w:rsid w:val="00C77226"/>
    <w:rsid w:val="00C77A81"/>
    <w:rsid w:val="00C80CB3"/>
    <w:rsid w:val="00C828F6"/>
    <w:rsid w:val="00C83488"/>
    <w:rsid w:val="00C84CD9"/>
    <w:rsid w:val="00C864CD"/>
    <w:rsid w:val="00C933AE"/>
    <w:rsid w:val="00C93D4C"/>
    <w:rsid w:val="00C943D1"/>
    <w:rsid w:val="00CA26DC"/>
    <w:rsid w:val="00CB1BBE"/>
    <w:rsid w:val="00CB416F"/>
    <w:rsid w:val="00CB56EA"/>
    <w:rsid w:val="00CC0CB0"/>
    <w:rsid w:val="00CC5DB1"/>
    <w:rsid w:val="00CC766F"/>
    <w:rsid w:val="00CD0E7C"/>
    <w:rsid w:val="00CD3611"/>
    <w:rsid w:val="00CD4C2D"/>
    <w:rsid w:val="00CD5BB3"/>
    <w:rsid w:val="00CD7A9F"/>
    <w:rsid w:val="00CE0FDC"/>
    <w:rsid w:val="00CE2C01"/>
    <w:rsid w:val="00CE7D97"/>
    <w:rsid w:val="00CF40CD"/>
    <w:rsid w:val="00CF430E"/>
    <w:rsid w:val="00CF4B36"/>
    <w:rsid w:val="00CF652E"/>
    <w:rsid w:val="00D00908"/>
    <w:rsid w:val="00D05210"/>
    <w:rsid w:val="00D105C2"/>
    <w:rsid w:val="00D1122A"/>
    <w:rsid w:val="00D116EE"/>
    <w:rsid w:val="00D12FE7"/>
    <w:rsid w:val="00D139BA"/>
    <w:rsid w:val="00D14B39"/>
    <w:rsid w:val="00D16DD7"/>
    <w:rsid w:val="00D16F22"/>
    <w:rsid w:val="00D20728"/>
    <w:rsid w:val="00D22C65"/>
    <w:rsid w:val="00D22F32"/>
    <w:rsid w:val="00D2654D"/>
    <w:rsid w:val="00D2740C"/>
    <w:rsid w:val="00D30F1D"/>
    <w:rsid w:val="00D31AB7"/>
    <w:rsid w:val="00D34363"/>
    <w:rsid w:val="00D406C9"/>
    <w:rsid w:val="00D40E8D"/>
    <w:rsid w:val="00D419DF"/>
    <w:rsid w:val="00D437A0"/>
    <w:rsid w:val="00D46555"/>
    <w:rsid w:val="00D46696"/>
    <w:rsid w:val="00D479A5"/>
    <w:rsid w:val="00D51181"/>
    <w:rsid w:val="00D5209F"/>
    <w:rsid w:val="00D53DA0"/>
    <w:rsid w:val="00D5436B"/>
    <w:rsid w:val="00D54B8D"/>
    <w:rsid w:val="00D568F2"/>
    <w:rsid w:val="00D630E4"/>
    <w:rsid w:val="00D639FC"/>
    <w:rsid w:val="00D63E5C"/>
    <w:rsid w:val="00D70313"/>
    <w:rsid w:val="00D715EB"/>
    <w:rsid w:val="00D71FBD"/>
    <w:rsid w:val="00D72392"/>
    <w:rsid w:val="00D7463D"/>
    <w:rsid w:val="00D74921"/>
    <w:rsid w:val="00D74C42"/>
    <w:rsid w:val="00D74D0B"/>
    <w:rsid w:val="00D76A76"/>
    <w:rsid w:val="00D80A44"/>
    <w:rsid w:val="00D817B7"/>
    <w:rsid w:val="00D82E30"/>
    <w:rsid w:val="00D908A0"/>
    <w:rsid w:val="00D933CF"/>
    <w:rsid w:val="00DA00D3"/>
    <w:rsid w:val="00DA180A"/>
    <w:rsid w:val="00DA408B"/>
    <w:rsid w:val="00DA448C"/>
    <w:rsid w:val="00DA4682"/>
    <w:rsid w:val="00DA55B1"/>
    <w:rsid w:val="00DB12F8"/>
    <w:rsid w:val="00DB2809"/>
    <w:rsid w:val="00DB3DA7"/>
    <w:rsid w:val="00DB4A61"/>
    <w:rsid w:val="00DC476B"/>
    <w:rsid w:val="00DC6CA7"/>
    <w:rsid w:val="00DD0777"/>
    <w:rsid w:val="00DD2962"/>
    <w:rsid w:val="00DD3E4F"/>
    <w:rsid w:val="00DE104D"/>
    <w:rsid w:val="00DE4592"/>
    <w:rsid w:val="00DE52CB"/>
    <w:rsid w:val="00DE598F"/>
    <w:rsid w:val="00DE6C1B"/>
    <w:rsid w:val="00DF1ABF"/>
    <w:rsid w:val="00DF3A43"/>
    <w:rsid w:val="00DF6672"/>
    <w:rsid w:val="00DF71A0"/>
    <w:rsid w:val="00E009BA"/>
    <w:rsid w:val="00E01DD1"/>
    <w:rsid w:val="00E01FD5"/>
    <w:rsid w:val="00E02711"/>
    <w:rsid w:val="00E07FFD"/>
    <w:rsid w:val="00E1070E"/>
    <w:rsid w:val="00E118E7"/>
    <w:rsid w:val="00E12D11"/>
    <w:rsid w:val="00E136E7"/>
    <w:rsid w:val="00E139A2"/>
    <w:rsid w:val="00E13ED9"/>
    <w:rsid w:val="00E1444B"/>
    <w:rsid w:val="00E24AFF"/>
    <w:rsid w:val="00E24ED4"/>
    <w:rsid w:val="00E26778"/>
    <w:rsid w:val="00E32156"/>
    <w:rsid w:val="00E3220A"/>
    <w:rsid w:val="00E32FF5"/>
    <w:rsid w:val="00E356F5"/>
    <w:rsid w:val="00E37717"/>
    <w:rsid w:val="00E4154F"/>
    <w:rsid w:val="00E43A7A"/>
    <w:rsid w:val="00E43EEF"/>
    <w:rsid w:val="00E442F7"/>
    <w:rsid w:val="00E4445D"/>
    <w:rsid w:val="00E454E6"/>
    <w:rsid w:val="00E4714C"/>
    <w:rsid w:val="00E516FF"/>
    <w:rsid w:val="00E55182"/>
    <w:rsid w:val="00E571CC"/>
    <w:rsid w:val="00E57971"/>
    <w:rsid w:val="00E57AB2"/>
    <w:rsid w:val="00E60A04"/>
    <w:rsid w:val="00E62249"/>
    <w:rsid w:val="00E644F6"/>
    <w:rsid w:val="00E6465B"/>
    <w:rsid w:val="00E65629"/>
    <w:rsid w:val="00E65AD8"/>
    <w:rsid w:val="00E663F9"/>
    <w:rsid w:val="00E70B80"/>
    <w:rsid w:val="00E71F57"/>
    <w:rsid w:val="00E72971"/>
    <w:rsid w:val="00E73DA3"/>
    <w:rsid w:val="00E73DC5"/>
    <w:rsid w:val="00E76035"/>
    <w:rsid w:val="00E77037"/>
    <w:rsid w:val="00E77FC8"/>
    <w:rsid w:val="00E802B9"/>
    <w:rsid w:val="00E8050F"/>
    <w:rsid w:val="00E81B87"/>
    <w:rsid w:val="00E825CC"/>
    <w:rsid w:val="00E82B2C"/>
    <w:rsid w:val="00E84719"/>
    <w:rsid w:val="00E86C19"/>
    <w:rsid w:val="00E87EC9"/>
    <w:rsid w:val="00E91CB3"/>
    <w:rsid w:val="00E92781"/>
    <w:rsid w:val="00E9528E"/>
    <w:rsid w:val="00E96386"/>
    <w:rsid w:val="00EA3E64"/>
    <w:rsid w:val="00EA6B1D"/>
    <w:rsid w:val="00EA70FE"/>
    <w:rsid w:val="00EA7144"/>
    <w:rsid w:val="00EB02ED"/>
    <w:rsid w:val="00EB1572"/>
    <w:rsid w:val="00EB1FD5"/>
    <w:rsid w:val="00EB2538"/>
    <w:rsid w:val="00EB26C4"/>
    <w:rsid w:val="00EB35A2"/>
    <w:rsid w:val="00EB430B"/>
    <w:rsid w:val="00EB5F33"/>
    <w:rsid w:val="00EB69E1"/>
    <w:rsid w:val="00EB7B2C"/>
    <w:rsid w:val="00EC3AA4"/>
    <w:rsid w:val="00EC6325"/>
    <w:rsid w:val="00ED079A"/>
    <w:rsid w:val="00ED08AE"/>
    <w:rsid w:val="00ED0A37"/>
    <w:rsid w:val="00ED0FBC"/>
    <w:rsid w:val="00ED220D"/>
    <w:rsid w:val="00ED37CF"/>
    <w:rsid w:val="00ED3EB4"/>
    <w:rsid w:val="00ED44D0"/>
    <w:rsid w:val="00ED4F18"/>
    <w:rsid w:val="00ED5D67"/>
    <w:rsid w:val="00ED5DC7"/>
    <w:rsid w:val="00ED6079"/>
    <w:rsid w:val="00ED68F6"/>
    <w:rsid w:val="00EE14F7"/>
    <w:rsid w:val="00EE32EF"/>
    <w:rsid w:val="00EE5D89"/>
    <w:rsid w:val="00EF0EBC"/>
    <w:rsid w:val="00EF4465"/>
    <w:rsid w:val="00EF5D06"/>
    <w:rsid w:val="00F004B7"/>
    <w:rsid w:val="00F0270B"/>
    <w:rsid w:val="00F148BB"/>
    <w:rsid w:val="00F149D6"/>
    <w:rsid w:val="00F15357"/>
    <w:rsid w:val="00F16098"/>
    <w:rsid w:val="00F1625A"/>
    <w:rsid w:val="00F21163"/>
    <w:rsid w:val="00F24345"/>
    <w:rsid w:val="00F249CF"/>
    <w:rsid w:val="00F25457"/>
    <w:rsid w:val="00F25E19"/>
    <w:rsid w:val="00F269FD"/>
    <w:rsid w:val="00F2703C"/>
    <w:rsid w:val="00F2775F"/>
    <w:rsid w:val="00F30084"/>
    <w:rsid w:val="00F302B4"/>
    <w:rsid w:val="00F32D2F"/>
    <w:rsid w:val="00F33A1B"/>
    <w:rsid w:val="00F357A9"/>
    <w:rsid w:val="00F36045"/>
    <w:rsid w:val="00F36529"/>
    <w:rsid w:val="00F403DA"/>
    <w:rsid w:val="00F4056C"/>
    <w:rsid w:val="00F4070D"/>
    <w:rsid w:val="00F416E9"/>
    <w:rsid w:val="00F41817"/>
    <w:rsid w:val="00F418DE"/>
    <w:rsid w:val="00F41B34"/>
    <w:rsid w:val="00F41CAF"/>
    <w:rsid w:val="00F42228"/>
    <w:rsid w:val="00F42794"/>
    <w:rsid w:val="00F4280E"/>
    <w:rsid w:val="00F431C5"/>
    <w:rsid w:val="00F43CC7"/>
    <w:rsid w:val="00F4448F"/>
    <w:rsid w:val="00F46729"/>
    <w:rsid w:val="00F520C3"/>
    <w:rsid w:val="00F579D3"/>
    <w:rsid w:val="00F62762"/>
    <w:rsid w:val="00F63F6E"/>
    <w:rsid w:val="00F65475"/>
    <w:rsid w:val="00F66D5E"/>
    <w:rsid w:val="00F679DD"/>
    <w:rsid w:val="00F67B05"/>
    <w:rsid w:val="00F708B6"/>
    <w:rsid w:val="00F70EFC"/>
    <w:rsid w:val="00F72492"/>
    <w:rsid w:val="00F72C83"/>
    <w:rsid w:val="00F74151"/>
    <w:rsid w:val="00F75D80"/>
    <w:rsid w:val="00F76421"/>
    <w:rsid w:val="00F766BE"/>
    <w:rsid w:val="00F80382"/>
    <w:rsid w:val="00F80A29"/>
    <w:rsid w:val="00F82E0D"/>
    <w:rsid w:val="00F85C55"/>
    <w:rsid w:val="00F85CB4"/>
    <w:rsid w:val="00F8690E"/>
    <w:rsid w:val="00F87BC7"/>
    <w:rsid w:val="00F905A3"/>
    <w:rsid w:val="00F91654"/>
    <w:rsid w:val="00F91F2B"/>
    <w:rsid w:val="00F942B8"/>
    <w:rsid w:val="00F94AFD"/>
    <w:rsid w:val="00F95462"/>
    <w:rsid w:val="00F96093"/>
    <w:rsid w:val="00F97A5B"/>
    <w:rsid w:val="00FA0B68"/>
    <w:rsid w:val="00FA18BE"/>
    <w:rsid w:val="00FA2CB2"/>
    <w:rsid w:val="00FA38C1"/>
    <w:rsid w:val="00FA7BC3"/>
    <w:rsid w:val="00FB155F"/>
    <w:rsid w:val="00FB1BCF"/>
    <w:rsid w:val="00FB459D"/>
    <w:rsid w:val="00FB571B"/>
    <w:rsid w:val="00FB79E1"/>
    <w:rsid w:val="00FC41BB"/>
    <w:rsid w:val="00FD3D63"/>
    <w:rsid w:val="00FD3FFE"/>
    <w:rsid w:val="00FD4E90"/>
    <w:rsid w:val="00FD552D"/>
    <w:rsid w:val="00FD6436"/>
    <w:rsid w:val="00FD78E6"/>
    <w:rsid w:val="00FE1961"/>
    <w:rsid w:val="00FE3EF2"/>
    <w:rsid w:val="00FE4ADD"/>
    <w:rsid w:val="00FE4D63"/>
    <w:rsid w:val="00FE50B0"/>
    <w:rsid w:val="00FF258C"/>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chartTrackingRefBased/>
  <w15:docId w15:val="{74FA11EB-D073-4041-9BA9-B1242CBA7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qFormat/>
    <w:rsid w:val="00204C27"/>
    <w:rPr>
      <w:rFonts w:ascii="Arial" w:eastAsia="SimSun" w:hAnsi="Arial" w:cs="Times New Roman"/>
      <w:b/>
      <w:sz w:val="20"/>
      <w:szCs w:val="20"/>
      <w:lang w:val="en-GB"/>
    </w:rPr>
  </w:style>
  <w:style w:type="character" w:customStyle="1" w:styleId="TAHCar">
    <w:name w:val="TAH Car"/>
    <w:link w:val="TAH"/>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locked/>
    <w:rsid w:val="00204C27"/>
    <w:rPr>
      <w:rFonts w:ascii="Times New Roman" w:eastAsia="SimSun" w:hAnsi="Times New Roman" w:cs="Times New Roman"/>
      <w:sz w:val="20"/>
      <w:szCs w:val="20"/>
      <w:lang w:val="en-GB"/>
    </w:rPr>
  </w:style>
  <w:style w:type="character" w:customStyle="1" w:styleId="B2Char">
    <w:name w:val="B2 Char"/>
    <w:link w:val="B20"/>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numbering" w:customStyle="1" w:styleId="13">
    <w:name w:val="无列表1"/>
    <w:next w:val="NoList"/>
    <w:semiHidden/>
    <w:rsid w:val="00204C27"/>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04C27"/>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4C27"/>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4C27"/>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4C27"/>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204C27"/>
  </w:style>
  <w:style w:type="numbering" w:customStyle="1" w:styleId="NoList3">
    <w:name w:val="No List3"/>
    <w:next w:val="NoList"/>
    <w:uiPriority w:val="99"/>
    <w:semiHidden/>
    <w:unhideWhenUsed/>
    <w:rsid w:val="00204C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numbering" w:customStyle="1" w:styleId="NoList11">
    <w:name w:val="No List11"/>
    <w:next w:val="NoList"/>
    <w:uiPriority w:val="99"/>
    <w:semiHidden/>
    <w:unhideWhenUsed/>
    <w:rsid w:val="00204C27"/>
  </w:style>
  <w:style w:type="numbering" w:customStyle="1" w:styleId="NoList4">
    <w:name w:val="No List4"/>
    <w:next w:val="NoList"/>
    <w:uiPriority w:val="99"/>
    <w:semiHidden/>
    <w:unhideWhenUsed/>
    <w:rsid w:val="00204C27"/>
  </w:style>
  <w:style w:type="numbering" w:customStyle="1" w:styleId="NoList5">
    <w:name w:val="No List5"/>
    <w:next w:val="NoList"/>
    <w:uiPriority w:val="99"/>
    <w:semiHidden/>
    <w:unhideWhenUsed/>
    <w:rsid w:val="00204C27"/>
  </w:style>
  <w:style w:type="numbering" w:customStyle="1" w:styleId="NoList111">
    <w:name w:val="No List111"/>
    <w:next w:val="NoList"/>
    <w:uiPriority w:val="99"/>
    <w:semiHidden/>
    <w:unhideWhenUsed/>
    <w:rsid w:val="00204C27"/>
  </w:style>
  <w:style w:type="numbering" w:customStyle="1" w:styleId="NoList21">
    <w:name w:val="No List21"/>
    <w:next w:val="NoList"/>
    <w:uiPriority w:val="99"/>
    <w:semiHidden/>
    <w:unhideWhenUsed/>
    <w:rsid w:val="00204C27"/>
  </w:style>
  <w:style w:type="numbering" w:customStyle="1" w:styleId="NoList31">
    <w:name w:val="No List31"/>
    <w:next w:val="NoList"/>
    <w:uiPriority w:val="99"/>
    <w:semiHidden/>
    <w:unhideWhenUsed/>
    <w:rsid w:val="00204C27"/>
  </w:style>
  <w:style w:type="numbering" w:customStyle="1" w:styleId="NoList41">
    <w:name w:val="No List41"/>
    <w:next w:val="NoList"/>
    <w:uiPriority w:val="99"/>
    <w:semiHidden/>
    <w:unhideWhenUsed/>
    <w:rsid w:val="00204C27"/>
  </w:style>
  <w:style w:type="numbering" w:customStyle="1" w:styleId="NoList6">
    <w:name w:val="No List6"/>
    <w:next w:val="NoList"/>
    <w:uiPriority w:val="99"/>
    <w:semiHidden/>
    <w:unhideWhenUsed/>
    <w:rsid w:val="00204C27"/>
  </w:style>
  <w:style w:type="character" w:styleId="Emphasis">
    <w:name w:val="Emphasis"/>
    <w:qFormat/>
    <w:rsid w:val="00204C27"/>
    <w:rPr>
      <w:i/>
      <w:iCs/>
    </w:rPr>
  </w:style>
  <w:style w:type="numbering" w:customStyle="1" w:styleId="NoList7">
    <w:name w:val="No List7"/>
    <w:next w:val="NoList"/>
    <w:uiPriority w:val="99"/>
    <w:semiHidden/>
    <w:unhideWhenUsed/>
    <w:rsid w:val="00204C27"/>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4C27"/>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numbering" w:customStyle="1" w:styleId="NoList22">
    <w:name w:val="No List22"/>
    <w:next w:val="NoList"/>
    <w:uiPriority w:val="99"/>
    <w:semiHidden/>
    <w:unhideWhenUsed/>
    <w:rsid w:val="00204C27"/>
  </w:style>
  <w:style w:type="numbering" w:customStyle="1" w:styleId="NoList32">
    <w:name w:val="No List32"/>
    <w:next w:val="NoList"/>
    <w:uiPriority w:val="99"/>
    <w:semiHidden/>
    <w:unhideWhenUsed/>
    <w:rsid w:val="00204C27"/>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1836678347">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1425</Words>
  <Characters>8125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9531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Motorola Mobility</cp:lastModifiedBy>
  <cp:revision>2</cp:revision>
  <cp:lastPrinted>2022-02-14T03:16:00Z</cp:lastPrinted>
  <dcterms:created xsi:type="dcterms:W3CDTF">2022-02-14T22:59:00Z</dcterms:created>
  <dcterms:modified xsi:type="dcterms:W3CDTF">2022-02-14T22:59:00Z</dcterms:modified>
</cp:coreProperties>
</file>