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4BCE539"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0511B5">
        <w:rPr>
          <w:b/>
          <w:noProof/>
          <w:sz w:val="24"/>
        </w:rPr>
        <w:t>2</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0511B5">
        <w:rPr>
          <w:b/>
          <w:noProof/>
          <w:sz w:val="24"/>
        </w:rPr>
        <w:t>20</w:t>
      </w:r>
      <w:r w:rsidR="00AA4F5E">
        <w:rPr>
          <w:b/>
          <w:noProof/>
          <w:sz w:val="24"/>
        </w:rPr>
        <w:t>6059</w:t>
      </w:r>
    </w:p>
    <w:p w14:paraId="5379D604" w14:textId="082C11B0"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A83194">
        <w:rPr>
          <w:rFonts w:ascii="Arial" w:hAnsi="Arial" w:cs="Arial"/>
          <w:b/>
          <w:sz w:val="24"/>
        </w:rPr>
        <w:t>Feb.-Mar.</w:t>
      </w:r>
      <w:r w:rsidR="008F67FD">
        <w:rPr>
          <w:rFonts w:ascii="Arial" w:hAnsi="Arial" w:cs="Arial"/>
          <w:b/>
          <w:sz w:val="24"/>
        </w:rPr>
        <w:t xml:space="preserve"> 202</w:t>
      </w:r>
      <w:r w:rsidR="00A83194">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15BC7B88" w14:textId="2FC1A51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C72AF">
        <w:rPr>
          <w:rFonts w:ascii="Arial" w:hAnsi="Arial" w:cs="Arial"/>
          <w:b/>
        </w:rPr>
        <w:t xml:space="preserve">On </w:t>
      </w:r>
      <w:r w:rsidR="00B337AF">
        <w:rPr>
          <w:rFonts w:ascii="Arial" w:hAnsi="Arial" w:cs="Arial"/>
          <w:b/>
        </w:rPr>
        <w:t xml:space="preserve">FR2 </w:t>
      </w:r>
      <w:r w:rsidR="00D202C9">
        <w:rPr>
          <w:rFonts w:ascii="Arial" w:hAnsi="Arial" w:cs="Arial"/>
          <w:b/>
        </w:rPr>
        <w:t xml:space="preserve">power control </w:t>
      </w:r>
      <w:r w:rsidR="006E11DE">
        <w:rPr>
          <w:rFonts w:ascii="Arial" w:hAnsi="Arial" w:cs="Arial"/>
          <w:b/>
        </w:rPr>
        <w:t xml:space="preserve">for </w:t>
      </w:r>
      <w:r w:rsidR="00843C28">
        <w:rPr>
          <w:rFonts w:ascii="Arial" w:hAnsi="Arial" w:cs="Arial"/>
          <w:b/>
        </w:rPr>
        <w:t xml:space="preserve">inter-band </w:t>
      </w:r>
      <w:r w:rsidR="00A83194">
        <w:rPr>
          <w:rFonts w:ascii="Arial" w:hAnsi="Arial" w:cs="Arial"/>
          <w:b/>
        </w:rPr>
        <w:t>NR-DC</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6BD5AA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337AF">
        <w:rPr>
          <w:rFonts w:ascii="Arial" w:hAnsi="Arial" w:cs="Arial"/>
          <w:b/>
        </w:rPr>
        <w:t>1</w:t>
      </w:r>
      <w:r w:rsidR="006E11DE">
        <w:rPr>
          <w:rFonts w:ascii="Arial" w:hAnsi="Arial" w:cs="Arial"/>
          <w:b/>
        </w:rPr>
        <w:t>3</w:t>
      </w:r>
      <w:r w:rsidR="00B337AF">
        <w:rPr>
          <w:rFonts w:ascii="Arial" w:hAnsi="Arial" w:cs="Arial"/>
          <w:b/>
        </w:rPr>
        <w:t>.2</w:t>
      </w:r>
      <w:r w:rsidR="006E11DE">
        <w:rPr>
          <w:rFonts w:ascii="Arial" w:hAnsi="Arial" w:cs="Arial"/>
          <w:b/>
        </w:rPr>
        <w:t>.1</w:t>
      </w:r>
    </w:p>
    <w:p w14:paraId="2D4A371D" w14:textId="77777777" w:rsidR="0010618D" w:rsidRPr="005E4466" w:rsidRDefault="0010618D" w:rsidP="000F7ECB">
      <w:pPr>
        <w:spacing w:after="60"/>
        <w:ind w:left="1985" w:hanging="1985"/>
        <w:rPr>
          <w:rFonts w:ascii="Arial" w:hAnsi="Arial" w:cs="Arial"/>
          <w:b/>
        </w:rPr>
      </w:pPr>
    </w:p>
    <w:p w14:paraId="13310D75" w14:textId="28C8099E"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337AF">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2E3B6EC9" w:rsidR="002B2323" w:rsidRPr="002E2724" w:rsidRDefault="00D202C9" w:rsidP="002B2323">
      <w:pPr>
        <w:rPr>
          <w:rFonts w:ascii="Calibri" w:hAnsi="Calibri" w:cs="Calibri"/>
        </w:rPr>
      </w:pPr>
      <w:r>
        <w:rPr>
          <w:rFonts w:ascii="Calibri" w:hAnsi="Calibri" w:cs="Calibri"/>
        </w:rPr>
        <w:t xml:space="preserve">We discuss </w:t>
      </w:r>
      <w:r w:rsidR="004842B0">
        <w:rPr>
          <w:rFonts w:ascii="Calibri" w:hAnsi="Calibri" w:cs="Calibri"/>
        </w:rPr>
        <w:t xml:space="preserve">our findings </w:t>
      </w:r>
      <w:r w:rsidR="00C97DDC">
        <w:rPr>
          <w:rFonts w:ascii="Calibri" w:hAnsi="Calibri" w:cs="Calibri"/>
        </w:rPr>
        <w:t xml:space="preserve">towards enabling FR2+FR2 inter-band ULCA as it applies to </w:t>
      </w:r>
      <w:r w:rsidR="00951F33">
        <w:rPr>
          <w:rFonts w:ascii="Calibri" w:hAnsi="Calibri" w:cs="Calibri"/>
        </w:rPr>
        <w:t>one case of the enquiry from RAN1 [1] regarding NR-DC power control.</w:t>
      </w:r>
    </w:p>
    <w:p w14:paraId="0AB8A81A" w14:textId="77777777" w:rsidR="004E0CD1" w:rsidRDefault="000A567D" w:rsidP="004E0CD1">
      <w:pPr>
        <w:pStyle w:val="Heading1"/>
      </w:pPr>
      <w:r>
        <w:t xml:space="preserve">2. </w:t>
      </w:r>
      <w:r>
        <w:tab/>
      </w:r>
      <w:r w:rsidR="002A1C01">
        <w:t>Discussion</w:t>
      </w:r>
    </w:p>
    <w:p w14:paraId="0B178C28" w14:textId="2C69F7F3" w:rsidR="00FB5F18" w:rsidRDefault="001402C2" w:rsidP="00FC72AF">
      <w:pPr>
        <w:spacing w:after="120"/>
        <w:rPr>
          <w:rFonts w:asciiTheme="minorHAnsi" w:hAnsiTheme="minorHAnsi" w:cstheme="minorHAnsi"/>
        </w:rPr>
      </w:pPr>
      <w:r w:rsidRPr="00890720">
        <w:rPr>
          <w:rFonts w:asciiTheme="minorHAnsi" w:hAnsiTheme="minorHAnsi" w:cstheme="minorHAnsi"/>
        </w:rPr>
        <w:t>RAN</w:t>
      </w:r>
      <w:r w:rsidR="000855E0">
        <w:rPr>
          <w:rFonts w:asciiTheme="minorHAnsi" w:hAnsiTheme="minorHAnsi" w:cstheme="minorHAnsi"/>
        </w:rPr>
        <w:t xml:space="preserve">1 enquires </w:t>
      </w:r>
      <w:r w:rsidR="00346A85">
        <w:rPr>
          <w:rFonts w:asciiTheme="minorHAnsi" w:hAnsiTheme="minorHAnsi" w:cstheme="minorHAnsi"/>
        </w:rPr>
        <w:t xml:space="preserve">about the </w:t>
      </w:r>
      <w:r w:rsidR="002715FA">
        <w:rPr>
          <w:rFonts w:asciiTheme="minorHAnsi" w:hAnsiTheme="minorHAnsi" w:cstheme="minorHAnsi"/>
        </w:rPr>
        <w:t>feasibility of independent power control</w:t>
      </w:r>
      <w:r w:rsidR="00BA71D4">
        <w:rPr>
          <w:rFonts w:asciiTheme="minorHAnsi" w:hAnsiTheme="minorHAnsi" w:cstheme="minorHAnsi"/>
        </w:rPr>
        <w:t xml:space="preserve"> for two cases [1]. </w:t>
      </w:r>
    </w:p>
    <w:p w14:paraId="43B50D8B" w14:textId="0C9430DA" w:rsidR="00FB5F18" w:rsidRDefault="00FB5F18" w:rsidP="00FC72AF">
      <w:pPr>
        <w:spacing w:after="120"/>
        <w:rPr>
          <w:rFonts w:asciiTheme="minorHAnsi" w:hAnsiTheme="minorHAnsi" w:cstheme="minorHAnsi"/>
        </w:rPr>
      </w:pPr>
      <w:r>
        <w:rPr>
          <w:noProof/>
        </w:rPr>
        <w:drawing>
          <wp:inline distT="0" distB="0" distL="0" distR="0" wp14:anchorId="2C22DCFC" wp14:editId="696B51FB">
            <wp:extent cx="6116320" cy="1744980"/>
            <wp:effectExtent l="152400" t="152400" r="360680" b="36957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9"/>
                    <a:stretch>
                      <a:fillRect/>
                    </a:stretch>
                  </pic:blipFill>
                  <pic:spPr>
                    <a:xfrm>
                      <a:off x="0" y="0"/>
                      <a:ext cx="6116320" cy="1744980"/>
                    </a:xfrm>
                    <a:prstGeom prst="rect">
                      <a:avLst/>
                    </a:prstGeom>
                    <a:ln>
                      <a:noFill/>
                    </a:ln>
                    <a:effectLst>
                      <a:outerShdw blurRad="292100" dist="139700" dir="2700000" algn="tl" rotWithShape="0">
                        <a:srgbClr val="333333">
                          <a:alpha val="65000"/>
                        </a:srgbClr>
                      </a:outerShdw>
                    </a:effectLst>
                  </pic:spPr>
                </pic:pic>
              </a:graphicData>
            </a:graphic>
          </wp:inline>
        </w:drawing>
      </w:r>
    </w:p>
    <w:p w14:paraId="471BA306" w14:textId="4F4199C1" w:rsidR="00CC78A0" w:rsidRDefault="00BA71D4" w:rsidP="00FC72AF">
      <w:pPr>
        <w:spacing w:after="120"/>
        <w:rPr>
          <w:rFonts w:asciiTheme="minorHAnsi" w:hAnsiTheme="minorHAnsi" w:cstheme="minorHAnsi"/>
        </w:rPr>
      </w:pPr>
      <w:r>
        <w:rPr>
          <w:rFonts w:asciiTheme="minorHAnsi" w:hAnsiTheme="minorHAnsi" w:cstheme="minorHAnsi"/>
        </w:rPr>
        <w:t xml:space="preserve">Prior </w:t>
      </w:r>
      <w:r w:rsidR="008150F4">
        <w:rPr>
          <w:rFonts w:asciiTheme="minorHAnsi" w:hAnsiTheme="minorHAnsi" w:cstheme="minorHAnsi"/>
        </w:rPr>
        <w:t>progress</w:t>
      </w:r>
      <w:r w:rsidR="00951F33">
        <w:rPr>
          <w:rFonts w:asciiTheme="minorHAnsi" w:hAnsiTheme="minorHAnsi" w:cstheme="minorHAnsi"/>
        </w:rPr>
        <w:t xml:space="preserve"> and discussion on this topic</w:t>
      </w:r>
      <w:r>
        <w:rPr>
          <w:rFonts w:asciiTheme="minorHAnsi" w:hAnsiTheme="minorHAnsi" w:cstheme="minorHAnsi"/>
        </w:rPr>
        <w:t xml:space="preserve"> </w:t>
      </w:r>
      <w:r w:rsidR="00327007">
        <w:rPr>
          <w:rFonts w:asciiTheme="minorHAnsi" w:hAnsiTheme="minorHAnsi" w:cstheme="minorHAnsi"/>
        </w:rPr>
        <w:t>are</w:t>
      </w:r>
      <w:r>
        <w:rPr>
          <w:rFonts w:asciiTheme="minorHAnsi" w:hAnsiTheme="minorHAnsi" w:cstheme="minorHAnsi"/>
        </w:rPr>
        <w:t xml:space="preserve"> captured well in [</w:t>
      </w:r>
      <w:r w:rsidR="00C6113D">
        <w:rPr>
          <w:rFonts w:asciiTheme="minorHAnsi" w:hAnsiTheme="minorHAnsi" w:cstheme="minorHAnsi"/>
        </w:rPr>
        <w:t xml:space="preserve">2]. The latest WF [3] </w:t>
      </w:r>
      <w:r w:rsidR="00DA645F">
        <w:rPr>
          <w:rFonts w:asciiTheme="minorHAnsi" w:hAnsiTheme="minorHAnsi" w:cstheme="minorHAnsi"/>
        </w:rPr>
        <w:t>also identifies</w:t>
      </w:r>
      <w:r w:rsidR="008150F4">
        <w:rPr>
          <w:rFonts w:asciiTheme="minorHAnsi" w:hAnsiTheme="minorHAnsi" w:cstheme="minorHAnsi"/>
        </w:rPr>
        <w:t xml:space="preserve"> independent power control for ULCA</w:t>
      </w:r>
      <w:r w:rsidR="00CC78A0">
        <w:rPr>
          <w:rFonts w:asciiTheme="minorHAnsi" w:hAnsiTheme="minorHAnsi" w:cstheme="minorHAnsi"/>
        </w:rPr>
        <w:t xml:space="preserve"> as the precedent for RAN4’s stand on NR-DC power control for FR2. </w:t>
      </w:r>
    </w:p>
    <w:p w14:paraId="1B8B16B9" w14:textId="77777777" w:rsidR="006F2349" w:rsidRDefault="001A7E6F" w:rsidP="002D653A">
      <w:pPr>
        <w:spacing w:after="120"/>
        <w:rPr>
          <w:rFonts w:asciiTheme="minorHAnsi" w:hAnsiTheme="minorHAnsi" w:cstheme="minorHAnsi"/>
        </w:rPr>
      </w:pPr>
      <w:r>
        <w:rPr>
          <w:rFonts w:asciiTheme="minorHAnsi" w:hAnsiTheme="minorHAnsi" w:cstheme="minorHAnsi"/>
        </w:rPr>
        <w:t xml:space="preserve">In this contribution, we focus on case </w:t>
      </w:r>
      <w:r w:rsidR="0094676D">
        <w:rPr>
          <w:rFonts w:asciiTheme="minorHAnsi" w:hAnsiTheme="minorHAnsi" w:cstheme="minorHAnsi"/>
        </w:rPr>
        <w:t xml:space="preserve">1). </w:t>
      </w:r>
      <w:r w:rsidR="00D77DE6">
        <w:rPr>
          <w:rFonts w:asciiTheme="minorHAnsi" w:hAnsiTheme="minorHAnsi" w:cstheme="minorHAnsi"/>
        </w:rPr>
        <w:t xml:space="preserve"> </w:t>
      </w:r>
    </w:p>
    <w:p w14:paraId="1381DFE6" w14:textId="0BB6FA06" w:rsidR="00F572BE" w:rsidRDefault="00F572BE" w:rsidP="002D653A">
      <w:pPr>
        <w:spacing w:after="120"/>
        <w:rPr>
          <w:rFonts w:asciiTheme="minorHAnsi" w:hAnsiTheme="minorHAnsi" w:cstheme="minorHAnsi"/>
        </w:rPr>
      </w:pPr>
      <w:r>
        <w:rPr>
          <w:rFonts w:asciiTheme="minorHAnsi" w:hAnsiTheme="minorHAnsi" w:cstheme="minorHAnsi"/>
        </w:rPr>
        <w:t xml:space="preserve">The ‘total power concept’ </w:t>
      </w:r>
      <w:r w:rsidR="006F2349">
        <w:rPr>
          <w:rFonts w:asciiTheme="minorHAnsi" w:hAnsiTheme="minorHAnsi" w:cstheme="minorHAnsi"/>
        </w:rPr>
        <w:t>has been identified as a possible reason for not establishing independent per</w:t>
      </w:r>
      <w:r w:rsidR="004A6BD0">
        <w:rPr>
          <w:rFonts w:asciiTheme="minorHAnsi" w:hAnsiTheme="minorHAnsi" w:cstheme="minorHAnsi"/>
        </w:rPr>
        <w:t>-</w:t>
      </w:r>
      <w:r w:rsidR="006F2349">
        <w:rPr>
          <w:rFonts w:asciiTheme="minorHAnsi" w:hAnsiTheme="minorHAnsi" w:cstheme="minorHAnsi"/>
        </w:rPr>
        <w:t xml:space="preserve">band </w:t>
      </w:r>
      <w:r w:rsidR="00DC4E27">
        <w:rPr>
          <w:rFonts w:asciiTheme="minorHAnsi" w:hAnsiTheme="minorHAnsi" w:cstheme="minorHAnsi"/>
        </w:rPr>
        <w:t xml:space="preserve">configured power. </w:t>
      </w:r>
      <w:r w:rsidR="00645700">
        <w:rPr>
          <w:rFonts w:asciiTheme="minorHAnsi" w:hAnsiTheme="minorHAnsi" w:cstheme="minorHAnsi"/>
        </w:rPr>
        <w:t>Any</w:t>
      </w:r>
      <w:r w:rsidR="00FA4140">
        <w:rPr>
          <w:rFonts w:asciiTheme="minorHAnsi" w:hAnsiTheme="minorHAnsi" w:cstheme="minorHAnsi"/>
        </w:rPr>
        <w:t xml:space="preserve"> </w:t>
      </w:r>
      <w:r w:rsidR="00747838">
        <w:rPr>
          <w:rFonts w:asciiTheme="minorHAnsi" w:hAnsiTheme="minorHAnsi" w:cstheme="minorHAnsi"/>
        </w:rPr>
        <w:t>impact</w:t>
      </w:r>
      <w:r w:rsidR="006A76DE">
        <w:rPr>
          <w:rFonts w:asciiTheme="minorHAnsi" w:hAnsiTheme="minorHAnsi" w:cstheme="minorHAnsi"/>
        </w:rPr>
        <w:t xml:space="preserve"> from </w:t>
      </w:r>
      <w:r w:rsidR="00645700">
        <w:rPr>
          <w:rFonts w:asciiTheme="minorHAnsi" w:hAnsiTheme="minorHAnsi" w:cstheme="minorHAnsi"/>
        </w:rPr>
        <w:t>‘total power concept’</w:t>
      </w:r>
      <w:r w:rsidR="00747838">
        <w:rPr>
          <w:rFonts w:asciiTheme="minorHAnsi" w:hAnsiTheme="minorHAnsi" w:cstheme="minorHAnsi"/>
        </w:rPr>
        <w:t xml:space="preserve"> is being discussed in terms of a relaxation to the peak EIRP requirement</w:t>
      </w:r>
      <w:r w:rsidR="00F00144">
        <w:rPr>
          <w:rFonts w:asciiTheme="minorHAnsi" w:hAnsiTheme="minorHAnsi" w:cstheme="minorHAnsi"/>
        </w:rPr>
        <w:t xml:space="preserve"> </w:t>
      </w:r>
      <w:r w:rsidR="00747838">
        <w:rPr>
          <w:rFonts w:asciiTheme="minorHAnsi" w:hAnsiTheme="minorHAnsi" w:cstheme="minorHAnsi"/>
        </w:rPr>
        <w:t>and is</w:t>
      </w:r>
      <w:r w:rsidR="00F00144">
        <w:rPr>
          <w:rFonts w:asciiTheme="minorHAnsi" w:hAnsiTheme="minorHAnsi" w:cstheme="minorHAnsi"/>
        </w:rPr>
        <w:t xml:space="preserve"> intended to be absorbed into the parameter delta(TIB_peak)</w:t>
      </w:r>
      <w:r w:rsidR="00B20A87">
        <w:rPr>
          <w:rFonts w:asciiTheme="minorHAnsi" w:hAnsiTheme="minorHAnsi" w:cstheme="minorHAnsi"/>
        </w:rPr>
        <w:t>, per agreement in WF</w:t>
      </w:r>
      <w:r w:rsidR="00486EA2">
        <w:rPr>
          <w:rFonts w:asciiTheme="minorHAnsi" w:hAnsiTheme="minorHAnsi" w:cstheme="minorHAnsi"/>
        </w:rPr>
        <w:t xml:space="preserve"> [7]</w:t>
      </w:r>
      <w:r w:rsidR="00221AF8">
        <w:rPr>
          <w:rFonts w:asciiTheme="minorHAnsi" w:hAnsiTheme="minorHAnsi" w:cstheme="minorHAnsi"/>
        </w:rPr>
        <w:t xml:space="preserve">, section </w:t>
      </w:r>
      <w:r w:rsidR="00B20A87">
        <w:rPr>
          <w:rFonts w:asciiTheme="minorHAnsi" w:hAnsiTheme="minorHAnsi" w:cstheme="minorHAnsi"/>
        </w:rPr>
        <w:t>2.4.b</w:t>
      </w:r>
      <w:r w:rsidR="00106F8A">
        <w:rPr>
          <w:rFonts w:asciiTheme="minorHAnsi" w:hAnsiTheme="minorHAnsi" w:cstheme="minorHAnsi"/>
        </w:rPr>
        <w:t>.</w:t>
      </w:r>
      <w:r w:rsidR="00F00144">
        <w:rPr>
          <w:rFonts w:asciiTheme="minorHAnsi" w:hAnsiTheme="minorHAnsi" w:cstheme="minorHAnsi"/>
        </w:rPr>
        <w:t xml:space="preserve"> Th</w:t>
      </w:r>
      <w:r w:rsidR="009C52DD">
        <w:rPr>
          <w:rFonts w:asciiTheme="minorHAnsi" w:hAnsiTheme="minorHAnsi" w:cstheme="minorHAnsi"/>
        </w:rPr>
        <w:t>is</w:t>
      </w:r>
      <w:r w:rsidR="00F00144">
        <w:rPr>
          <w:rFonts w:asciiTheme="minorHAnsi" w:hAnsiTheme="minorHAnsi" w:cstheme="minorHAnsi"/>
        </w:rPr>
        <w:t xml:space="preserve"> param</w:t>
      </w:r>
      <w:r w:rsidR="007E3EAA">
        <w:rPr>
          <w:rFonts w:asciiTheme="minorHAnsi" w:hAnsiTheme="minorHAnsi" w:cstheme="minorHAnsi"/>
        </w:rPr>
        <w:t xml:space="preserve">eter </w:t>
      </w:r>
      <w:r w:rsidR="00F5357C">
        <w:rPr>
          <w:rFonts w:asciiTheme="minorHAnsi" w:hAnsiTheme="minorHAnsi" w:cstheme="minorHAnsi"/>
        </w:rPr>
        <w:t xml:space="preserve">applies to the single-band min. peak EIRP requirement, </w:t>
      </w:r>
      <w:r w:rsidR="00A71DED">
        <w:rPr>
          <w:rFonts w:asciiTheme="minorHAnsi" w:hAnsiTheme="minorHAnsi" w:cstheme="minorHAnsi"/>
        </w:rPr>
        <w:t>and therefore</w:t>
      </w:r>
      <w:r w:rsidR="00F5357C">
        <w:rPr>
          <w:rFonts w:asciiTheme="minorHAnsi" w:hAnsiTheme="minorHAnsi" w:cstheme="minorHAnsi"/>
        </w:rPr>
        <w:t xml:space="preserve"> </w:t>
      </w:r>
      <w:r w:rsidR="007E3EAA">
        <w:rPr>
          <w:rFonts w:asciiTheme="minorHAnsi" w:hAnsiTheme="minorHAnsi" w:cstheme="minorHAnsi"/>
        </w:rPr>
        <w:t xml:space="preserve">is </w:t>
      </w:r>
      <w:r w:rsidR="00495D4A">
        <w:rPr>
          <w:rFonts w:asciiTheme="minorHAnsi" w:hAnsiTheme="minorHAnsi" w:cstheme="minorHAnsi"/>
        </w:rPr>
        <w:t>defined per</w:t>
      </w:r>
      <w:r w:rsidR="00964430">
        <w:rPr>
          <w:rFonts w:asciiTheme="minorHAnsi" w:hAnsiTheme="minorHAnsi" w:cstheme="minorHAnsi"/>
        </w:rPr>
        <w:t>-</w:t>
      </w:r>
      <w:r w:rsidR="00495D4A">
        <w:rPr>
          <w:rFonts w:asciiTheme="minorHAnsi" w:hAnsiTheme="minorHAnsi" w:cstheme="minorHAnsi"/>
        </w:rPr>
        <w:t>band</w:t>
      </w:r>
      <w:r w:rsidR="00A71DED">
        <w:rPr>
          <w:rFonts w:asciiTheme="minorHAnsi" w:hAnsiTheme="minorHAnsi" w:cstheme="minorHAnsi"/>
        </w:rPr>
        <w:t>.</w:t>
      </w:r>
      <w:r w:rsidR="00964430">
        <w:rPr>
          <w:rFonts w:asciiTheme="minorHAnsi" w:hAnsiTheme="minorHAnsi" w:cstheme="minorHAnsi"/>
        </w:rPr>
        <w:t xml:space="preserve"> </w:t>
      </w:r>
      <w:r w:rsidR="007466DB">
        <w:rPr>
          <w:rFonts w:asciiTheme="minorHAnsi" w:hAnsiTheme="minorHAnsi" w:cstheme="minorHAnsi"/>
        </w:rPr>
        <w:t>O</w:t>
      </w:r>
      <w:r w:rsidR="00C10410">
        <w:rPr>
          <w:rFonts w:asciiTheme="minorHAnsi" w:hAnsiTheme="minorHAnsi" w:cstheme="minorHAnsi"/>
        </w:rPr>
        <w:t>nce specified</w:t>
      </w:r>
      <w:r w:rsidR="007466DB">
        <w:rPr>
          <w:rFonts w:asciiTheme="minorHAnsi" w:hAnsiTheme="minorHAnsi" w:cstheme="minorHAnsi"/>
        </w:rPr>
        <w:t xml:space="preserve"> as a numerical value in the standard</w:t>
      </w:r>
      <w:r w:rsidR="00C10410">
        <w:rPr>
          <w:rFonts w:asciiTheme="minorHAnsi" w:hAnsiTheme="minorHAnsi" w:cstheme="minorHAnsi"/>
        </w:rPr>
        <w:t xml:space="preserve">, no further cross-band </w:t>
      </w:r>
      <w:r w:rsidR="005377BF">
        <w:rPr>
          <w:rFonts w:asciiTheme="minorHAnsi" w:hAnsiTheme="minorHAnsi" w:cstheme="minorHAnsi"/>
        </w:rPr>
        <w:t xml:space="preserve">dependence </w:t>
      </w:r>
      <w:r w:rsidR="00C10410">
        <w:rPr>
          <w:rFonts w:asciiTheme="minorHAnsi" w:hAnsiTheme="minorHAnsi" w:cstheme="minorHAnsi"/>
        </w:rPr>
        <w:t>is necessary</w:t>
      </w:r>
      <w:r w:rsidR="000812C2">
        <w:rPr>
          <w:rFonts w:asciiTheme="minorHAnsi" w:hAnsiTheme="minorHAnsi" w:cstheme="minorHAnsi"/>
        </w:rPr>
        <w:t>.</w:t>
      </w:r>
      <w:r w:rsidR="009C52DD">
        <w:rPr>
          <w:rFonts w:asciiTheme="minorHAnsi" w:hAnsiTheme="minorHAnsi" w:cstheme="minorHAnsi"/>
        </w:rPr>
        <w:t xml:space="preserve"> </w:t>
      </w:r>
    </w:p>
    <w:p w14:paraId="3A2A521E" w14:textId="712BD189" w:rsidR="009C52DD" w:rsidRPr="00110AC3" w:rsidRDefault="0075119B" w:rsidP="002D653A">
      <w:pPr>
        <w:spacing w:after="120"/>
        <w:rPr>
          <w:rFonts w:asciiTheme="minorHAnsi" w:hAnsiTheme="minorHAnsi" w:cstheme="minorHAnsi"/>
          <w:b/>
          <w:bCs/>
        </w:rPr>
      </w:pPr>
      <w:r w:rsidRPr="00110AC3">
        <w:rPr>
          <w:rFonts w:asciiTheme="minorHAnsi" w:hAnsiTheme="minorHAnsi" w:cstheme="minorHAnsi"/>
          <w:b/>
          <w:bCs/>
        </w:rPr>
        <w:t>Observation</w:t>
      </w:r>
      <w:r w:rsidR="009C52DD" w:rsidRPr="00110AC3">
        <w:rPr>
          <w:rFonts w:asciiTheme="minorHAnsi" w:hAnsiTheme="minorHAnsi" w:cstheme="minorHAnsi"/>
          <w:b/>
          <w:bCs/>
        </w:rPr>
        <w:t xml:space="preserve">: ‘Total power concept’ does not motivate </w:t>
      </w:r>
      <w:r w:rsidR="00110AC3">
        <w:rPr>
          <w:rFonts w:asciiTheme="minorHAnsi" w:hAnsiTheme="minorHAnsi" w:cstheme="minorHAnsi"/>
          <w:b/>
          <w:bCs/>
        </w:rPr>
        <w:t xml:space="preserve">a </w:t>
      </w:r>
      <w:r w:rsidRPr="00110AC3">
        <w:rPr>
          <w:rFonts w:asciiTheme="minorHAnsi" w:hAnsiTheme="minorHAnsi" w:cstheme="minorHAnsi"/>
          <w:b/>
          <w:bCs/>
        </w:rPr>
        <w:t xml:space="preserve">configured power </w:t>
      </w:r>
      <w:r w:rsidR="00110AC3">
        <w:rPr>
          <w:rFonts w:asciiTheme="minorHAnsi" w:hAnsiTheme="minorHAnsi" w:cstheme="minorHAnsi"/>
          <w:b/>
          <w:bCs/>
        </w:rPr>
        <w:t xml:space="preserve">requirement </w:t>
      </w:r>
      <w:r w:rsidRPr="00110AC3">
        <w:rPr>
          <w:rFonts w:asciiTheme="minorHAnsi" w:hAnsiTheme="minorHAnsi" w:cstheme="minorHAnsi"/>
          <w:b/>
          <w:bCs/>
        </w:rPr>
        <w:t>that is linked between the UL bands.</w:t>
      </w:r>
    </w:p>
    <w:p w14:paraId="6FD1ED8B" w14:textId="562FD30A" w:rsidR="000812C2" w:rsidRDefault="000812C2" w:rsidP="002D653A">
      <w:pPr>
        <w:spacing w:after="120"/>
        <w:rPr>
          <w:rFonts w:asciiTheme="minorHAnsi" w:hAnsiTheme="minorHAnsi" w:cstheme="minorHAnsi"/>
        </w:rPr>
      </w:pPr>
      <w:r>
        <w:rPr>
          <w:rFonts w:asciiTheme="minorHAnsi" w:hAnsiTheme="minorHAnsi" w:cstheme="minorHAnsi"/>
        </w:rPr>
        <w:t>In addition, delta(TIB_peak) like delta (MB_peak), is easily accommodated into a per-band configured power, as demonstrated in the draft CR [6], confirming that an independent per-band treatment is feasible for ‘total power concept’</w:t>
      </w:r>
      <w:r w:rsidR="004F6566">
        <w:rPr>
          <w:rFonts w:asciiTheme="minorHAnsi" w:hAnsiTheme="minorHAnsi" w:cstheme="minorHAnsi"/>
        </w:rPr>
        <w:t>.</w:t>
      </w:r>
    </w:p>
    <w:p w14:paraId="04872920" w14:textId="77F43CEB" w:rsidR="009F14C8" w:rsidRDefault="003C3661" w:rsidP="002D653A">
      <w:pPr>
        <w:spacing w:after="120"/>
        <w:rPr>
          <w:rFonts w:asciiTheme="minorHAnsi" w:hAnsiTheme="minorHAnsi" w:cstheme="minorHAnsi"/>
        </w:rPr>
      </w:pPr>
      <w:r>
        <w:rPr>
          <w:rFonts w:asciiTheme="minorHAnsi" w:hAnsiTheme="minorHAnsi" w:cstheme="minorHAnsi"/>
        </w:rPr>
        <w:t>The</w:t>
      </w:r>
      <w:r w:rsidR="002E5875">
        <w:rPr>
          <w:rFonts w:asciiTheme="minorHAnsi" w:hAnsiTheme="minorHAnsi" w:cstheme="minorHAnsi"/>
        </w:rPr>
        <w:t xml:space="preserve">re are </w:t>
      </w:r>
      <w:r w:rsidR="006A76DE">
        <w:rPr>
          <w:rFonts w:asciiTheme="minorHAnsi" w:hAnsiTheme="minorHAnsi" w:cstheme="minorHAnsi"/>
        </w:rPr>
        <w:t xml:space="preserve">other </w:t>
      </w:r>
      <w:r>
        <w:rPr>
          <w:rFonts w:asciiTheme="minorHAnsi" w:hAnsiTheme="minorHAnsi" w:cstheme="minorHAnsi"/>
        </w:rPr>
        <w:t>known mechanisms that</w:t>
      </w:r>
      <w:r w:rsidR="007C53D0">
        <w:rPr>
          <w:rFonts w:asciiTheme="minorHAnsi" w:hAnsiTheme="minorHAnsi" w:cstheme="minorHAnsi"/>
        </w:rPr>
        <w:t xml:space="preserve"> indirectly</w:t>
      </w:r>
      <w:r>
        <w:rPr>
          <w:rFonts w:asciiTheme="minorHAnsi" w:hAnsiTheme="minorHAnsi" w:cstheme="minorHAnsi"/>
        </w:rPr>
        <w:t xml:space="preserve"> link the transmit powers over the </w:t>
      </w:r>
      <w:r w:rsidR="000760CB">
        <w:rPr>
          <w:rFonts w:asciiTheme="minorHAnsi" w:hAnsiTheme="minorHAnsi" w:cstheme="minorHAnsi"/>
        </w:rPr>
        <w:t>UL</w:t>
      </w:r>
      <w:r>
        <w:rPr>
          <w:rFonts w:asciiTheme="minorHAnsi" w:hAnsiTheme="minorHAnsi" w:cstheme="minorHAnsi"/>
        </w:rPr>
        <w:t xml:space="preserve"> </w:t>
      </w:r>
      <w:r w:rsidR="009F14C8">
        <w:rPr>
          <w:rFonts w:asciiTheme="minorHAnsi" w:hAnsiTheme="minorHAnsi" w:cstheme="minorHAnsi"/>
        </w:rPr>
        <w:t>FR2 bands</w:t>
      </w:r>
      <w:r w:rsidR="00C809D6">
        <w:rPr>
          <w:rFonts w:asciiTheme="minorHAnsi" w:hAnsiTheme="minorHAnsi" w:cstheme="minorHAnsi"/>
        </w:rPr>
        <w:t>,</w:t>
      </w:r>
      <w:r w:rsidR="009F14C8">
        <w:rPr>
          <w:rFonts w:asciiTheme="minorHAnsi" w:hAnsiTheme="minorHAnsi" w:cstheme="minorHAnsi"/>
        </w:rPr>
        <w:t xml:space="preserve"> </w:t>
      </w:r>
      <w:r w:rsidR="002E5875">
        <w:rPr>
          <w:rFonts w:asciiTheme="minorHAnsi" w:hAnsiTheme="minorHAnsi" w:cstheme="minorHAnsi"/>
        </w:rPr>
        <w:t xml:space="preserve">however. These </w:t>
      </w:r>
      <w:r w:rsidR="009F14C8">
        <w:rPr>
          <w:rFonts w:asciiTheme="minorHAnsi" w:hAnsiTheme="minorHAnsi" w:cstheme="minorHAnsi"/>
        </w:rPr>
        <w:t>are</w:t>
      </w:r>
      <w:r w:rsidR="002E5875">
        <w:rPr>
          <w:rFonts w:asciiTheme="minorHAnsi" w:hAnsiTheme="minorHAnsi" w:cstheme="minorHAnsi"/>
        </w:rPr>
        <w:t xml:space="preserve"> listed below</w:t>
      </w:r>
      <w:r w:rsidR="009F14C8">
        <w:rPr>
          <w:rFonts w:asciiTheme="minorHAnsi" w:hAnsiTheme="minorHAnsi" w:cstheme="minorHAnsi"/>
        </w:rPr>
        <w:t>:</w:t>
      </w:r>
    </w:p>
    <w:p w14:paraId="320FE89F" w14:textId="6CC19A30" w:rsidR="00F923AB" w:rsidRPr="009F14C8" w:rsidRDefault="009F14C8" w:rsidP="009F14C8">
      <w:pPr>
        <w:pStyle w:val="ListParagraph"/>
        <w:numPr>
          <w:ilvl w:val="0"/>
          <w:numId w:val="12"/>
        </w:numPr>
        <w:spacing w:after="120"/>
        <w:rPr>
          <w:rFonts w:asciiTheme="minorHAnsi" w:hAnsiTheme="minorHAnsi" w:cstheme="minorHAnsi"/>
        </w:rPr>
      </w:pPr>
      <w:r w:rsidRPr="009F14C8">
        <w:rPr>
          <w:rFonts w:asciiTheme="minorHAnsi" w:hAnsiTheme="minorHAnsi" w:cstheme="minorHAnsi"/>
        </w:rPr>
        <w:lastRenderedPageBreak/>
        <w:t xml:space="preserve">Emissions: </w:t>
      </w:r>
      <w:r w:rsidR="002A02DD" w:rsidRPr="009F14C8">
        <w:rPr>
          <w:rFonts w:asciiTheme="minorHAnsi" w:hAnsiTheme="minorHAnsi" w:cstheme="minorHAnsi"/>
        </w:rPr>
        <w:t>FR2+FR2 inter-band ULCA generate</w:t>
      </w:r>
      <w:r w:rsidR="00C809D6">
        <w:rPr>
          <w:rFonts w:asciiTheme="minorHAnsi" w:hAnsiTheme="minorHAnsi" w:cstheme="minorHAnsi"/>
        </w:rPr>
        <w:t>s</w:t>
      </w:r>
      <w:r w:rsidR="002A02DD" w:rsidRPr="009F14C8">
        <w:rPr>
          <w:rFonts w:asciiTheme="minorHAnsi" w:hAnsiTheme="minorHAnsi" w:cstheme="minorHAnsi"/>
        </w:rPr>
        <w:t xml:space="preserve"> far out of band IM3 products that must also comply with </w:t>
      </w:r>
      <w:r w:rsidR="003C3661" w:rsidRPr="009F14C8">
        <w:rPr>
          <w:rFonts w:asciiTheme="minorHAnsi" w:hAnsiTheme="minorHAnsi" w:cstheme="minorHAnsi"/>
        </w:rPr>
        <w:t>emissions</w:t>
      </w:r>
      <w:r w:rsidR="007C53D0">
        <w:rPr>
          <w:rFonts w:asciiTheme="minorHAnsi" w:hAnsiTheme="minorHAnsi" w:cstheme="minorHAnsi"/>
        </w:rPr>
        <w:t xml:space="preserve"> requirements. </w:t>
      </w:r>
      <w:r w:rsidR="00AA156B">
        <w:rPr>
          <w:rFonts w:asciiTheme="minorHAnsi" w:hAnsiTheme="minorHAnsi" w:cstheme="minorHAnsi"/>
        </w:rPr>
        <w:t xml:space="preserve">It is agreed to use the MPR framework for ULCA [4], where CA_MPR = </w:t>
      </w:r>
      <w:r w:rsidR="00AA156B" w:rsidRPr="00DA02E0">
        <w:rPr>
          <w:b/>
          <w:bCs/>
          <w:lang w:val="en-US" w:eastAsia="zh-CN"/>
        </w:rPr>
        <w:t>max { MPR</w:t>
      </w:r>
      <w:r w:rsidR="00AA156B" w:rsidRPr="00DA02E0">
        <w:rPr>
          <w:b/>
          <w:bCs/>
          <w:vertAlign w:val="subscript"/>
          <w:lang w:val="en-US" w:eastAsia="zh-CN"/>
        </w:rPr>
        <w:t>PA-PA</w:t>
      </w:r>
      <w:r w:rsidR="00AA156B" w:rsidRPr="00DA02E0">
        <w:rPr>
          <w:b/>
          <w:bCs/>
          <w:lang w:val="en-US" w:eastAsia="zh-CN"/>
        </w:rPr>
        <w:t>, MPR</w:t>
      </w:r>
      <w:r w:rsidR="00AA156B" w:rsidRPr="00DA02E0">
        <w:rPr>
          <w:b/>
          <w:bCs/>
          <w:vertAlign w:val="subscript"/>
          <w:lang w:val="en-US" w:eastAsia="zh-CN"/>
        </w:rPr>
        <w:t>waveform&amp;modulation&amp;BW&amp;etc</w:t>
      </w:r>
      <w:r w:rsidR="00AA156B" w:rsidRPr="00DA02E0">
        <w:rPr>
          <w:b/>
          <w:bCs/>
          <w:lang w:val="en-US" w:eastAsia="zh-CN"/>
        </w:rPr>
        <w:t xml:space="preserve"> }</w:t>
      </w:r>
      <w:r w:rsidR="00AA156B">
        <w:rPr>
          <w:rFonts w:asciiTheme="minorHAnsi" w:hAnsiTheme="minorHAnsi" w:cstheme="minorHAnsi"/>
        </w:rPr>
        <w:t>.</w:t>
      </w:r>
      <w:r w:rsidR="00591198">
        <w:rPr>
          <w:rFonts w:asciiTheme="minorHAnsi" w:hAnsiTheme="minorHAnsi" w:cstheme="minorHAnsi"/>
        </w:rPr>
        <w:t xml:space="preserve"> Moreover</w:t>
      </w:r>
      <w:r w:rsidR="008035C4">
        <w:rPr>
          <w:rFonts w:asciiTheme="minorHAnsi" w:hAnsiTheme="minorHAnsi" w:cstheme="minorHAnsi"/>
        </w:rPr>
        <w:t>,</w:t>
      </w:r>
      <w:r w:rsidR="00591198">
        <w:rPr>
          <w:rFonts w:asciiTheme="minorHAnsi" w:hAnsiTheme="minorHAnsi" w:cstheme="minorHAnsi"/>
        </w:rPr>
        <w:t xml:space="preserve"> it is agreed that CA_MPR is defined per</w:t>
      </w:r>
      <w:r w:rsidR="00AA2094">
        <w:rPr>
          <w:rFonts w:asciiTheme="minorHAnsi" w:hAnsiTheme="minorHAnsi" w:cstheme="minorHAnsi"/>
        </w:rPr>
        <w:t>-</w:t>
      </w:r>
      <w:r w:rsidR="00591198">
        <w:rPr>
          <w:rFonts w:asciiTheme="minorHAnsi" w:hAnsiTheme="minorHAnsi" w:cstheme="minorHAnsi"/>
        </w:rPr>
        <w:t xml:space="preserve">band, </w:t>
      </w:r>
      <w:r w:rsidR="00C828B9">
        <w:rPr>
          <w:rFonts w:asciiTheme="minorHAnsi" w:hAnsiTheme="minorHAnsi" w:cstheme="minorHAnsi"/>
        </w:rPr>
        <w:t>per</w:t>
      </w:r>
      <w:r w:rsidR="00AA2094">
        <w:rPr>
          <w:rFonts w:asciiTheme="minorHAnsi" w:hAnsiTheme="minorHAnsi" w:cstheme="minorHAnsi"/>
        </w:rPr>
        <w:t>-</w:t>
      </w:r>
      <w:r w:rsidR="00C828B9">
        <w:rPr>
          <w:rFonts w:asciiTheme="minorHAnsi" w:hAnsiTheme="minorHAnsi" w:cstheme="minorHAnsi"/>
        </w:rPr>
        <w:t>band</w:t>
      </w:r>
      <w:r w:rsidR="00AA2094">
        <w:rPr>
          <w:rFonts w:asciiTheme="minorHAnsi" w:hAnsiTheme="minorHAnsi" w:cstheme="minorHAnsi"/>
        </w:rPr>
        <w:t>_</w:t>
      </w:r>
      <w:r w:rsidR="00C828B9">
        <w:rPr>
          <w:rFonts w:asciiTheme="minorHAnsi" w:hAnsiTheme="minorHAnsi" w:cstheme="minorHAnsi"/>
        </w:rPr>
        <w:t xml:space="preserve">combination </w:t>
      </w:r>
      <w:r w:rsidR="00591198">
        <w:rPr>
          <w:rFonts w:asciiTheme="minorHAnsi" w:hAnsiTheme="minorHAnsi" w:cstheme="minorHAnsi"/>
        </w:rPr>
        <w:t xml:space="preserve">rather than per band </w:t>
      </w:r>
      <w:r w:rsidR="00C828B9">
        <w:rPr>
          <w:rFonts w:asciiTheme="minorHAnsi" w:hAnsiTheme="minorHAnsi" w:cstheme="minorHAnsi"/>
        </w:rPr>
        <w:t>combination so once specified</w:t>
      </w:r>
      <w:r w:rsidR="0053413D">
        <w:rPr>
          <w:rFonts w:asciiTheme="minorHAnsi" w:hAnsiTheme="minorHAnsi" w:cstheme="minorHAnsi"/>
        </w:rPr>
        <w:t xml:space="preserve"> as a numerical value</w:t>
      </w:r>
      <w:r w:rsidR="00C828B9">
        <w:rPr>
          <w:rFonts w:asciiTheme="minorHAnsi" w:hAnsiTheme="minorHAnsi" w:cstheme="minorHAnsi"/>
        </w:rPr>
        <w:t xml:space="preserve">, no further cross-band </w:t>
      </w:r>
      <w:r w:rsidR="005377BF">
        <w:rPr>
          <w:rFonts w:asciiTheme="minorHAnsi" w:hAnsiTheme="minorHAnsi" w:cstheme="minorHAnsi"/>
        </w:rPr>
        <w:t xml:space="preserve">dependence </w:t>
      </w:r>
      <w:r w:rsidR="00C828B9">
        <w:rPr>
          <w:rFonts w:asciiTheme="minorHAnsi" w:hAnsiTheme="minorHAnsi" w:cstheme="minorHAnsi"/>
        </w:rPr>
        <w:t>is necessary</w:t>
      </w:r>
      <w:r w:rsidR="008035C4">
        <w:rPr>
          <w:rFonts w:asciiTheme="minorHAnsi" w:hAnsiTheme="minorHAnsi" w:cstheme="minorHAnsi"/>
        </w:rPr>
        <w:t>.</w:t>
      </w:r>
    </w:p>
    <w:p w14:paraId="115F860A" w14:textId="1B5F7695" w:rsidR="009F14C8" w:rsidRDefault="00662391" w:rsidP="009F14C8">
      <w:pPr>
        <w:pStyle w:val="ListParagraph"/>
        <w:numPr>
          <w:ilvl w:val="0"/>
          <w:numId w:val="12"/>
        </w:numPr>
        <w:spacing w:after="120"/>
        <w:rPr>
          <w:rFonts w:asciiTheme="minorHAnsi" w:hAnsiTheme="minorHAnsi" w:cstheme="minorHAnsi"/>
        </w:rPr>
      </w:pPr>
      <w:r>
        <w:rPr>
          <w:rFonts w:asciiTheme="minorHAnsi" w:hAnsiTheme="minorHAnsi" w:cstheme="minorHAnsi"/>
        </w:rPr>
        <w:t xml:space="preserve">MPE: </w:t>
      </w:r>
      <w:r w:rsidR="009D62E1">
        <w:rPr>
          <w:rFonts w:asciiTheme="minorHAnsi" w:hAnsiTheme="minorHAnsi" w:cstheme="minorHAnsi"/>
        </w:rPr>
        <w:t xml:space="preserve">A UE may use P-MPR to </w:t>
      </w:r>
      <w:r w:rsidR="00A72406">
        <w:rPr>
          <w:rFonts w:asciiTheme="minorHAnsi" w:hAnsiTheme="minorHAnsi" w:cstheme="minorHAnsi"/>
        </w:rPr>
        <w:t>self-regulate its</w:t>
      </w:r>
      <w:r w:rsidR="005A177C">
        <w:rPr>
          <w:rFonts w:asciiTheme="minorHAnsi" w:hAnsiTheme="minorHAnsi" w:cstheme="minorHAnsi"/>
        </w:rPr>
        <w:t xml:space="preserve"> UL </w:t>
      </w:r>
      <w:r w:rsidR="009D2800">
        <w:rPr>
          <w:rFonts w:asciiTheme="minorHAnsi" w:hAnsiTheme="minorHAnsi" w:cstheme="minorHAnsi"/>
        </w:rPr>
        <w:t>when proximity to biological tissue is detected.</w:t>
      </w:r>
      <w:r w:rsidR="008D64F5">
        <w:rPr>
          <w:rFonts w:asciiTheme="minorHAnsi" w:hAnsiTheme="minorHAnsi" w:cstheme="minorHAnsi"/>
        </w:rPr>
        <w:t xml:space="preserve"> </w:t>
      </w:r>
      <w:r w:rsidR="008035C4">
        <w:rPr>
          <w:rFonts w:asciiTheme="minorHAnsi" w:hAnsiTheme="minorHAnsi" w:cstheme="minorHAnsi"/>
        </w:rPr>
        <w:t>P-MPR is unregulated for single CC UL</w:t>
      </w:r>
      <w:r w:rsidR="004B4826">
        <w:rPr>
          <w:rFonts w:asciiTheme="minorHAnsi" w:hAnsiTheme="minorHAnsi" w:cstheme="minorHAnsi"/>
        </w:rPr>
        <w:t xml:space="preserve">. </w:t>
      </w:r>
      <w:r w:rsidR="00E56318">
        <w:rPr>
          <w:rFonts w:asciiTheme="minorHAnsi" w:hAnsiTheme="minorHAnsi" w:cstheme="minorHAnsi"/>
        </w:rPr>
        <w:t>Extending this to FR2</w:t>
      </w:r>
      <w:r w:rsidR="004B4826">
        <w:rPr>
          <w:rFonts w:asciiTheme="minorHAnsi" w:hAnsiTheme="minorHAnsi" w:cstheme="minorHAnsi"/>
        </w:rPr>
        <w:t xml:space="preserve"> ULCA,</w:t>
      </w:r>
      <w:r w:rsidR="005F2F20">
        <w:rPr>
          <w:rFonts w:asciiTheme="minorHAnsi" w:hAnsiTheme="minorHAnsi" w:cstheme="minorHAnsi"/>
        </w:rPr>
        <w:t xml:space="preserve"> it is left up to UE implementation how much P-MPR is taken in each band when conditions</w:t>
      </w:r>
      <w:r w:rsidR="004B4826">
        <w:rPr>
          <w:rFonts w:asciiTheme="minorHAnsi" w:hAnsiTheme="minorHAnsi" w:cstheme="minorHAnsi"/>
        </w:rPr>
        <w:t xml:space="preserve"> demand. </w:t>
      </w:r>
      <w:r w:rsidR="004F6566">
        <w:rPr>
          <w:rFonts w:asciiTheme="minorHAnsi" w:hAnsiTheme="minorHAnsi" w:cstheme="minorHAnsi"/>
        </w:rPr>
        <w:t>There is neither standards need nor regulatory need to institute cross-band dependence on P-MPR.</w:t>
      </w:r>
    </w:p>
    <w:p w14:paraId="40CC55B6" w14:textId="70E49E73" w:rsidR="00F933F5" w:rsidRPr="00374D87" w:rsidRDefault="005377BF" w:rsidP="00FC72AF">
      <w:pPr>
        <w:spacing w:after="120"/>
      </w:pPr>
      <w:r>
        <w:rPr>
          <w:rFonts w:asciiTheme="minorHAnsi" w:hAnsiTheme="minorHAnsi" w:cstheme="minorHAnsi"/>
        </w:rPr>
        <w:t>In summary, b</w:t>
      </w:r>
      <w:r w:rsidR="00FC0010">
        <w:rPr>
          <w:rFonts w:asciiTheme="minorHAnsi" w:hAnsiTheme="minorHAnsi" w:cstheme="minorHAnsi"/>
        </w:rPr>
        <w:t>oth, MPR and P-MPR are</w:t>
      </w:r>
      <w:r w:rsidR="008208E0">
        <w:rPr>
          <w:rFonts w:asciiTheme="minorHAnsi" w:hAnsiTheme="minorHAnsi" w:cstheme="minorHAnsi"/>
        </w:rPr>
        <w:t xml:space="preserve"> </w:t>
      </w:r>
      <w:r>
        <w:rPr>
          <w:rFonts w:asciiTheme="minorHAnsi" w:hAnsiTheme="minorHAnsi" w:cstheme="minorHAnsi"/>
        </w:rPr>
        <w:t>independent</w:t>
      </w:r>
      <w:r w:rsidR="0007120D">
        <w:rPr>
          <w:rFonts w:asciiTheme="minorHAnsi" w:hAnsiTheme="minorHAnsi" w:cstheme="minorHAnsi"/>
        </w:rPr>
        <w:t xml:space="preserve"> per-band quantities</w:t>
      </w:r>
      <w:r w:rsidR="003E0C2D">
        <w:rPr>
          <w:rFonts w:asciiTheme="minorHAnsi" w:hAnsiTheme="minorHAnsi" w:cstheme="minorHAnsi"/>
        </w:rPr>
        <w:t>, without further necessity for cross-band linkage. Both, MPR and P-MPR</w:t>
      </w:r>
      <w:r w:rsidR="00FC0010">
        <w:rPr>
          <w:rFonts w:asciiTheme="minorHAnsi" w:hAnsiTheme="minorHAnsi" w:cstheme="minorHAnsi"/>
        </w:rPr>
        <w:t xml:space="preserve"> </w:t>
      </w:r>
      <w:r w:rsidR="00380652">
        <w:rPr>
          <w:rFonts w:asciiTheme="minorHAnsi" w:hAnsiTheme="minorHAnsi" w:cstheme="minorHAnsi"/>
        </w:rPr>
        <w:t xml:space="preserve">are </w:t>
      </w:r>
      <w:r w:rsidR="00FC0010">
        <w:rPr>
          <w:rFonts w:asciiTheme="minorHAnsi" w:hAnsiTheme="minorHAnsi" w:cstheme="minorHAnsi"/>
        </w:rPr>
        <w:t>already present as explicit term</w:t>
      </w:r>
      <w:r w:rsidR="00374D87">
        <w:rPr>
          <w:rFonts w:asciiTheme="minorHAnsi" w:hAnsiTheme="minorHAnsi" w:cstheme="minorHAnsi"/>
        </w:rPr>
        <w:t>s</w:t>
      </w:r>
      <w:r w:rsidR="00FC0010">
        <w:rPr>
          <w:rFonts w:asciiTheme="minorHAnsi" w:hAnsiTheme="minorHAnsi" w:cstheme="minorHAnsi"/>
        </w:rPr>
        <w:t xml:space="preserve"> in the single CC configured power requirement, so </w:t>
      </w:r>
      <w:r w:rsidR="00374D87">
        <w:rPr>
          <w:rFonts w:asciiTheme="minorHAnsi" w:hAnsiTheme="minorHAnsi" w:cstheme="minorHAnsi"/>
        </w:rPr>
        <w:t>they</w:t>
      </w:r>
      <w:r w:rsidR="00FC0010">
        <w:rPr>
          <w:rFonts w:asciiTheme="minorHAnsi" w:hAnsiTheme="minorHAnsi" w:cstheme="minorHAnsi"/>
        </w:rPr>
        <w:t xml:space="preserve"> would naturally have a home in an independent per-band configured power requirement modelled after the single CC requirement.</w:t>
      </w:r>
      <w:r w:rsidR="00380652">
        <w:rPr>
          <w:rFonts w:asciiTheme="minorHAnsi" w:hAnsiTheme="minorHAnsi" w:cstheme="minorHAnsi"/>
        </w:rPr>
        <w:t xml:space="preserve"> This confirms that an independent per-band treatment is feasible for MPR and P-MPR.</w:t>
      </w:r>
    </w:p>
    <w:p w14:paraId="6E6C8DAA" w14:textId="3FBEC0F3" w:rsidR="00F572BE" w:rsidRDefault="00F572BE" w:rsidP="00FC72AF">
      <w:pPr>
        <w:spacing w:after="120"/>
        <w:rPr>
          <w:rFonts w:asciiTheme="minorHAnsi" w:hAnsiTheme="minorHAnsi" w:cstheme="minorHAnsi"/>
        </w:rPr>
      </w:pPr>
      <w:r>
        <w:rPr>
          <w:rFonts w:asciiTheme="minorHAnsi" w:hAnsiTheme="minorHAnsi" w:cstheme="minorHAnsi"/>
        </w:rPr>
        <w:t>We therefore conclud</w:t>
      </w:r>
      <w:r w:rsidR="00A71DED">
        <w:rPr>
          <w:rFonts w:asciiTheme="minorHAnsi" w:hAnsiTheme="minorHAnsi" w:cstheme="minorHAnsi"/>
        </w:rPr>
        <w:t>e</w:t>
      </w:r>
      <w:r w:rsidR="004951B9">
        <w:rPr>
          <w:rFonts w:asciiTheme="minorHAnsi" w:hAnsiTheme="minorHAnsi" w:cstheme="minorHAnsi"/>
        </w:rPr>
        <w:t xml:space="preserve"> in [5]</w:t>
      </w:r>
      <w:r>
        <w:rPr>
          <w:rFonts w:asciiTheme="minorHAnsi" w:hAnsiTheme="minorHAnsi" w:cstheme="minorHAnsi"/>
        </w:rPr>
        <w:t xml:space="preserve"> that for FR2+FR2 inter-band ULCA, independent </w:t>
      </w:r>
      <w:r w:rsidR="00457F03">
        <w:rPr>
          <w:rFonts w:asciiTheme="minorHAnsi" w:hAnsiTheme="minorHAnsi" w:cstheme="minorHAnsi"/>
        </w:rPr>
        <w:t xml:space="preserve">per-band </w:t>
      </w:r>
      <w:r>
        <w:rPr>
          <w:rFonts w:asciiTheme="minorHAnsi" w:hAnsiTheme="minorHAnsi" w:cstheme="minorHAnsi"/>
        </w:rPr>
        <w:t>power control is feasible.</w:t>
      </w:r>
    </w:p>
    <w:p w14:paraId="493CE1FE" w14:textId="287A3332" w:rsidR="002C7397" w:rsidRPr="00890720" w:rsidRDefault="002C7397" w:rsidP="002C7397">
      <w:pPr>
        <w:spacing w:after="120"/>
        <w:rPr>
          <w:rFonts w:asciiTheme="minorHAnsi" w:hAnsiTheme="minorHAnsi" w:cstheme="minorHAnsi"/>
          <w:b/>
          <w:bCs/>
        </w:rPr>
      </w:pPr>
      <w:r w:rsidRPr="00890720">
        <w:rPr>
          <w:rFonts w:asciiTheme="minorHAnsi" w:hAnsiTheme="minorHAnsi" w:cstheme="minorHAnsi"/>
          <w:b/>
          <w:bCs/>
        </w:rPr>
        <w:t xml:space="preserve">Proposal 1: </w:t>
      </w:r>
      <w:r w:rsidR="00F572BE">
        <w:rPr>
          <w:rFonts w:asciiTheme="minorHAnsi" w:hAnsiTheme="minorHAnsi" w:cstheme="minorHAnsi"/>
          <w:b/>
          <w:bCs/>
        </w:rPr>
        <w:t xml:space="preserve">RAN4 to </w:t>
      </w:r>
      <w:r w:rsidR="009B35C0">
        <w:rPr>
          <w:rFonts w:asciiTheme="minorHAnsi" w:hAnsiTheme="minorHAnsi" w:cstheme="minorHAnsi"/>
          <w:b/>
          <w:bCs/>
        </w:rPr>
        <w:t>confirm that independent power control</w:t>
      </w:r>
      <w:r w:rsidR="006739F3">
        <w:rPr>
          <w:rFonts w:asciiTheme="minorHAnsi" w:hAnsiTheme="minorHAnsi" w:cstheme="minorHAnsi"/>
          <w:b/>
          <w:bCs/>
        </w:rPr>
        <w:t xml:space="preserve"> per cell group</w:t>
      </w:r>
      <w:r w:rsidR="009B35C0">
        <w:rPr>
          <w:rFonts w:asciiTheme="minorHAnsi" w:hAnsiTheme="minorHAnsi" w:cstheme="minorHAnsi"/>
          <w:b/>
          <w:bCs/>
        </w:rPr>
        <w:t xml:space="preserve"> is feasible </w:t>
      </w:r>
      <w:r w:rsidR="006739F3">
        <w:rPr>
          <w:rFonts w:asciiTheme="minorHAnsi" w:hAnsiTheme="minorHAnsi" w:cstheme="minorHAnsi"/>
          <w:b/>
          <w:bCs/>
        </w:rPr>
        <w:t>when ‘</w:t>
      </w:r>
      <w:r w:rsidR="006739F3" w:rsidRPr="00DD41C1">
        <w:rPr>
          <w:rFonts w:ascii="Arial" w:hAnsi="Arial" w:cs="Arial"/>
          <w:color w:val="000000"/>
          <w:lang w:val="en-US" w:eastAsia="zh-CN"/>
        </w:rPr>
        <w:t xml:space="preserve">uplink CCs of MCG and uplink CCs of SCG are in different </w:t>
      </w:r>
      <w:r w:rsidR="006739F3" w:rsidRPr="00DD41C1">
        <w:rPr>
          <w:rFonts w:ascii="Arial" w:hAnsi="Arial" w:cs="Arial"/>
          <w:color w:val="000000" w:themeColor="text1"/>
          <w:lang w:val="en-US" w:eastAsia="zh-CN"/>
        </w:rPr>
        <w:t>frequency bands in FR2</w:t>
      </w:r>
      <w:r w:rsidR="006739F3">
        <w:rPr>
          <w:rFonts w:ascii="Arial" w:hAnsi="Arial" w:cs="Arial"/>
          <w:color w:val="000000" w:themeColor="text1"/>
          <w:lang w:val="en-US" w:eastAsia="zh-CN"/>
        </w:rPr>
        <w:t>’</w:t>
      </w:r>
      <w:r w:rsidRPr="00890720">
        <w:rPr>
          <w:rFonts w:asciiTheme="minorHAnsi" w:hAnsiTheme="minorHAnsi" w:cstheme="minorHAnsi"/>
          <w:b/>
          <w:bCs/>
        </w:rPr>
        <w:t xml:space="preserve">. </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612B1EAB" w:rsidR="001A364A" w:rsidRDefault="009A1069" w:rsidP="003941E2">
      <w:pPr>
        <w:numPr>
          <w:ilvl w:val="0"/>
          <w:numId w:val="1"/>
        </w:numPr>
        <w:rPr>
          <w:rFonts w:ascii="Arial" w:eastAsia="SimSun" w:hAnsi="Arial" w:cs="Arial"/>
          <w:bCs/>
          <w:sz w:val="18"/>
          <w:szCs w:val="18"/>
          <w:lang w:val="en-US" w:eastAsia="en-GB"/>
        </w:rPr>
      </w:pPr>
      <w:r w:rsidRPr="009A1069">
        <w:rPr>
          <w:rFonts w:ascii="Arial" w:eastAsia="SimSun" w:hAnsi="Arial" w:cs="Arial"/>
          <w:bCs/>
          <w:sz w:val="18"/>
          <w:szCs w:val="18"/>
          <w:lang w:val="en-US" w:eastAsia="en-GB"/>
        </w:rPr>
        <w:t>R4-2107605, Further Reply LS on power control for NR-DC, RAN4#99-e; RAN1</w:t>
      </w:r>
    </w:p>
    <w:p w14:paraId="4E445E03" w14:textId="3558185A" w:rsidR="009A1069" w:rsidRDefault="007D662B" w:rsidP="003941E2">
      <w:pPr>
        <w:numPr>
          <w:ilvl w:val="0"/>
          <w:numId w:val="1"/>
        </w:numPr>
        <w:rPr>
          <w:rFonts w:ascii="Arial" w:eastAsia="SimSun" w:hAnsi="Arial" w:cs="Arial"/>
          <w:bCs/>
          <w:sz w:val="18"/>
          <w:szCs w:val="18"/>
          <w:lang w:val="en-US" w:eastAsia="en-GB"/>
        </w:rPr>
      </w:pPr>
      <w:r w:rsidRPr="007D662B">
        <w:rPr>
          <w:rFonts w:ascii="Arial" w:eastAsia="SimSun" w:hAnsi="Arial" w:cs="Arial"/>
          <w:bCs/>
          <w:sz w:val="18"/>
          <w:szCs w:val="18"/>
          <w:lang w:val="en-US" w:eastAsia="en-GB"/>
        </w:rPr>
        <w:t>R4-2115081, WF on FR2 power control for NR-DC, OPPO, RAN4#100-e</w:t>
      </w:r>
    </w:p>
    <w:p w14:paraId="0FAB167B" w14:textId="39E83DB6" w:rsidR="00C76C3A" w:rsidRDefault="00636A0C" w:rsidP="003941E2">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R4-2118</w:t>
      </w:r>
      <w:r w:rsidR="00867BED">
        <w:rPr>
          <w:rFonts w:ascii="Arial" w:eastAsia="SimSun" w:hAnsi="Arial" w:cs="Arial"/>
          <w:bCs/>
          <w:sz w:val="18"/>
          <w:szCs w:val="18"/>
          <w:lang w:val="en-US" w:eastAsia="en-GB"/>
        </w:rPr>
        <w:t>2</w:t>
      </w:r>
      <w:r>
        <w:rPr>
          <w:rFonts w:ascii="Arial" w:eastAsia="SimSun" w:hAnsi="Arial" w:cs="Arial"/>
          <w:bCs/>
          <w:sz w:val="18"/>
          <w:szCs w:val="18"/>
          <w:lang w:val="en-US" w:eastAsia="en-GB"/>
        </w:rPr>
        <w:t>91, ‘</w:t>
      </w:r>
      <w:r w:rsidRPr="00636A0C">
        <w:rPr>
          <w:rFonts w:ascii="Arial" w:eastAsia="SimSun" w:hAnsi="Arial" w:cs="Arial"/>
          <w:bCs/>
          <w:sz w:val="18"/>
          <w:szCs w:val="18"/>
          <w:lang w:val="en-US" w:eastAsia="en-GB"/>
        </w:rPr>
        <w:t>Discussion and Reply LS on Further Reply LS on power control for NR-DC</w:t>
      </w:r>
      <w:r>
        <w:rPr>
          <w:rFonts w:ascii="Arial" w:eastAsia="SimSun" w:hAnsi="Arial" w:cs="Arial"/>
          <w:bCs/>
          <w:sz w:val="18"/>
          <w:szCs w:val="18"/>
          <w:lang w:val="en-US" w:eastAsia="en-GB"/>
        </w:rPr>
        <w:t>’, Vivo, RAN</w:t>
      </w:r>
      <w:r w:rsidR="00785CFF">
        <w:rPr>
          <w:rFonts w:ascii="Arial" w:eastAsia="SimSun" w:hAnsi="Arial" w:cs="Arial"/>
          <w:bCs/>
          <w:sz w:val="18"/>
          <w:szCs w:val="18"/>
          <w:lang w:val="en-US" w:eastAsia="en-GB"/>
        </w:rPr>
        <w:t>4#101-e</w:t>
      </w:r>
    </w:p>
    <w:p w14:paraId="1B066F2B" w14:textId="77777777" w:rsidR="004A25F9" w:rsidRPr="004A25F9" w:rsidRDefault="004A25F9" w:rsidP="004A25F9">
      <w:pPr>
        <w:pStyle w:val="ListParagraph"/>
        <w:numPr>
          <w:ilvl w:val="0"/>
          <w:numId w:val="1"/>
        </w:numPr>
        <w:rPr>
          <w:rFonts w:ascii="Arial" w:eastAsia="SimSun" w:hAnsi="Arial" w:cs="Arial"/>
          <w:bCs/>
          <w:sz w:val="18"/>
          <w:szCs w:val="18"/>
          <w:lang w:val="en-US" w:eastAsia="en-GB"/>
        </w:rPr>
      </w:pPr>
      <w:r w:rsidRPr="004A25F9">
        <w:rPr>
          <w:rFonts w:ascii="Arial" w:eastAsia="SimSun" w:hAnsi="Arial" w:cs="Arial"/>
          <w:bCs/>
          <w:sz w:val="18"/>
          <w:szCs w:val="18"/>
          <w:lang w:val="en-US" w:eastAsia="en-GB"/>
        </w:rPr>
        <w:t>R4-2202343, ‘WF on FR2+FR2 inter-band UL CA’, Qualcomm, RAN4#101-Bis-e, Jan. 2022</w:t>
      </w:r>
    </w:p>
    <w:p w14:paraId="1D943973" w14:textId="1F8E0FDE" w:rsidR="004A25F9" w:rsidRDefault="008310AB" w:rsidP="003941E2">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R4-220</w:t>
      </w:r>
      <w:r w:rsidR="0079583A">
        <w:rPr>
          <w:rFonts w:ascii="Arial" w:eastAsia="SimSun" w:hAnsi="Arial" w:cs="Arial"/>
          <w:bCs/>
          <w:sz w:val="18"/>
          <w:szCs w:val="18"/>
          <w:lang w:val="en-US" w:eastAsia="en-GB"/>
        </w:rPr>
        <w:t>6054</w:t>
      </w:r>
      <w:r>
        <w:rPr>
          <w:rFonts w:ascii="Arial" w:eastAsia="SimSun" w:hAnsi="Arial" w:cs="Arial"/>
          <w:bCs/>
          <w:sz w:val="18"/>
          <w:szCs w:val="18"/>
          <w:lang w:val="en-US" w:eastAsia="en-GB"/>
        </w:rPr>
        <w:t>, ‘</w:t>
      </w:r>
      <w:r w:rsidR="00F85FDC" w:rsidRPr="00F85FDC">
        <w:rPr>
          <w:rFonts w:ascii="Arial" w:eastAsia="SimSun" w:hAnsi="Arial" w:cs="Arial"/>
          <w:bCs/>
          <w:sz w:val="18"/>
          <w:szCs w:val="18"/>
          <w:lang w:val="en-US" w:eastAsia="en-GB"/>
        </w:rPr>
        <w:t>delta(TIB) for FR2+FR2 ULCA</w:t>
      </w:r>
      <w:r w:rsidR="00F85FDC">
        <w:rPr>
          <w:rFonts w:ascii="Arial" w:eastAsia="SimSun" w:hAnsi="Arial" w:cs="Arial"/>
          <w:bCs/>
          <w:sz w:val="18"/>
          <w:szCs w:val="18"/>
          <w:lang w:val="en-US" w:eastAsia="en-GB"/>
        </w:rPr>
        <w:t xml:space="preserve">’, </w:t>
      </w:r>
      <w:r w:rsidR="00F85FDC" w:rsidRPr="004A25F9">
        <w:rPr>
          <w:rFonts w:ascii="Arial" w:eastAsia="SimSun" w:hAnsi="Arial" w:cs="Arial"/>
          <w:bCs/>
          <w:sz w:val="18"/>
          <w:szCs w:val="18"/>
          <w:lang w:val="en-US" w:eastAsia="en-GB"/>
        </w:rPr>
        <w:t>Qualcomm, RAN4#10</w:t>
      </w:r>
      <w:r w:rsidR="00F85FDC">
        <w:rPr>
          <w:rFonts w:ascii="Arial" w:eastAsia="SimSun" w:hAnsi="Arial" w:cs="Arial"/>
          <w:bCs/>
          <w:sz w:val="18"/>
          <w:szCs w:val="18"/>
          <w:lang w:val="en-US" w:eastAsia="en-GB"/>
        </w:rPr>
        <w:t>2</w:t>
      </w:r>
      <w:r w:rsidR="00F85FDC" w:rsidRPr="004A25F9">
        <w:rPr>
          <w:rFonts w:ascii="Arial" w:eastAsia="SimSun" w:hAnsi="Arial" w:cs="Arial"/>
          <w:bCs/>
          <w:sz w:val="18"/>
          <w:szCs w:val="18"/>
          <w:lang w:val="en-US" w:eastAsia="en-GB"/>
        </w:rPr>
        <w:t xml:space="preserve">-e, </w:t>
      </w:r>
      <w:r w:rsidR="00F85FDC">
        <w:rPr>
          <w:rFonts w:ascii="Arial" w:eastAsia="SimSun" w:hAnsi="Arial" w:cs="Arial"/>
          <w:bCs/>
          <w:sz w:val="18"/>
          <w:szCs w:val="18"/>
          <w:lang w:val="en-US" w:eastAsia="en-GB"/>
        </w:rPr>
        <w:t>Feb.-Mar</w:t>
      </w:r>
      <w:r w:rsidR="00F85FDC" w:rsidRPr="004A25F9">
        <w:rPr>
          <w:rFonts w:ascii="Arial" w:eastAsia="SimSun" w:hAnsi="Arial" w:cs="Arial"/>
          <w:bCs/>
          <w:sz w:val="18"/>
          <w:szCs w:val="18"/>
          <w:lang w:val="en-US" w:eastAsia="en-GB"/>
        </w:rPr>
        <w:t>. 2022</w:t>
      </w:r>
    </w:p>
    <w:p w14:paraId="30AFFE03" w14:textId="53BC7B4C" w:rsidR="00402F6B" w:rsidRDefault="00110AC3" w:rsidP="003941E2">
      <w:pPr>
        <w:numPr>
          <w:ilvl w:val="0"/>
          <w:numId w:val="1"/>
        </w:numPr>
        <w:rPr>
          <w:rFonts w:ascii="Arial" w:eastAsia="SimSun" w:hAnsi="Arial" w:cs="Arial"/>
          <w:bCs/>
          <w:sz w:val="18"/>
          <w:szCs w:val="18"/>
          <w:lang w:val="en-US" w:eastAsia="en-GB"/>
        </w:rPr>
      </w:pPr>
      <w:r w:rsidRPr="00110AC3">
        <w:rPr>
          <w:rFonts w:ascii="Arial" w:eastAsia="SimSun" w:hAnsi="Arial" w:cs="Arial"/>
          <w:bCs/>
          <w:sz w:val="18"/>
          <w:szCs w:val="18"/>
          <w:lang w:val="en-US" w:eastAsia="en-GB"/>
        </w:rPr>
        <w:t>R4-220</w:t>
      </w:r>
      <w:r w:rsidR="0079583A">
        <w:rPr>
          <w:rFonts w:ascii="Arial" w:eastAsia="SimSun" w:hAnsi="Arial" w:cs="Arial"/>
          <w:bCs/>
          <w:sz w:val="18"/>
          <w:szCs w:val="18"/>
          <w:lang w:val="en-US" w:eastAsia="en-GB"/>
        </w:rPr>
        <w:t>6057</w:t>
      </w:r>
      <w:r w:rsidRPr="00110AC3">
        <w:rPr>
          <w:rFonts w:ascii="Arial" w:eastAsia="SimSun" w:hAnsi="Arial" w:cs="Arial"/>
          <w:bCs/>
          <w:sz w:val="18"/>
          <w:szCs w:val="18"/>
          <w:lang w:val="en-US" w:eastAsia="en-GB"/>
        </w:rPr>
        <w:t>, ‘draft CR to introduce FR2+R2 inter-band ULCA’, Qualcomm, RAN4#102, Feb 2022</w:t>
      </w:r>
    </w:p>
    <w:p w14:paraId="080D5182" w14:textId="77777777" w:rsidR="00B6093E" w:rsidRPr="00B6093E" w:rsidRDefault="00B6093E" w:rsidP="00B6093E">
      <w:pPr>
        <w:pStyle w:val="ListParagraph"/>
        <w:numPr>
          <w:ilvl w:val="0"/>
          <w:numId w:val="1"/>
        </w:numPr>
        <w:rPr>
          <w:rFonts w:ascii="Arial" w:eastAsia="SimSun" w:hAnsi="Arial" w:cs="Arial"/>
          <w:bCs/>
          <w:sz w:val="18"/>
          <w:szCs w:val="18"/>
          <w:lang w:val="en-US" w:eastAsia="en-GB"/>
        </w:rPr>
      </w:pPr>
      <w:r w:rsidRPr="00B6093E">
        <w:rPr>
          <w:rFonts w:ascii="Arial" w:eastAsia="SimSun" w:hAnsi="Arial" w:cs="Arial"/>
          <w:bCs/>
          <w:sz w:val="18"/>
          <w:szCs w:val="18"/>
          <w:lang w:val="en-US" w:eastAsia="en-GB"/>
        </w:rPr>
        <w:t>R4-2202343, ‘WF on FR2+FR2 inter-band UL CA’, Qualcomm, RAN4#101-Bis-e, Jan. 2022</w:t>
      </w:r>
    </w:p>
    <w:p w14:paraId="254607FE" w14:textId="77777777" w:rsidR="00B6093E" w:rsidRPr="000B036D" w:rsidRDefault="00B6093E" w:rsidP="00B6093E">
      <w:pPr>
        <w:ind w:left="720"/>
        <w:rPr>
          <w:rFonts w:ascii="Arial" w:eastAsia="SimSun" w:hAnsi="Arial" w:cs="Arial"/>
          <w:bCs/>
          <w:sz w:val="18"/>
          <w:szCs w:val="18"/>
          <w:lang w:val="en-US" w:eastAsia="en-GB"/>
        </w:rPr>
      </w:pPr>
    </w:p>
    <w:sectPr w:rsidR="00B6093E"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64894"/>
    <w:multiLevelType w:val="hybridMultilevel"/>
    <w:tmpl w:val="801C3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10"/>
  </w:num>
  <w:num w:numId="4">
    <w:abstractNumId w:val="3"/>
  </w:num>
  <w:num w:numId="5">
    <w:abstractNumId w:val="1"/>
  </w:num>
  <w:num w:numId="6">
    <w:abstractNumId w:val="0"/>
  </w:num>
  <w:num w:numId="7">
    <w:abstractNumId w:val="9"/>
  </w:num>
  <w:num w:numId="8">
    <w:abstractNumId w:val="8"/>
  </w:num>
  <w:num w:numId="9">
    <w:abstractNumId w:val="7"/>
  </w:num>
  <w:num w:numId="10">
    <w:abstractNumId w:val="11"/>
  </w:num>
  <w:num w:numId="11">
    <w:abstractNumId w:val="5"/>
  </w:num>
  <w:num w:numId="1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2753F"/>
    <w:rsid w:val="00030AC1"/>
    <w:rsid w:val="00030C1A"/>
    <w:rsid w:val="00030E28"/>
    <w:rsid w:val="00031728"/>
    <w:rsid w:val="00032669"/>
    <w:rsid w:val="00033643"/>
    <w:rsid w:val="0003444E"/>
    <w:rsid w:val="00034760"/>
    <w:rsid w:val="00035518"/>
    <w:rsid w:val="000377BA"/>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11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120D"/>
    <w:rsid w:val="00072010"/>
    <w:rsid w:val="00072326"/>
    <w:rsid w:val="000726D8"/>
    <w:rsid w:val="00074051"/>
    <w:rsid w:val="0007417F"/>
    <w:rsid w:val="00074C38"/>
    <w:rsid w:val="000760CB"/>
    <w:rsid w:val="00076DED"/>
    <w:rsid w:val="00077EB3"/>
    <w:rsid w:val="00080921"/>
    <w:rsid w:val="000812C2"/>
    <w:rsid w:val="00081306"/>
    <w:rsid w:val="000817D0"/>
    <w:rsid w:val="000831CC"/>
    <w:rsid w:val="00083838"/>
    <w:rsid w:val="000842C1"/>
    <w:rsid w:val="000855E0"/>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0C79"/>
    <w:rsid w:val="000B4BEE"/>
    <w:rsid w:val="000B6E32"/>
    <w:rsid w:val="000B7016"/>
    <w:rsid w:val="000C0F98"/>
    <w:rsid w:val="000C1800"/>
    <w:rsid w:val="000C21B9"/>
    <w:rsid w:val="000C2286"/>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C7FDF"/>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E7E1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2F63"/>
    <w:rsid w:val="00103712"/>
    <w:rsid w:val="00103FBC"/>
    <w:rsid w:val="00104A79"/>
    <w:rsid w:val="00104FAB"/>
    <w:rsid w:val="001054AF"/>
    <w:rsid w:val="00105BC0"/>
    <w:rsid w:val="0010618D"/>
    <w:rsid w:val="001069FC"/>
    <w:rsid w:val="00106F8A"/>
    <w:rsid w:val="00107246"/>
    <w:rsid w:val="001106E3"/>
    <w:rsid w:val="00110AC3"/>
    <w:rsid w:val="001114E4"/>
    <w:rsid w:val="00111AE3"/>
    <w:rsid w:val="00111BAC"/>
    <w:rsid w:val="00111C42"/>
    <w:rsid w:val="00112079"/>
    <w:rsid w:val="00112950"/>
    <w:rsid w:val="00114F49"/>
    <w:rsid w:val="0011590E"/>
    <w:rsid w:val="0011594A"/>
    <w:rsid w:val="00116429"/>
    <w:rsid w:val="0011645F"/>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0B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680D"/>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34"/>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A7E6F"/>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AC3"/>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7DE"/>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1AF8"/>
    <w:rsid w:val="0022295F"/>
    <w:rsid w:val="00222D66"/>
    <w:rsid w:val="00222E55"/>
    <w:rsid w:val="0022333C"/>
    <w:rsid w:val="00223824"/>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5FA"/>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2DD"/>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4F53"/>
    <w:rsid w:val="002B5461"/>
    <w:rsid w:val="002B5C11"/>
    <w:rsid w:val="002B6001"/>
    <w:rsid w:val="002B6289"/>
    <w:rsid w:val="002B73A0"/>
    <w:rsid w:val="002B76BD"/>
    <w:rsid w:val="002C0E0C"/>
    <w:rsid w:val="002C0F18"/>
    <w:rsid w:val="002C1FBB"/>
    <w:rsid w:val="002C21D2"/>
    <w:rsid w:val="002C4407"/>
    <w:rsid w:val="002C5153"/>
    <w:rsid w:val="002C5814"/>
    <w:rsid w:val="002C585A"/>
    <w:rsid w:val="002C5A51"/>
    <w:rsid w:val="002C5CC1"/>
    <w:rsid w:val="002C62E7"/>
    <w:rsid w:val="002C65B6"/>
    <w:rsid w:val="002C7397"/>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5875"/>
    <w:rsid w:val="002E6130"/>
    <w:rsid w:val="002E7011"/>
    <w:rsid w:val="002E7CA1"/>
    <w:rsid w:val="002F03EC"/>
    <w:rsid w:val="002F1369"/>
    <w:rsid w:val="002F1C8C"/>
    <w:rsid w:val="002F1E4E"/>
    <w:rsid w:val="002F2467"/>
    <w:rsid w:val="002F28ED"/>
    <w:rsid w:val="002F2AF3"/>
    <w:rsid w:val="002F367F"/>
    <w:rsid w:val="002F3972"/>
    <w:rsid w:val="002F43FC"/>
    <w:rsid w:val="002F4F52"/>
    <w:rsid w:val="002F5196"/>
    <w:rsid w:val="002F583F"/>
    <w:rsid w:val="002F62ED"/>
    <w:rsid w:val="002F6702"/>
    <w:rsid w:val="002F6AEE"/>
    <w:rsid w:val="002F77EF"/>
    <w:rsid w:val="002F7C54"/>
    <w:rsid w:val="003000FE"/>
    <w:rsid w:val="0030012B"/>
    <w:rsid w:val="00300732"/>
    <w:rsid w:val="00300B71"/>
    <w:rsid w:val="00301064"/>
    <w:rsid w:val="003013ED"/>
    <w:rsid w:val="00302A56"/>
    <w:rsid w:val="00302E72"/>
    <w:rsid w:val="0030510A"/>
    <w:rsid w:val="0030770F"/>
    <w:rsid w:val="00310536"/>
    <w:rsid w:val="00311C70"/>
    <w:rsid w:val="003126D5"/>
    <w:rsid w:val="003141FD"/>
    <w:rsid w:val="00315C69"/>
    <w:rsid w:val="00323781"/>
    <w:rsid w:val="003237EB"/>
    <w:rsid w:val="003238F8"/>
    <w:rsid w:val="003242F2"/>
    <w:rsid w:val="003246A1"/>
    <w:rsid w:val="00324D06"/>
    <w:rsid w:val="00325469"/>
    <w:rsid w:val="00327007"/>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A85"/>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4D87"/>
    <w:rsid w:val="00375AA5"/>
    <w:rsid w:val="00375F94"/>
    <w:rsid w:val="00377DC4"/>
    <w:rsid w:val="00380652"/>
    <w:rsid w:val="00381475"/>
    <w:rsid w:val="00381627"/>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41E2"/>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3E99"/>
    <w:rsid w:val="003B4BF2"/>
    <w:rsid w:val="003B4D50"/>
    <w:rsid w:val="003B6F17"/>
    <w:rsid w:val="003B79BA"/>
    <w:rsid w:val="003C0362"/>
    <w:rsid w:val="003C0809"/>
    <w:rsid w:val="003C17C4"/>
    <w:rsid w:val="003C1DB8"/>
    <w:rsid w:val="003C2BA0"/>
    <w:rsid w:val="003C3217"/>
    <w:rsid w:val="003C3383"/>
    <w:rsid w:val="003C3661"/>
    <w:rsid w:val="003C5038"/>
    <w:rsid w:val="003C5CAE"/>
    <w:rsid w:val="003C6029"/>
    <w:rsid w:val="003D0148"/>
    <w:rsid w:val="003D0A5E"/>
    <w:rsid w:val="003D353C"/>
    <w:rsid w:val="003D41E2"/>
    <w:rsid w:val="003D46AF"/>
    <w:rsid w:val="003D4978"/>
    <w:rsid w:val="003D76EC"/>
    <w:rsid w:val="003E0174"/>
    <w:rsid w:val="003E0C2D"/>
    <w:rsid w:val="003E0EF6"/>
    <w:rsid w:val="003E0F2B"/>
    <w:rsid w:val="003E11D3"/>
    <w:rsid w:val="003E13CC"/>
    <w:rsid w:val="003E1E32"/>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2F6B"/>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4F39"/>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03"/>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2B0"/>
    <w:rsid w:val="0048463B"/>
    <w:rsid w:val="0048465E"/>
    <w:rsid w:val="00484A20"/>
    <w:rsid w:val="00484FB6"/>
    <w:rsid w:val="0048532D"/>
    <w:rsid w:val="004859AB"/>
    <w:rsid w:val="0048611C"/>
    <w:rsid w:val="0048673A"/>
    <w:rsid w:val="00486C32"/>
    <w:rsid w:val="00486EA2"/>
    <w:rsid w:val="004870EB"/>
    <w:rsid w:val="00487630"/>
    <w:rsid w:val="004900F0"/>
    <w:rsid w:val="004918DB"/>
    <w:rsid w:val="004920D2"/>
    <w:rsid w:val="0049230B"/>
    <w:rsid w:val="00492E39"/>
    <w:rsid w:val="00493FC2"/>
    <w:rsid w:val="0049485A"/>
    <w:rsid w:val="004951B9"/>
    <w:rsid w:val="004958EA"/>
    <w:rsid w:val="00495D4A"/>
    <w:rsid w:val="00496FBC"/>
    <w:rsid w:val="00496FCF"/>
    <w:rsid w:val="00497485"/>
    <w:rsid w:val="004976F7"/>
    <w:rsid w:val="004979CB"/>
    <w:rsid w:val="00497A24"/>
    <w:rsid w:val="00497C68"/>
    <w:rsid w:val="004A01CF"/>
    <w:rsid w:val="004A0AFB"/>
    <w:rsid w:val="004A25F9"/>
    <w:rsid w:val="004A39D7"/>
    <w:rsid w:val="004A4D20"/>
    <w:rsid w:val="004A4E24"/>
    <w:rsid w:val="004A635E"/>
    <w:rsid w:val="004A6BD0"/>
    <w:rsid w:val="004A737C"/>
    <w:rsid w:val="004B0081"/>
    <w:rsid w:val="004B037C"/>
    <w:rsid w:val="004B0DFB"/>
    <w:rsid w:val="004B13D9"/>
    <w:rsid w:val="004B1886"/>
    <w:rsid w:val="004B2805"/>
    <w:rsid w:val="004B32D3"/>
    <w:rsid w:val="004B375E"/>
    <w:rsid w:val="004B4826"/>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566"/>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3D"/>
    <w:rsid w:val="005341AC"/>
    <w:rsid w:val="00534C0E"/>
    <w:rsid w:val="00534D95"/>
    <w:rsid w:val="005377BF"/>
    <w:rsid w:val="0054057A"/>
    <w:rsid w:val="005407BB"/>
    <w:rsid w:val="005410B5"/>
    <w:rsid w:val="005415AB"/>
    <w:rsid w:val="00542A5A"/>
    <w:rsid w:val="00542AEC"/>
    <w:rsid w:val="0054441A"/>
    <w:rsid w:val="0054489C"/>
    <w:rsid w:val="005457A0"/>
    <w:rsid w:val="00545D12"/>
    <w:rsid w:val="00545F2B"/>
    <w:rsid w:val="00546053"/>
    <w:rsid w:val="00546404"/>
    <w:rsid w:val="005474D0"/>
    <w:rsid w:val="00547B8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166"/>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198"/>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177C"/>
    <w:rsid w:val="005A3892"/>
    <w:rsid w:val="005A3A16"/>
    <w:rsid w:val="005A3AFC"/>
    <w:rsid w:val="005A5500"/>
    <w:rsid w:val="005A5992"/>
    <w:rsid w:val="005A59C0"/>
    <w:rsid w:val="005A5E68"/>
    <w:rsid w:val="005A7C2A"/>
    <w:rsid w:val="005B03DB"/>
    <w:rsid w:val="005B0A6C"/>
    <w:rsid w:val="005B0AC1"/>
    <w:rsid w:val="005B0C0D"/>
    <w:rsid w:val="005B16F2"/>
    <w:rsid w:val="005B193E"/>
    <w:rsid w:val="005B19CF"/>
    <w:rsid w:val="005B1D2D"/>
    <w:rsid w:val="005B3A1F"/>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200A"/>
    <w:rsid w:val="005F2F20"/>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A0C"/>
    <w:rsid w:val="00636B40"/>
    <w:rsid w:val="00637AE7"/>
    <w:rsid w:val="006408BB"/>
    <w:rsid w:val="00642F54"/>
    <w:rsid w:val="0064339E"/>
    <w:rsid w:val="00643CE6"/>
    <w:rsid w:val="00644E09"/>
    <w:rsid w:val="00645020"/>
    <w:rsid w:val="0064570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391"/>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39F3"/>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DE"/>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1DE"/>
    <w:rsid w:val="006E274D"/>
    <w:rsid w:val="006E2927"/>
    <w:rsid w:val="006E4C54"/>
    <w:rsid w:val="006E4D30"/>
    <w:rsid w:val="006F027C"/>
    <w:rsid w:val="006F03DE"/>
    <w:rsid w:val="006F196D"/>
    <w:rsid w:val="006F1B17"/>
    <w:rsid w:val="006F1E98"/>
    <w:rsid w:val="006F2300"/>
    <w:rsid w:val="006F2349"/>
    <w:rsid w:val="006F2678"/>
    <w:rsid w:val="006F2695"/>
    <w:rsid w:val="006F2AAE"/>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6502"/>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66DB"/>
    <w:rsid w:val="007471F4"/>
    <w:rsid w:val="007477B0"/>
    <w:rsid w:val="00747838"/>
    <w:rsid w:val="00747AE3"/>
    <w:rsid w:val="0075119B"/>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76B3F"/>
    <w:rsid w:val="00776B48"/>
    <w:rsid w:val="00780C28"/>
    <w:rsid w:val="00780D08"/>
    <w:rsid w:val="007816A2"/>
    <w:rsid w:val="0078304A"/>
    <w:rsid w:val="00783343"/>
    <w:rsid w:val="00784962"/>
    <w:rsid w:val="00785CFF"/>
    <w:rsid w:val="00785DF0"/>
    <w:rsid w:val="0079011C"/>
    <w:rsid w:val="007907C2"/>
    <w:rsid w:val="007912F9"/>
    <w:rsid w:val="00791A1D"/>
    <w:rsid w:val="00791CE3"/>
    <w:rsid w:val="00792165"/>
    <w:rsid w:val="00792F66"/>
    <w:rsid w:val="00792FC5"/>
    <w:rsid w:val="0079583A"/>
    <w:rsid w:val="00795AC4"/>
    <w:rsid w:val="00796D2F"/>
    <w:rsid w:val="007A0EF6"/>
    <w:rsid w:val="007A1A88"/>
    <w:rsid w:val="007A1E57"/>
    <w:rsid w:val="007A3F88"/>
    <w:rsid w:val="007A5211"/>
    <w:rsid w:val="007A56F5"/>
    <w:rsid w:val="007A5FE3"/>
    <w:rsid w:val="007A6188"/>
    <w:rsid w:val="007A74BA"/>
    <w:rsid w:val="007B0169"/>
    <w:rsid w:val="007B0ABC"/>
    <w:rsid w:val="007B195F"/>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3D0"/>
    <w:rsid w:val="007C56A9"/>
    <w:rsid w:val="007C56C0"/>
    <w:rsid w:val="007C5792"/>
    <w:rsid w:val="007C6050"/>
    <w:rsid w:val="007C6778"/>
    <w:rsid w:val="007C6E00"/>
    <w:rsid w:val="007D003A"/>
    <w:rsid w:val="007D099F"/>
    <w:rsid w:val="007D11BE"/>
    <w:rsid w:val="007D1959"/>
    <w:rsid w:val="007D1DB4"/>
    <w:rsid w:val="007D2B06"/>
    <w:rsid w:val="007D2F6E"/>
    <w:rsid w:val="007D3427"/>
    <w:rsid w:val="007D4012"/>
    <w:rsid w:val="007D4C55"/>
    <w:rsid w:val="007D4E70"/>
    <w:rsid w:val="007D57F1"/>
    <w:rsid w:val="007D5C8E"/>
    <w:rsid w:val="007D662B"/>
    <w:rsid w:val="007D67B5"/>
    <w:rsid w:val="007D6ECC"/>
    <w:rsid w:val="007D7F6F"/>
    <w:rsid w:val="007E2050"/>
    <w:rsid w:val="007E2167"/>
    <w:rsid w:val="007E2213"/>
    <w:rsid w:val="007E29B7"/>
    <w:rsid w:val="007E2AFB"/>
    <w:rsid w:val="007E3106"/>
    <w:rsid w:val="007E37FA"/>
    <w:rsid w:val="007E3EA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35C4"/>
    <w:rsid w:val="00804D26"/>
    <w:rsid w:val="00804D43"/>
    <w:rsid w:val="00805649"/>
    <w:rsid w:val="00805AEC"/>
    <w:rsid w:val="00806BAD"/>
    <w:rsid w:val="008078E6"/>
    <w:rsid w:val="00810EC4"/>
    <w:rsid w:val="00812B98"/>
    <w:rsid w:val="00814B48"/>
    <w:rsid w:val="008150F4"/>
    <w:rsid w:val="008151A2"/>
    <w:rsid w:val="008152BD"/>
    <w:rsid w:val="00815671"/>
    <w:rsid w:val="008157E8"/>
    <w:rsid w:val="0081713B"/>
    <w:rsid w:val="0081721A"/>
    <w:rsid w:val="008208E0"/>
    <w:rsid w:val="008209B1"/>
    <w:rsid w:val="0082323B"/>
    <w:rsid w:val="00824AD9"/>
    <w:rsid w:val="00825750"/>
    <w:rsid w:val="00826385"/>
    <w:rsid w:val="0082693A"/>
    <w:rsid w:val="00827304"/>
    <w:rsid w:val="00827D78"/>
    <w:rsid w:val="00830C2E"/>
    <w:rsid w:val="00830ED0"/>
    <w:rsid w:val="008310AB"/>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C28"/>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67BED"/>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17A6"/>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3934"/>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3BE"/>
    <w:rsid w:val="008D5F0E"/>
    <w:rsid w:val="008D63A8"/>
    <w:rsid w:val="008D64F5"/>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676D"/>
    <w:rsid w:val="0094765F"/>
    <w:rsid w:val="00947803"/>
    <w:rsid w:val="0095149E"/>
    <w:rsid w:val="00951F33"/>
    <w:rsid w:val="00952A0B"/>
    <w:rsid w:val="00952B99"/>
    <w:rsid w:val="00953CD5"/>
    <w:rsid w:val="00954D53"/>
    <w:rsid w:val="00955BCA"/>
    <w:rsid w:val="0096054F"/>
    <w:rsid w:val="00960582"/>
    <w:rsid w:val="00961BF0"/>
    <w:rsid w:val="00961D8E"/>
    <w:rsid w:val="00962566"/>
    <w:rsid w:val="00962F3D"/>
    <w:rsid w:val="00964430"/>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069"/>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5C0"/>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52DD"/>
    <w:rsid w:val="009C611E"/>
    <w:rsid w:val="009C7EFC"/>
    <w:rsid w:val="009D0F5C"/>
    <w:rsid w:val="009D1612"/>
    <w:rsid w:val="009D21B1"/>
    <w:rsid w:val="009D22E9"/>
    <w:rsid w:val="009D2800"/>
    <w:rsid w:val="009D29CF"/>
    <w:rsid w:val="009D34B2"/>
    <w:rsid w:val="009D3DA1"/>
    <w:rsid w:val="009D4034"/>
    <w:rsid w:val="009D415E"/>
    <w:rsid w:val="009D4229"/>
    <w:rsid w:val="009D51F8"/>
    <w:rsid w:val="009D595B"/>
    <w:rsid w:val="009D5CFB"/>
    <w:rsid w:val="009D62E1"/>
    <w:rsid w:val="009D6519"/>
    <w:rsid w:val="009D6F57"/>
    <w:rsid w:val="009D7A8E"/>
    <w:rsid w:val="009E026A"/>
    <w:rsid w:val="009E08C2"/>
    <w:rsid w:val="009E300F"/>
    <w:rsid w:val="009E3820"/>
    <w:rsid w:val="009E3B42"/>
    <w:rsid w:val="009E4662"/>
    <w:rsid w:val="009E4FD2"/>
    <w:rsid w:val="009E54DA"/>
    <w:rsid w:val="009E60F6"/>
    <w:rsid w:val="009E6DAC"/>
    <w:rsid w:val="009E749E"/>
    <w:rsid w:val="009E78FF"/>
    <w:rsid w:val="009F0728"/>
    <w:rsid w:val="009F14C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AC"/>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4258"/>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1DED"/>
    <w:rsid w:val="00A72406"/>
    <w:rsid w:val="00A7241B"/>
    <w:rsid w:val="00A72832"/>
    <w:rsid w:val="00A72A55"/>
    <w:rsid w:val="00A73F07"/>
    <w:rsid w:val="00A74155"/>
    <w:rsid w:val="00A74454"/>
    <w:rsid w:val="00A74EF2"/>
    <w:rsid w:val="00A7502C"/>
    <w:rsid w:val="00A761AF"/>
    <w:rsid w:val="00A767C3"/>
    <w:rsid w:val="00A80D00"/>
    <w:rsid w:val="00A812C2"/>
    <w:rsid w:val="00A81396"/>
    <w:rsid w:val="00A815DE"/>
    <w:rsid w:val="00A81CCD"/>
    <w:rsid w:val="00A81CE1"/>
    <w:rsid w:val="00A81EFB"/>
    <w:rsid w:val="00A82C4D"/>
    <w:rsid w:val="00A83194"/>
    <w:rsid w:val="00A8381B"/>
    <w:rsid w:val="00A8652F"/>
    <w:rsid w:val="00A86585"/>
    <w:rsid w:val="00A90CFF"/>
    <w:rsid w:val="00A9131D"/>
    <w:rsid w:val="00A92091"/>
    <w:rsid w:val="00A931F4"/>
    <w:rsid w:val="00A93A41"/>
    <w:rsid w:val="00A946C9"/>
    <w:rsid w:val="00A948A5"/>
    <w:rsid w:val="00A94933"/>
    <w:rsid w:val="00A94A25"/>
    <w:rsid w:val="00A95A7F"/>
    <w:rsid w:val="00A95DB4"/>
    <w:rsid w:val="00A9644D"/>
    <w:rsid w:val="00A97D2C"/>
    <w:rsid w:val="00AA058A"/>
    <w:rsid w:val="00AA156B"/>
    <w:rsid w:val="00AA2094"/>
    <w:rsid w:val="00AA2151"/>
    <w:rsid w:val="00AA232A"/>
    <w:rsid w:val="00AA282A"/>
    <w:rsid w:val="00AA3186"/>
    <w:rsid w:val="00AA33EC"/>
    <w:rsid w:val="00AA4F5E"/>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1A83"/>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0CB3"/>
    <w:rsid w:val="00B01CFD"/>
    <w:rsid w:val="00B02CFD"/>
    <w:rsid w:val="00B039CA"/>
    <w:rsid w:val="00B03E3A"/>
    <w:rsid w:val="00B05643"/>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0A87"/>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37AF"/>
    <w:rsid w:val="00B3741F"/>
    <w:rsid w:val="00B377B6"/>
    <w:rsid w:val="00B377DA"/>
    <w:rsid w:val="00B37BF6"/>
    <w:rsid w:val="00B37C2F"/>
    <w:rsid w:val="00B37D24"/>
    <w:rsid w:val="00B40E04"/>
    <w:rsid w:val="00B41925"/>
    <w:rsid w:val="00B420A4"/>
    <w:rsid w:val="00B426B8"/>
    <w:rsid w:val="00B42867"/>
    <w:rsid w:val="00B4352E"/>
    <w:rsid w:val="00B4355C"/>
    <w:rsid w:val="00B437CD"/>
    <w:rsid w:val="00B44A8A"/>
    <w:rsid w:val="00B45164"/>
    <w:rsid w:val="00B467BA"/>
    <w:rsid w:val="00B46B41"/>
    <w:rsid w:val="00B471B7"/>
    <w:rsid w:val="00B50DFC"/>
    <w:rsid w:val="00B51DBF"/>
    <w:rsid w:val="00B52754"/>
    <w:rsid w:val="00B529E9"/>
    <w:rsid w:val="00B5499F"/>
    <w:rsid w:val="00B557F9"/>
    <w:rsid w:val="00B56903"/>
    <w:rsid w:val="00B575B5"/>
    <w:rsid w:val="00B57E31"/>
    <w:rsid w:val="00B60568"/>
    <w:rsid w:val="00B6093E"/>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6825"/>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1D4"/>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410"/>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0C12"/>
    <w:rsid w:val="00C6113D"/>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C3A"/>
    <w:rsid w:val="00C76E0A"/>
    <w:rsid w:val="00C809D6"/>
    <w:rsid w:val="00C80D68"/>
    <w:rsid w:val="00C816D9"/>
    <w:rsid w:val="00C828B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97DDC"/>
    <w:rsid w:val="00CA134D"/>
    <w:rsid w:val="00CA2AD1"/>
    <w:rsid w:val="00CA539B"/>
    <w:rsid w:val="00CA59AA"/>
    <w:rsid w:val="00CA6B37"/>
    <w:rsid w:val="00CA76CB"/>
    <w:rsid w:val="00CB0CDC"/>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A0"/>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1143"/>
    <w:rsid w:val="00CE2DB7"/>
    <w:rsid w:val="00CE3E8B"/>
    <w:rsid w:val="00CE43C9"/>
    <w:rsid w:val="00CE4B0A"/>
    <w:rsid w:val="00CE4D23"/>
    <w:rsid w:val="00CE5127"/>
    <w:rsid w:val="00CE5675"/>
    <w:rsid w:val="00CE6D8D"/>
    <w:rsid w:val="00CE7B76"/>
    <w:rsid w:val="00CF024F"/>
    <w:rsid w:val="00CF0335"/>
    <w:rsid w:val="00CF0E49"/>
    <w:rsid w:val="00CF1518"/>
    <w:rsid w:val="00CF289E"/>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5CD"/>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77DE6"/>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46C"/>
    <w:rsid w:val="00D9671F"/>
    <w:rsid w:val="00DA0412"/>
    <w:rsid w:val="00DA10EB"/>
    <w:rsid w:val="00DA1520"/>
    <w:rsid w:val="00DA1790"/>
    <w:rsid w:val="00DA1A3E"/>
    <w:rsid w:val="00DA24EF"/>
    <w:rsid w:val="00DA2B07"/>
    <w:rsid w:val="00DA3470"/>
    <w:rsid w:val="00DA34F0"/>
    <w:rsid w:val="00DA57B9"/>
    <w:rsid w:val="00DA581E"/>
    <w:rsid w:val="00DA645F"/>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4E27"/>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2378"/>
    <w:rsid w:val="00E03882"/>
    <w:rsid w:val="00E048E9"/>
    <w:rsid w:val="00E049E7"/>
    <w:rsid w:val="00E04D5A"/>
    <w:rsid w:val="00E04DFA"/>
    <w:rsid w:val="00E04E91"/>
    <w:rsid w:val="00E05254"/>
    <w:rsid w:val="00E063F4"/>
    <w:rsid w:val="00E06582"/>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318"/>
    <w:rsid w:val="00E56485"/>
    <w:rsid w:val="00E56DB5"/>
    <w:rsid w:val="00E57B52"/>
    <w:rsid w:val="00E61E38"/>
    <w:rsid w:val="00E623D1"/>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7DB"/>
    <w:rsid w:val="00E74DF6"/>
    <w:rsid w:val="00E74F8B"/>
    <w:rsid w:val="00E76A31"/>
    <w:rsid w:val="00E76ADB"/>
    <w:rsid w:val="00E770B3"/>
    <w:rsid w:val="00E7734D"/>
    <w:rsid w:val="00E811F6"/>
    <w:rsid w:val="00E81204"/>
    <w:rsid w:val="00E81BF3"/>
    <w:rsid w:val="00E82517"/>
    <w:rsid w:val="00E828DB"/>
    <w:rsid w:val="00E82B97"/>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144"/>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357C"/>
    <w:rsid w:val="00F542FE"/>
    <w:rsid w:val="00F5620E"/>
    <w:rsid w:val="00F56566"/>
    <w:rsid w:val="00F56EBD"/>
    <w:rsid w:val="00F56F06"/>
    <w:rsid w:val="00F56F4E"/>
    <w:rsid w:val="00F572BE"/>
    <w:rsid w:val="00F6064F"/>
    <w:rsid w:val="00F60C40"/>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775BC"/>
    <w:rsid w:val="00F80CA6"/>
    <w:rsid w:val="00F81DBE"/>
    <w:rsid w:val="00F83268"/>
    <w:rsid w:val="00F83981"/>
    <w:rsid w:val="00F8462C"/>
    <w:rsid w:val="00F8523E"/>
    <w:rsid w:val="00F856AF"/>
    <w:rsid w:val="00F85709"/>
    <w:rsid w:val="00F85FDC"/>
    <w:rsid w:val="00F87638"/>
    <w:rsid w:val="00F91ADF"/>
    <w:rsid w:val="00F91B27"/>
    <w:rsid w:val="00F91D60"/>
    <w:rsid w:val="00F91F57"/>
    <w:rsid w:val="00F922C8"/>
    <w:rsid w:val="00F923AB"/>
    <w:rsid w:val="00F92DA5"/>
    <w:rsid w:val="00F933F5"/>
    <w:rsid w:val="00F93C78"/>
    <w:rsid w:val="00F95EDA"/>
    <w:rsid w:val="00F96295"/>
    <w:rsid w:val="00F97F0E"/>
    <w:rsid w:val="00FA006B"/>
    <w:rsid w:val="00FA0787"/>
    <w:rsid w:val="00FA106E"/>
    <w:rsid w:val="00FA2B6E"/>
    <w:rsid w:val="00FA3727"/>
    <w:rsid w:val="00FA4140"/>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5F18"/>
    <w:rsid w:val="00FB6252"/>
    <w:rsid w:val="00FB642A"/>
    <w:rsid w:val="00FB7806"/>
    <w:rsid w:val="00FC0010"/>
    <w:rsid w:val="00FC0A3F"/>
    <w:rsid w:val="00FC1B4B"/>
    <w:rsid w:val="00FC1C17"/>
    <w:rsid w:val="00FC2093"/>
    <w:rsid w:val="00FC4202"/>
    <w:rsid w:val="00FC51FD"/>
    <w:rsid w:val="00FC5D45"/>
    <w:rsid w:val="00FC61A4"/>
    <w:rsid w:val="00FC72AF"/>
    <w:rsid w:val="00FC7B97"/>
    <w:rsid w:val="00FC7E80"/>
    <w:rsid w:val="00FD00B8"/>
    <w:rsid w:val="00FD024A"/>
    <w:rsid w:val="00FD1652"/>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163</cp:revision>
  <dcterms:created xsi:type="dcterms:W3CDTF">2022-02-12T19:08:00Z</dcterms:created>
  <dcterms:modified xsi:type="dcterms:W3CDTF">2022-02-14T23:33:00Z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