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3FFC4" w14:textId="0C499268" w:rsidR="00425FD0" w:rsidRPr="00425FD0" w:rsidRDefault="00425FD0" w:rsidP="00425FD0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#102</w:t>
      </w:r>
      <w:r w:rsidR="00074603">
        <w:rPr>
          <w:rFonts w:ascii="Arial" w:hAnsi="Arial" w:cs="Arial"/>
          <w:b/>
          <w:sz w:val="24"/>
          <w:lang w:val="en-US" w:eastAsia="zh-CN"/>
        </w:rPr>
        <w:t>-e</w:t>
      </w:r>
      <w:r w:rsidRPr="00425FD0">
        <w:rPr>
          <w:rFonts w:ascii="Arial" w:hAnsi="Arial"/>
          <w:b/>
          <w:i/>
          <w:noProof/>
          <w:sz w:val="28"/>
        </w:rPr>
        <w:tab/>
      </w:r>
      <w:bookmarkStart w:id="2" w:name="_GoBack"/>
      <w:r w:rsidR="00DA5F37" w:rsidRPr="00DA5F37">
        <w:rPr>
          <w:rFonts w:ascii="Arial" w:eastAsia="宋体" w:hAnsi="Arial" w:cs="Arial"/>
          <w:b/>
          <w:sz w:val="24"/>
          <w:lang w:val="en-US" w:eastAsia="zh-CN"/>
        </w:rPr>
        <w:t>R4-2205334</w:t>
      </w:r>
      <w:bookmarkEnd w:id="2"/>
    </w:p>
    <w:p w14:paraId="70D7D7B2" w14:textId="3E58E001" w:rsidR="00425FD0" w:rsidRPr="00425FD0" w:rsidRDefault="00425FD0" w:rsidP="00425FD0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Feb 21 – Mar </w:t>
      </w:r>
      <w:r w:rsidR="00DA5F37">
        <w:rPr>
          <w:rFonts w:ascii="Arial" w:hAnsi="Arial" w:cs="Arial"/>
          <w:b/>
          <w:noProof/>
          <w:sz w:val="24"/>
          <w:szCs w:val="24"/>
          <w:lang w:val="en-US" w:eastAsia="zh-CN"/>
        </w:rPr>
        <w:t>3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425FD0" w:rsidRDefault="00070561" w:rsidP="00F90E24">
      <w:pPr>
        <w:pStyle w:val="a4"/>
        <w:jc w:val="both"/>
        <w:rPr>
          <w:noProof w:val="0"/>
        </w:rPr>
      </w:pPr>
    </w:p>
    <w:p w14:paraId="28513F45" w14:textId="7BCCEE94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A5F37" w:rsidRPr="00DA5F37">
        <w:rPr>
          <w:rFonts w:ascii="Arial" w:eastAsia="宋体" w:hAnsi="Arial"/>
          <w:b/>
          <w:sz w:val="24"/>
          <w:lang w:val="en-US" w:eastAsia="zh-CN"/>
        </w:rPr>
        <w:t>Discussion on TCI state switching delay requirements for R17 unified TCI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056BBB17" w14:textId="7C2C318B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A5F37" w:rsidRPr="00DA5F37">
        <w:rPr>
          <w:rFonts w:ascii="Arial" w:eastAsia="宋体" w:hAnsi="Arial"/>
          <w:b/>
          <w:sz w:val="24"/>
          <w:lang w:val="en-US" w:eastAsia="zh-CN"/>
        </w:rPr>
        <w:t>10</w:t>
      </w:r>
      <w:r w:rsidR="007D748D" w:rsidRPr="00DA5F37">
        <w:rPr>
          <w:rFonts w:ascii="Arial" w:eastAsia="宋体" w:hAnsi="Arial"/>
          <w:b/>
          <w:sz w:val="24"/>
          <w:lang w:val="en-US" w:eastAsia="zh-CN"/>
        </w:rPr>
        <w:t>.19.3.1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5755ED82" w:rsidR="00993BFA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</w:t>
      </w:r>
      <w:r w:rsidR="00437759">
        <w:rPr>
          <w:rFonts w:eastAsia="宋体"/>
          <w:sz w:val="22"/>
          <w:lang w:eastAsia="zh-CN"/>
        </w:rPr>
        <w:t>further</w:t>
      </w:r>
      <w:r w:rsidR="00312B4E">
        <w:rPr>
          <w:rFonts w:eastAsia="宋体"/>
          <w:sz w:val="22"/>
          <w:lang w:eastAsia="zh-CN"/>
        </w:rPr>
        <w:t xml:space="preserve"> </w:t>
      </w:r>
      <w:r w:rsidRPr="00922D0A">
        <w:rPr>
          <w:rFonts w:eastAsia="宋体"/>
          <w:sz w:val="22"/>
          <w:lang w:eastAsia="zh-CN"/>
        </w:rPr>
        <w:t>discussion on</w:t>
      </w:r>
      <w:r w:rsidR="00312B4E">
        <w:rPr>
          <w:rFonts w:eastAsia="宋体"/>
          <w:sz w:val="22"/>
          <w:lang w:eastAsia="zh-CN"/>
        </w:rPr>
        <w:t xml:space="preserve"> </w:t>
      </w:r>
      <w:r w:rsidR="00F42832">
        <w:rPr>
          <w:rFonts w:eastAsia="宋体"/>
          <w:sz w:val="22"/>
          <w:lang w:eastAsia="zh-CN"/>
        </w:rPr>
        <w:t xml:space="preserve">unified TCI </w:t>
      </w:r>
      <w:r w:rsidR="00425FD0">
        <w:rPr>
          <w:rFonts w:eastAsia="宋体"/>
          <w:sz w:val="22"/>
          <w:lang w:eastAsia="zh-CN"/>
        </w:rPr>
        <w:t>state switching delay requirements for</w:t>
      </w:r>
      <w:r w:rsidR="003A48D5">
        <w:rPr>
          <w:rFonts w:eastAsia="宋体"/>
          <w:sz w:val="22"/>
          <w:lang w:eastAsia="zh-CN"/>
        </w:rPr>
        <w:t xml:space="preserve"> NR FeMIMO</w:t>
      </w:r>
      <w:r w:rsidR="0058759B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09065C93" w14:textId="2458DC81" w:rsidR="00B73818" w:rsidRPr="00B73818" w:rsidRDefault="0039565B" w:rsidP="00420797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For R17 unified TCI, downlink</w:t>
      </w:r>
      <w:r w:rsidR="009A52EA">
        <w:rPr>
          <w:rFonts w:eastAsiaTheme="minorEastAsia"/>
          <w:sz w:val="22"/>
          <w:lang w:val="en-US" w:eastAsia="zh-CN"/>
        </w:rPr>
        <w:t xml:space="preserve"> TCI state switching delay </w:t>
      </w:r>
      <w:r w:rsidR="007A10CC">
        <w:rPr>
          <w:rFonts w:eastAsiaTheme="minorEastAsia"/>
          <w:sz w:val="22"/>
          <w:lang w:val="en-US" w:eastAsia="zh-CN"/>
        </w:rPr>
        <w:t xml:space="preserve">requirements </w:t>
      </w:r>
      <w:r w:rsidR="009A52EA">
        <w:rPr>
          <w:rFonts w:eastAsiaTheme="minorEastAsia"/>
          <w:sz w:val="22"/>
          <w:lang w:val="en-US" w:eastAsia="zh-CN"/>
        </w:rPr>
        <w:t xml:space="preserve">and </w:t>
      </w:r>
      <w:r w:rsidR="007A10CC">
        <w:rPr>
          <w:rFonts w:eastAsiaTheme="minorEastAsia"/>
          <w:sz w:val="22"/>
          <w:lang w:val="en-US" w:eastAsia="zh-CN"/>
        </w:rPr>
        <w:t>uplink TCI state switching delay are separately defined.</w:t>
      </w:r>
    </w:p>
    <w:p w14:paraId="4EC26AEA" w14:textId="61B774E2" w:rsidR="009944BF" w:rsidRPr="00FF5F3D" w:rsidRDefault="007A10CC" w:rsidP="00C91483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MAC-CE based </w:t>
      </w:r>
      <w:r w:rsidR="009944BF" w:rsidRPr="00FF5F3D">
        <w:rPr>
          <w:rFonts w:hint="eastAsia"/>
          <w:lang w:val="en-US" w:eastAsia="zh-CN"/>
        </w:rPr>
        <w:t>T</w:t>
      </w:r>
      <w:r w:rsidR="009944BF" w:rsidRPr="00FF5F3D">
        <w:rPr>
          <w:lang w:val="en-US" w:eastAsia="zh-CN"/>
        </w:rPr>
        <w:t xml:space="preserve">CI </w:t>
      </w:r>
      <w:r w:rsidR="00FF5F3D">
        <w:rPr>
          <w:lang w:val="en-US" w:eastAsia="zh-CN"/>
        </w:rPr>
        <w:t xml:space="preserve">state </w:t>
      </w:r>
      <w:r w:rsidR="009944BF" w:rsidRPr="00FF5F3D">
        <w:rPr>
          <w:lang w:val="en-US" w:eastAsia="zh-CN"/>
        </w:rPr>
        <w:t>sw</w:t>
      </w:r>
      <w:r w:rsidR="00D41936" w:rsidRPr="00FF5F3D">
        <w:rPr>
          <w:lang w:val="en-US" w:eastAsia="zh-CN"/>
        </w:rPr>
        <w:t xml:space="preserve">itching </w:t>
      </w:r>
      <w:r w:rsidR="00FF5F3D">
        <w:rPr>
          <w:lang w:val="en-US" w:eastAsia="zh-CN"/>
        </w:rPr>
        <w:t xml:space="preserve">for unified </w:t>
      </w:r>
      <w:r>
        <w:rPr>
          <w:lang w:val="en-US" w:eastAsia="zh-CN"/>
        </w:rPr>
        <w:t>TCI</w:t>
      </w:r>
    </w:p>
    <w:p w14:paraId="478CC7EA" w14:textId="308D25EF" w:rsidR="001E6996" w:rsidRDefault="001E6996" w:rsidP="001E6996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>or MAC-CE based downlink TCI state switching for unified TCI, RAN4 agreed to reuse the existing MAC-CE TCI state switching delay</w:t>
      </w:r>
      <w:r w:rsidR="008C1918">
        <w:rPr>
          <w:rFonts w:eastAsiaTheme="minorEastAsia"/>
          <w:sz w:val="22"/>
          <w:lang w:val="en-US" w:eastAsia="zh-CN"/>
        </w:rPr>
        <w:t>.</w:t>
      </w:r>
    </w:p>
    <w:p w14:paraId="7EDE3FE2" w14:textId="77777777" w:rsidR="001E6996" w:rsidRDefault="001E6996" w:rsidP="001E6996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F</w:t>
      </w:r>
      <w:r>
        <w:rPr>
          <w:rFonts w:eastAsiaTheme="minorEastAsia"/>
          <w:sz w:val="22"/>
          <w:lang w:val="en-US" w:eastAsia="zh-CN"/>
        </w:rPr>
        <w:t>or MAC-CE based uplink TCI state switching for unified TCI, RAN4 achieved the following agreements on the s</w:t>
      </w:r>
      <w:r w:rsidRPr="007454DB">
        <w:rPr>
          <w:rFonts w:eastAsiaTheme="minorEastAsia"/>
          <w:sz w:val="22"/>
          <w:lang w:val="en-US" w:eastAsia="zh-CN"/>
        </w:rPr>
        <w:t>witching delay requirements</w:t>
      </w:r>
      <w:r>
        <w:rPr>
          <w:rFonts w:eastAsiaTheme="minorEastAsia"/>
          <w:sz w:val="22"/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E6996" w14:paraId="4C7D12E7" w14:textId="77777777" w:rsidTr="00750852">
        <w:tc>
          <w:tcPr>
            <w:tcW w:w="9621" w:type="dxa"/>
          </w:tcPr>
          <w:p w14:paraId="2F45C62D" w14:textId="77777777" w:rsidR="001E6996" w:rsidRPr="007454DB" w:rsidRDefault="001E6996" w:rsidP="00750852">
            <w:pPr>
              <w:numPr>
                <w:ilvl w:val="1"/>
                <w:numId w:val="34"/>
              </w:numPr>
              <w:spacing w:after="120"/>
              <w:ind w:leftChars="43" w:left="446"/>
              <w:rPr>
                <w:lang w:val="sv-SE"/>
              </w:rPr>
            </w:pPr>
            <w:r w:rsidRPr="007454DB">
              <w:rPr>
                <w:lang w:val="sv-SE"/>
              </w:rPr>
              <w:t xml:space="preserve">For TCI known case, the MAC CE based uplink TCI switching delay requirement is specified as </w:t>
            </w:r>
          </w:p>
          <w:p w14:paraId="22D0769B" w14:textId="77777777" w:rsidR="001E6996" w:rsidRPr="007454DB" w:rsidRDefault="001E6996" w:rsidP="00750852">
            <w:pPr>
              <w:spacing w:after="120"/>
              <w:ind w:leftChars="223" w:left="446"/>
              <w:rPr>
                <w:rFonts w:eastAsia="Times New Roman"/>
                <w:bCs/>
                <w:i/>
                <w:szCs w:val="21"/>
              </w:rPr>
            </w:pPr>
            <w:r w:rsidRPr="007454DB">
              <w:rPr>
                <w:rFonts w:eastAsia="Times New Roman"/>
                <w:bCs/>
                <w:i/>
                <w:szCs w:val="21"/>
              </w:rPr>
              <w:t>T</w:t>
            </w:r>
            <w:r w:rsidRPr="007454DB">
              <w:rPr>
                <w:rFonts w:eastAsia="Times New Roman"/>
                <w:bCs/>
                <w:i/>
                <w:szCs w:val="21"/>
                <w:vertAlign w:val="subscript"/>
              </w:rPr>
              <w:t>HARQ</w:t>
            </w:r>
            <w:r w:rsidRPr="007454DB">
              <w:rPr>
                <w:rFonts w:eastAsia="Times New Roman"/>
                <w:bCs/>
                <w:i/>
                <w:szCs w:val="21"/>
              </w:rPr>
              <w:t xml:space="preserve"> + 3ms + NM*(T</w:t>
            </w:r>
            <w:r w:rsidRPr="007454DB">
              <w:rPr>
                <w:rFonts w:eastAsia="Times New Roman"/>
                <w:bCs/>
                <w:i/>
                <w:szCs w:val="21"/>
                <w:vertAlign w:val="subscript"/>
              </w:rPr>
              <w:t xml:space="preserve">first_target-PL-RS </w:t>
            </w:r>
            <w:r w:rsidRPr="007454DB">
              <w:rPr>
                <w:rFonts w:eastAsia="Times New Roman"/>
                <w:bCs/>
                <w:i/>
                <w:szCs w:val="21"/>
              </w:rPr>
              <w:t>+ 4*T</w:t>
            </w:r>
            <w:r w:rsidRPr="007454DB">
              <w:rPr>
                <w:rFonts w:eastAsia="Times New Roman"/>
                <w:bCs/>
                <w:i/>
                <w:szCs w:val="21"/>
                <w:vertAlign w:val="subscript"/>
              </w:rPr>
              <w:t xml:space="preserve">target_PL-RS </w:t>
            </w:r>
            <w:r w:rsidRPr="007454DB">
              <w:rPr>
                <w:rFonts w:eastAsia="Times New Roman"/>
                <w:bCs/>
                <w:i/>
                <w:szCs w:val="21"/>
              </w:rPr>
              <w:t>+ 2ms)</w:t>
            </w:r>
          </w:p>
          <w:p w14:paraId="3262CC03" w14:textId="77777777" w:rsidR="001E6996" w:rsidRPr="007454DB" w:rsidRDefault="001E6996" w:rsidP="00750852">
            <w:pPr>
              <w:spacing w:after="120"/>
              <w:ind w:leftChars="223" w:left="446"/>
              <w:rPr>
                <w:rFonts w:eastAsia="等线"/>
                <w:bCs/>
                <w:szCs w:val="21"/>
                <w:lang w:eastAsia="zh-CN"/>
              </w:rPr>
            </w:pPr>
            <w:r w:rsidRPr="007454DB">
              <w:rPr>
                <w:rFonts w:eastAsia="等线" w:hint="eastAsia"/>
                <w:bCs/>
                <w:szCs w:val="21"/>
                <w:lang w:eastAsia="zh-CN"/>
              </w:rPr>
              <w:t>W</w:t>
            </w:r>
            <w:r w:rsidRPr="007454DB">
              <w:rPr>
                <w:rFonts w:eastAsia="等线"/>
                <w:bCs/>
                <w:szCs w:val="21"/>
                <w:lang w:eastAsia="zh-CN"/>
              </w:rPr>
              <w:t>here</w:t>
            </w:r>
          </w:p>
          <w:p w14:paraId="13394F4E" w14:textId="77777777" w:rsidR="001E6996" w:rsidRPr="007454DB" w:rsidRDefault="001E6996" w:rsidP="00750852">
            <w:pPr>
              <w:spacing w:after="120"/>
              <w:ind w:leftChars="323" w:left="646"/>
              <w:rPr>
                <w:rFonts w:eastAsia="Times New Roman"/>
                <w:bCs/>
                <w:szCs w:val="21"/>
              </w:rPr>
            </w:pPr>
            <w:r w:rsidRPr="007454DB">
              <w:rPr>
                <w:lang w:eastAsia="zh-CN"/>
              </w:rPr>
              <w:t>NM</w:t>
            </w:r>
            <w:r w:rsidRPr="007454DB">
              <w:rPr>
                <w:vertAlign w:val="subscript"/>
                <w:lang w:eastAsia="zh-CN"/>
              </w:rPr>
              <w:t xml:space="preserve"> </w:t>
            </w:r>
            <w:r w:rsidRPr="007454DB">
              <w:rPr>
                <w:lang w:eastAsia="zh-CN"/>
              </w:rPr>
              <w:t>= 1, if the target PL-RS is not maintained by the UE, 0 otherwise</w:t>
            </w:r>
            <w:r w:rsidRPr="007454DB">
              <w:rPr>
                <w:rFonts w:eastAsia="Times New Roman"/>
                <w:bCs/>
                <w:szCs w:val="21"/>
              </w:rPr>
              <w:t xml:space="preserve"> </w:t>
            </w:r>
          </w:p>
          <w:p w14:paraId="18A4305D" w14:textId="77777777" w:rsidR="001E6996" w:rsidRPr="007454DB" w:rsidRDefault="001E6996" w:rsidP="00750852">
            <w:pPr>
              <w:numPr>
                <w:ilvl w:val="1"/>
                <w:numId w:val="34"/>
              </w:numPr>
              <w:spacing w:after="120"/>
              <w:ind w:leftChars="43" w:left="446"/>
              <w:rPr>
                <w:lang w:val="sv-SE"/>
              </w:rPr>
            </w:pPr>
            <w:r w:rsidRPr="007454DB">
              <w:rPr>
                <w:lang w:val="sv-SE"/>
              </w:rPr>
              <w:t xml:space="preserve">For TCI unknow case, MAC CE based uplink TCI switching delay requirement is specified as </w:t>
            </w:r>
          </w:p>
          <w:p w14:paraId="6DE02F22" w14:textId="77777777" w:rsidR="001E6996" w:rsidRPr="007454DB" w:rsidRDefault="001E6996" w:rsidP="00750852">
            <w:pPr>
              <w:spacing w:after="120"/>
              <w:ind w:leftChars="333" w:left="666"/>
              <w:rPr>
                <w:rFonts w:eastAsia="Times New Roman"/>
                <w:bCs/>
                <w:i/>
                <w:szCs w:val="21"/>
              </w:rPr>
            </w:pPr>
            <w:r w:rsidRPr="007454DB">
              <w:rPr>
                <w:rFonts w:eastAsia="Times New Roman"/>
                <w:bCs/>
                <w:i/>
                <w:szCs w:val="21"/>
              </w:rPr>
              <w:t>T</w:t>
            </w:r>
            <w:r w:rsidRPr="007454DB">
              <w:rPr>
                <w:rFonts w:eastAsia="Times New Roman"/>
                <w:bCs/>
                <w:i/>
                <w:szCs w:val="21"/>
                <w:vertAlign w:val="subscript"/>
              </w:rPr>
              <w:t>HARQ</w:t>
            </w:r>
            <w:r w:rsidRPr="007454DB">
              <w:rPr>
                <w:rFonts w:eastAsia="Times New Roman"/>
                <w:bCs/>
                <w:i/>
                <w:szCs w:val="21"/>
              </w:rPr>
              <w:t xml:space="preserve"> + 3ms + T</w:t>
            </w:r>
            <w:r w:rsidRPr="007454DB">
              <w:rPr>
                <w:rFonts w:eastAsia="Times New Roman"/>
                <w:bCs/>
                <w:i/>
                <w:szCs w:val="21"/>
                <w:vertAlign w:val="subscript"/>
              </w:rPr>
              <w:t xml:space="preserve">L1-RSRP </w:t>
            </w:r>
            <w:r w:rsidRPr="007454DB">
              <w:rPr>
                <w:rFonts w:eastAsia="Times New Roman"/>
                <w:bCs/>
                <w:i/>
                <w:szCs w:val="21"/>
              </w:rPr>
              <w:t>+ (T</w:t>
            </w:r>
            <w:r w:rsidRPr="007454DB">
              <w:rPr>
                <w:rFonts w:eastAsia="Times New Roman"/>
                <w:bCs/>
                <w:i/>
                <w:szCs w:val="21"/>
                <w:vertAlign w:val="subscript"/>
              </w:rPr>
              <w:t xml:space="preserve">first_target-PL-RS </w:t>
            </w:r>
            <w:r w:rsidRPr="007454DB">
              <w:rPr>
                <w:rFonts w:eastAsia="Times New Roman"/>
                <w:bCs/>
                <w:i/>
                <w:szCs w:val="21"/>
              </w:rPr>
              <w:t>+ 4*T</w:t>
            </w:r>
            <w:r w:rsidRPr="007454DB">
              <w:rPr>
                <w:rFonts w:eastAsia="Times New Roman"/>
                <w:bCs/>
                <w:i/>
                <w:szCs w:val="21"/>
                <w:vertAlign w:val="subscript"/>
              </w:rPr>
              <w:t xml:space="preserve">target_PL-RS </w:t>
            </w:r>
            <w:r w:rsidRPr="007454DB">
              <w:rPr>
                <w:rFonts w:eastAsia="Times New Roman"/>
                <w:bCs/>
                <w:i/>
                <w:szCs w:val="21"/>
              </w:rPr>
              <w:t xml:space="preserve">+ 2ms) </w:t>
            </w:r>
          </w:p>
        </w:tc>
      </w:tr>
    </w:tbl>
    <w:p w14:paraId="754B02F4" w14:textId="4FB42D06" w:rsidR="001E6996" w:rsidRDefault="001E6996" w:rsidP="001E6996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I</w:t>
      </w:r>
      <w:r>
        <w:rPr>
          <w:rFonts w:eastAsiaTheme="minorEastAsia"/>
          <w:sz w:val="22"/>
          <w:lang w:val="en-US" w:eastAsia="zh-CN"/>
        </w:rPr>
        <w:t xml:space="preserve">t can be </w:t>
      </w:r>
      <w:r w:rsidR="00750852">
        <w:rPr>
          <w:rFonts w:eastAsiaTheme="minorEastAsia"/>
          <w:sz w:val="22"/>
          <w:lang w:val="en-US" w:eastAsia="zh-CN"/>
        </w:rPr>
        <w:t>observed that PL-RS measurement time</w:t>
      </w:r>
      <w:r>
        <w:rPr>
          <w:rFonts w:eastAsiaTheme="minorEastAsia"/>
          <w:sz w:val="22"/>
          <w:lang w:val="en-US" w:eastAsia="zh-CN"/>
        </w:rPr>
        <w:t xml:space="preserve"> is allowed during MAC-CE based uplink TCI state switching delay. Both SSB and periodic CSI-RS can be configured as PL-RS. There is no TCI </w:t>
      </w:r>
      <w:r w:rsidR="00750852">
        <w:rPr>
          <w:rFonts w:eastAsiaTheme="minorEastAsia"/>
          <w:sz w:val="22"/>
          <w:lang w:val="en-US" w:eastAsia="zh-CN"/>
        </w:rPr>
        <w:t xml:space="preserve">state </w:t>
      </w:r>
      <w:r>
        <w:rPr>
          <w:rFonts w:eastAsiaTheme="minorEastAsia"/>
          <w:sz w:val="22"/>
          <w:lang w:val="en-US" w:eastAsia="zh-CN"/>
        </w:rPr>
        <w:t>configuration for SSB resource.</w:t>
      </w:r>
      <w:r w:rsidR="00750852">
        <w:rPr>
          <w:rFonts w:eastAsiaTheme="minorEastAsia"/>
          <w:sz w:val="22"/>
          <w:lang w:val="en-US" w:eastAsia="zh-CN"/>
        </w:rPr>
        <w:t xml:space="preserve"> RAN4 agreed to reuse the </w:t>
      </w:r>
      <w:r w:rsidR="00750852" w:rsidRPr="00750852">
        <w:rPr>
          <w:rFonts w:eastAsiaTheme="minorEastAsia"/>
          <w:sz w:val="22"/>
          <w:lang w:val="en-US" w:eastAsia="zh-CN"/>
        </w:rPr>
        <w:t>existing known conditions</w:t>
      </w:r>
      <w:r w:rsidR="008C1918">
        <w:rPr>
          <w:rFonts w:eastAsiaTheme="minorEastAsia"/>
          <w:sz w:val="22"/>
          <w:lang w:val="en-US" w:eastAsia="zh-CN"/>
        </w:rPr>
        <w:t xml:space="preserve"> for </w:t>
      </w:r>
      <w:r w:rsidR="008C1918" w:rsidRPr="008C1918">
        <w:rPr>
          <w:rFonts w:eastAsiaTheme="minorEastAsia"/>
          <w:sz w:val="22"/>
          <w:lang w:val="en-US" w:eastAsia="zh-CN"/>
        </w:rPr>
        <w:t>associated DL-RS</w:t>
      </w:r>
      <w:r w:rsidR="00750852">
        <w:rPr>
          <w:rFonts w:eastAsiaTheme="minorEastAsia"/>
          <w:sz w:val="22"/>
          <w:lang w:val="en-US" w:eastAsia="zh-CN"/>
        </w:rPr>
        <w:t>. According to the existing known condition requirements, a</w:t>
      </w:r>
      <w:r>
        <w:rPr>
          <w:rFonts w:eastAsiaTheme="minorEastAsia"/>
          <w:sz w:val="22"/>
          <w:lang w:val="en-US" w:eastAsia="zh-CN"/>
        </w:rPr>
        <w:t xml:space="preserve"> SSB indicated as PL-RS is </w:t>
      </w:r>
      <w:r w:rsidR="008C1918">
        <w:rPr>
          <w:rFonts w:eastAsiaTheme="minorEastAsia"/>
          <w:sz w:val="22"/>
          <w:lang w:val="en-US" w:eastAsia="zh-CN"/>
        </w:rPr>
        <w:t xml:space="preserve">considered to be </w:t>
      </w:r>
      <w:r>
        <w:rPr>
          <w:rFonts w:eastAsiaTheme="minorEastAsia"/>
          <w:sz w:val="22"/>
          <w:lang w:val="en-US" w:eastAsia="zh-CN"/>
        </w:rPr>
        <w:t xml:space="preserve">known when this SSB is also </w:t>
      </w:r>
      <w:r w:rsidRPr="00033C13">
        <w:rPr>
          <w:rFonts w:eastAsiaTheme="minorEastAsia"/>
          <w:sz w:val="22"/>
          <w:lang w:val="en-US" w:eastAsia="zh-CN"/>
        </w:rPr>
        <w:t xml:space="preserve">used </w:t>
      </w:r>
      <w:r>
        <w:rPr>
          <w:rFonts w:eastAsiaTheme="minorEastAsia"/>
          <w:sz w:val="22"/>
          <w:lang w:val="en-US" w:eastAsia="zh-CN"/>
        </w:rPr>
        <w:t xml:space="preserve">for L1-RSRP measurement </w:t>
      </w:r>
      <w:r w:rsidRPr="00033C13">
        <w:rPr>
          <w:rFonts w:eastAsiaTheme="minorEastAsia"/>
          <w:sz w:val="22"/>
          <w:lang w:val="en-US" w:eastAsia="zh-CN"/>
        </w:rPr>
        <w:t>reporting</w:t>
      </w:r>
      <w:r>
        <w:rPr>
          <w:rFonts w:eastAsiaTheme="minorEastAsia"/>
          <w:sz w:val="22"/>
          <w:lang w:val="en-US" w:eastAsia="zh-CN"/>
        </w:rPr>
        <w:t>.</w:t>
      </w:r>
      <w:r w:rsidR="008C1918">
        <w:rPr>
          <w:rFonts w:eastAsiaTheme="minorEastAsia"/>
          <w:sz w:val="22"/>
          <w:lang w:val="en-US" w:eastAsia="zh-CN"/>
        </w:rPr>
        <w:t xml:space="preserve"> Since R15, b</w:t>
      </w:r>
      <w:r>
        <w:rPr>
          <w:rFonts w:eastAsiaTheme="minorEastAsia"/>
          <w:sz w:val="22"/>
          <w:lang w:val="en-US" w:eastAsia="zh-CN"/>
        </w:rPr>
        <w:t>eam sweeping is always assumed for</w:t>
      </w:r>
      <w:r w:rsidRPr="00033C13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L1-RSRP measurements measured on SSB resource in FR2. Therefore, beam sweeping shall also be</w:t>
      </w:r>
      <w:r w:rsidRPr="00033C13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assumed for</w:t>
      </w:r>
      <w:r w:rsidRPr="00033C13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PL-RS</w:t>
      </w:r>
      <w:r w:rsidRPr="00033C13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measurements</w:t>
      </w:r>
      <w:r w:rsidRPr="005F1F1F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measured on SSB resource in FR2. However, even a SSB indicated as PL-RS is not configured for L1-RSRP measurement </w:t>
      </w:r>
      <w:r w:rsidRPr="00033C13">
        <w:rPr>
          <w:rFonts w:eastAsiaTheme="minorEastAsia"/>
          <w:sz w:val="22"/>
          <w:lang w:val="en-US" w:eastAsia="zh-CN"/>
        </w:rPr>
        <w:t>reporting</w:t>
      </w:r>
      <w:r>
        <w:rPr>
          <w:rFonts w:eastAsiaTheme="minorEastAsia"/>
          <w:sz w:val="22"/>
          <w:lang w:val="en-US" w:eastAsia="zh-CN"/>
        </w:rPr>
        <w:t xml:space="preserve"> by network, the UE is still required to perform L1-RSRP measurements for obtaining beam information of target PL-RS.</w:t>
      </w:r>
      <w:r w:rsidR="008C1918">
        <w:rPr>
          <w:rFonts w:eastAsiaTheme="minorEastAsia"/>
          <w:sz w:val="22"/>
          <w:lang w:val="en-US" w:eastAsia="zh-CN"/>
        </w:rPr>
        <w:t xml:space="preserve"> For both known </w:t>
      </w:r>
    </w:p>
    <w:p w14:paraId="59BD3F14" w14:textId="77777777" w:rsidR="001E6996" w:rsidRPr="00BD2CE3" w:rsidRDefault="001E6996" w:rsidP="001E6996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>roposal 1:</w:t>
      </w:r>
      <w:r>
        <w:rPr>
          <w:rFonts w:eastAsiaTheme="minorEastAsia"/>
          <w:b/>
          <w:i/>
          <w:sz w:val="22"/>
          <w:lang w:val="en-US" w:eastAsia="zh-CN"/>
        </w:rPr>
        <w:t xml:space="preserve"> When a SSB is indicated as PL-RS in a UL TCI state, the scaling factor for beam sweeping needs to be introduced for PL-RS measurement time in FR2.</w:t>
      </w:r>
    </w:p>
    <w:p w14:paraId="02175F6E" w14:textId="46B2CAD3" w:rsidR="00F70CCF" w:rsidRPr="00BD2CE3" w:rsidRDefault="00F70CCF" w:rsidP="00F70CCF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In FR2, the MAC-CE based UL TCI state switching delay need to be </w:t>
      </w:r>
      <w:r w:rsidR="000F6A9C">
        <w:rPr>
          <w:rFonts w:eastAsiaTheme="minorEastAsia"/>
          <w:b/>
          <w:i/>
          <w:sz w:val="22"/>
          <w:lang w:val="en-US" w:eastAsia="zh-CN"/>
        </w:rPr>
        <w:t xml:space="preserve">separately </w:t>
      </w:r>
      <w:r>
        <w:rPr>
          <w:rFonts w:eastAsiaTheme="minorEastAsia"/>
          <w:b/>
          <w:i/>
          <w:sz w:val="22"/>
          <w:lang w:val="en-US" w:eastAsia="zh-CN"/>
        </w:rPr>
        <w:t>defined</w:t>
      </w:r>
      <w:r w:rsidR="000F6A9C" w:rsidRPr="000F6A9C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for SSB based PL-RS.</w:t>
      </w:r>
    </w:p>
    <w:p w14:paraId="4C29C698" w14:textId="56CA46FF" w:rsidR="001E6996" w:rsidRDefault="001E6996" w:rsidP="001E6996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When a SSB is indicated as PL-RS in FR2, the UE needs to perform both L1-RSRP measurements and PL-</w:t>
      </w:r>
      <w:r>
        <w:rPr>
          <w:rFonts w:eastAsiaTheme="minorEastAsia"/>
          <w:sz w:val="22"/>
          <w:lang w:val="en-US" w:eastAsia="zh-CN"/>
        </w:rPr>
        <w:lastRenderedPageBreak/>
        <w:t xml:space="preserve">RS measurements on the SSB resource </w:t>
      </w:r>
      <w:r w:rsidRPr="00237FC1">
        <w:rPr>
          <w:rFonts w:eastAsiaTheme="minorEastAsia"/>
          <w:sz w:val="22"/>
          <w:lang w:val="en-US" w:eastAsia="zh-CN"/>
        </w:rPr>
        <w:t>in parallel</w:t>
      </w:r>
      <w:r>
        <w:rPr>
          <w:rFonts w:eastAsiaTheme="minorEastAsia"/>
          <w:sz w:val="22"/>
          <w:lang w:val="en-US" w:eastAsia="zh-CN"/>
        </w:rPr>
        <w:t xml:space="preserve">, no matter whether this SSB is configured for L1-RSRP measurement </w:t>
      </w:r>
      <w:r w:rsidRPr="00033C13">
        <w:rPr>
          <w:rFonts w:eastAsiaTheme="minorEastAsia"/>
          <w:sz w:val="22"/>
          <w:lang w:val="en-US" w:eastAsia="zh-CN"/>
        </w:rPr>
        <w:t>reporting</w:t>
      </w:r>
      <w:r>
        <w:rPr>
          <w:rFonts w:eastAsiaTheme="minorEastAsia"/>
          <w:sz w:val="22"/>
          <w:lang w:val="en-US" w:eastAsia="zh-CN"/>
        </w:rPr>
        <w:t xml:space="preserve"> by network. So, five measurement samples of L1-RSRP can be utilized for PL-RS measurements. Hence, the PL-RS measurement period can be defined 5*</w:t>
      </w:r>
      <w:r w:rsidRPr="00237FC1">
        <w:rPr>
          <w:rFonts w:eastAsiaTheme="minorEastAsia"/>
          <w:sz w:val="22"/>
          <w:lang w:val="en-US" w:eastAsia="zh-CN"/>
        </w:rPr>
        <w:t>T</w:t>
      </w:r>
      <w:r w:rsidRPr="00B73818">
        <w:rPr>
          <w:rFonts w:eastAsiaTheme="minorEastAsia"/>
          <w:sz w:val="22"/>
          <w:vertAlign w:val="subscript"/>
          <w:lang w:val="en-US" w:eastAsia="zh-CN"/>
        </w:rPr>
        <w:t>L1-RSRP</w:t>
      </w:r>
      <w:r w:rsidR="00F70CCF">
        <w:rPr>
          <w:rFonts w:eastAsiaTheme="minorEastAsia"/>
          <w:sz w:val="22"/>
          <w:vertAlign w:val="subscript"/>
          <w:lang w:val="en-US" w:eastAsia="zh-CN"/>
        </w:rPr>
        <w:t>_SSB</w:t>
      </w:r>
      <w:r>
        <w:rPr>
          <w:rFonts w:eastAsiaTheme="minorEastAsia"/>
          <w:sz w:val="22"/>
          <w:lang w:val="en-US" w:eastAsia="zh-CN"/>
        </w:rPr>
        <w:t xml:space="preserve"> with</w:t>
      </w:r>
      <w:r w:rsidRPr="00B73818">
        <w:t xml:space="preserve"> </w:t>
      </w:r>
      <w:r w:rsidRPr="00B73818">
        <w:rPr>
          <w:rFonts w:eastAsiaTheme="minorEastAsia"/>
          <w:sz w:val="22"/>
          <w:lang w:val="en-US" w:eastAsia="zh-CN"/>
        </w:rPr>
        <w:t>the assumption of</w:t>
      </w:r>
      <w:r>
        <w:rPr>
          <w:rFonts w:eastAsiaTheme="minorEastAsia"/>
          <w:sz w:val="22"/>
          <w:lang w:val="en-US" w:eastAsia="zh-CN"/>
        </w:rPr>
        <w:t xml:space="preserve"> M=1. Besides, there is no additional delay for L1-RSRP measurements.</w:t>
      </w:r>
    </w:p>
    <w:p w14:paraId="79B4975F" w14:textId="7D1AD703" w:rsidR="001E6996" w:rsidRDefault="001E6996" w:rsidP="001E6996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 w:rsidR="00F70CCF">
        <w:rPr>
          <w:rFonts w:eastAsiaTheme="minorEastAsia"/>
          <w:b/>
          <w:i/>
          <w:sz w:val="22"/>
          <w:lang w:val="en-US" w:eastAsia="zh-CN"/>
        </w:rPr>
        <w:t>3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In FR2, when a SSB is indicated as PL-RS in a UL TCI state, the MAC-CE based UL TCI state switching delay for both known case and unknown case can be defined as:</w:t>
      </w:r>
    </w:p>
    <w:p w14:paraId="202015C5" w14:textId="18B0EEEA" w:rsidR="001E6996" w:rsidRDefault="001E6996" w:rsidP="001E6996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E6996">
        <w:rPr>
          <w:rFonts w:eastAsiaTheme="minorEastAsia"/>
          <w:b/>
          <w:i/>
          <w:sz w:val="22"/>
          <w:lang w:val="en-US" w:eastAsia="zh-CN"/>
        </w:rPr>
        <w:t>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+ 3ms + NM*(5*T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+ 2ms) with the assumption of M=1. </w:t>
      </w:r>
    </w:p>
    <w:p w14:paraId="09EFDC98" w14:textId="77777777" w:rsidR="001E6996" w:rsidRPr="001E6996" w:rsidRDefault="001E6996" w:rsidP="001E6996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E6996">
        <w:rPr>
          <w:rFonts w:eastAsiaTheme="minorEastAsia"/>
          <w:b/>
          <w:i/>
          <w:sz w:val="22"/>
          <w:lang w:val="en-US" w:eastAsia="zh-CN"/>
        </w:rPr>
        <w:t>Where NM = 1, if the target PL-RS is not maintained by the UE, 0 otherwise.</w:t>
      </w:r>
    </w:p>
    <w:p w14:paraId="27FC619F" w14:textId="76A9774B" w:rsidR="00112B2E" w:rsidRDefault="004961EE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 xml:space="preserve">For MAC-CE based </w:t>
      </w:r>
      <w:r w:rsidR="00EC48E8" w:rsidRPr="00EC48E8">
        <w:rPr>
          <w:rFonts w:eastAsiaTheme="minorEastAsia" w:hint="eastAsia"/>
          <w:sz w:val="22"/>
          <w:lang w:val="en-US" w:eastAsia="zh-CN"/>
        </w:rPr>
        <w:t>T</w:t>
      </w:r>
      <w:r w:rsidR="00EC48E8" w:rsidRPr="00EC48E8">
        <w:rPr>
          <w:rFonts w:eastAsiaTheme="minorEastAsia"/>
          <w:sz w:val="22"/>
          <w:lang w:val="en-US" w:eastAsia="zh-CN"/>
        </w:rPr>
        <w:t xml:space="preserve">CI state switching, the </w:t>
      </w:r>
      <w:r w:rsidR="00EC48E8">
        <w:rPr>
          <w:rFonts w:eastAsiaTheme="minorEastAsia"/>
          <w:sz w:val="22"/>
          <w:lang w:val="en-US" w:eastAsia="zh-CN"/>
        </w:rPr>
        <w:t xml:space="preserve">switching delay requirements will be defined for TCI known case and TCI unknown case respectively. </w:t>
      </w:r>
      <w:r w:rsidR="00112B2E">
        <w:rPr>
          <w:rFonts w:eastAsiaTheme="minorEastAsia"/>
          <w:sz w:val="22"/>
          <w:lang w:val="en-US" w:eastAsia="zh-CN"/>
        </w:rPr>
        <w:t xml:space="preserve">Accordingly the known condition requirements needs to be specified for MAC-CE based </w:t>
      </w:r>
      <w:r w:rsidR="00112B2E" w:rsidRPr="00EC48E8">
        <w:rPr>
          <w:rFonts w:eastAsiaTheme="minorEastAsia" w:hint="eastAsia"/>
          <w:sz w:val="22"/>
          <w:lang w:val="en-US" w:eastAsia="zh-CN"/>
        </w:rPr>
        <w:t>T</w:t>
      </w:r>
      <w:r w:rsidR="00112B2E" w:rsidRPr="00EC48E8">
        <w:rPr>
          <w:rFonts w:eastAsiaTheme="minorEastAsia"/>
          <w:sz w:val="22"/>
          <w:lang w:val="en-US" w:eastAsia="zh-CN"/>
        </w:rPr>
        <w:t>CI state switching</w:t>
      </w:r>
      <w:r w:rsidR="00112B2E">
        <w:rPr>
          <w:rFonts w:eastAsiaTheme="minorEastAsia"/>
          <w:sz w:val="22"/>
          <w:lang w:val="en-US" w:eastAsia="zh-CN"/>
        </w:rPr>
        <w:t xml:space="preserve">. </w:t>
      </w:r>
      <w:r w:rsidR="00EC48E8">
        <w:rPr>
          <w:rFonts w:eastAsiaTheme="minorEastAsia"/>
          <w:sz w:val="22"/>
          <w:lang w:val="en-US" w:eastAsia="zh-CN"/>
        </w:rPr>
        <w:t xml:space="preserve">RAN4 agreed to reuse the </w:t>
      </w:r>
      <w:r w:rsidR="00EC48E8" w:rsidRPr="00750852">
        <w:rPr>
          <w:rFonts w:eastAsiaTheme="minorEastAsia"/>
          <w:sz w:val="22"/>
          <w:lang w:val="en-US" w:eastAsia="zh-CN"/>
        </w:rPr>
        <w:t>existing known conditions</w:t>
      </w:r>
      <w:r w:rsidR="00EC48E8">
        <w:rPr>
          <w:rFonts w:eastAsiaTheme="minorEastAsia"/>
          <w:sz w:val="22"/>
          <w:lang w:val="en-US" w:eastAsia="zh-CN"/>
        </w:rPr>
        <w:t xml:space="preserve"> for </w:t>
      </w:r>
      <w:r w:rsidR="00EC48E8" w:rsidRPr="008C1918">
        <w:rPr>
          <w:rFonts w:eastAsiaTheme="minorEastAsia"/>
          <w:sz w:val="22"/>
          <w:lang w:val="en-US" w:eastAsia="zh-CN"/>
        </w:rPr>
        <w:t>associated DL-RS</w:t>
      </w:r>
      <w:r w:rsidR="00EC48E8">
        <w:rPr>
          <w:rFonts w:eastAsiaTheme="minorEastAsia"/>
          <w:sz w:val="22"/>
          <w:lang w:val="en-US" w:eastAsia="zh-CN"/>
        </w:rPr>
        <w:t xml:space="preserve">. </w:t>
      </w:r>
      <w:r w:rsidR="00112B2E">
        <w:rPr>
          <w:rFonts w:eastAsiaTheme="minorEastAsia"/>
          <w:sz w:val="22"/>
          <w:lang w:val="en-US" w:eastAsia="zh-CN"/>
        </w:rPr>
        <w:t xml:space="preserve">For </w:t>
      </w:r>
      <w:r w:rsidR="00112B2E" w:rsidRPr="00112B2E">
        <w:rPr>
          <w:rFonts w:eastAsiaTheme="minorEastAsia"/>
          <w:sz w:val="22"/>
          <w:lang w:val="en-US" w:eastAsia="zh-CN"/>
        </w:rPr>
        <w:t xml:space="preserve">TCI </w:t>
      </w:r>
      <w:r w:rsidR="00112B2E" w:rsidRPr="00EC48E8">
        <w:rPr>
          <w:rFonts w:eastAsiaTheme="minorEastAsia"/>
          <w:sz w:val="22"/>
          <w:lang w:val="en-US" w:eastAsia="zh-CN"/>
        </w:rPr>
        <w:t xml:space="preserve">state </w:t>
      </w:r>
      <w:r w:rsidR="00112B2E" w:rsidRPr="00112B2E">
        <w:rPr>
          <w:rFonts w:eastAsiaTheme="minorEastAsia"/>
          <w:sz w:val="22"/>
          <w:lang w:val="en-US" w:eastAsia="zh-CN"/>
        </w:rPr>
        <w:t>switching</w:t>
      </w:r>
      <w:r w:rsidR="00112B2E">
        <w:rPr>
          <w:rFonts w:eastAsiaTheme="minorEastAsia"/>
          <w:sz w:val="22"/>
          <w:lang w:val="en-US" w:eastAsia="zh-CN"/>
        </w:rPr>
        <w:t xml:space="preserve"> </w:t>
      </w:r>
      <w:r w:rsidR="00112B2E" w:rsidRPr="00112B2E">
        <w:rPr>
          <w:rFonts w:eastAsiaTheme="minorEastAsia"/>
          <w:sz w:val="22"/>
          <w:lang w:val="en-US" w:eastAsia="zh-CN"/>
        </w:rPr>
        <w:t>associated with</w:t>
      </w:r>
      <w:r w:rsidR="00112B2E">
        <w:rPr>
          <w:rFonts w:eastAsiaTheme="minorEastAsia"/>
          <w:sz w:val="22"/>
          <w:lang w:val="en-US" w:eastAsia="zh-CN"/>
        </w:rPr>
        <w:t xml:space="preserve"> a </w:t>
      </w:r>
      <w:r w:rsidR="00112B2E" w:rsidRPr="00112B2E">
        <w:rPr>
          <w:rFonts w:eastAsiaTheme="minorEastAsia"/>
          <w:sz w:val="22"/>
          <w:lang w:val="en-US" w:eastAsia="zh-CN"/>
        </w:rPr>
        <w:t>cell with PCI different from a serving cell</w:t>
      </w:r>
      <w:r w:rsidR="00112B2E">
        <w:rPr>
          <w:rFonts w:eastAsiaTheme="minorEastAsia"/>
          <w:sz w:val="22"/>
          <w:lang w:val="en-US" w:eastAsia="zh-CN"/>
        </w:rPr>
        <w:t xml:space="preserve">, the </w:t>
      </w:r>
      <w:r w:rsidR="00315C1C">
        <w:rPr>
          <w:rFonts w:eastAsiaTheme="minorEastAsia"/>
          <w:sz w:val="22"/>
          <w:lang w:val="en-US" w:eastAsia="zh-CN"/>
        </w:rPr>
        <w:t xml:space="preserve">same </w:t>
      </w:r>
      <w:r w:rsidR="00315C1C" w:rsidRPr="00112B2E">
        <w:rPr>
          <w:rFonts w:eastAsiaTheme="minorEastAsia"/>
          <w:sz w:val="22"/>
          <w:lang w:val="en-US" w:eastAsia="zh-CN"/>
        </w:rPr>
        <w:t>switching</w:t>
      </w:r>
      <w:r w:rsidR="00315C1C">
        <w:rPr>
          <w:rFonts w:eastAsiaTheme="minorEastAsia"/>
          <w:sz w:val="22"/>
          <w:lang w:val="en-US" w:eastAsia="zh-CN"/>
        </w:rPr>
        <w:t xml:space="preserve"> delay </w:t>
      </w:r>
      <w:r w:rsidR="00315C1C" w:rsidRPr="00112B2E">
        <w:rPr>
          <w:rFonts w:eastAsiaTheme="minorEastAsia"/>
          <w:sz w:val="22"/>
          <w:lang w:val="en-US" w:eastAsia="zh-CN"/>
        </w:rPr>
        <w:t>associated with</w:t>
      </w:r>
      <w:r w:rsidR="00315C1C">
        <w:rPr>
          <w:rFonts w:eastAsiaTheme="minorEastAsia"/>
          <w:sz w:val="22"/>
          <w:lang w:val="en-US" w:eastAsia="zh-CN"/>
        </w:rPr>
        <w:t xml:space="preserve"> serving cell can be reused. However, we suggest not to capture the wording “a </w:t>
      </w:r>
      <w:r w:rsidR="00315C1C" w:rsidRPr="00112B2E">
        <w:rPr>
          <w:rFonts w:eastAsiaTheme="minorEastAsia"/>
          <w:sz w:val="22"/>
          <w:lang w:val="en-US" w:eastAsia="zh-CN"/>
        </w:rPr>
        <w:t>cell with PCI different from a serving cell</w:t>
      </w:r>
      <w:r w:rsidR="00315C1C">
        <w:rPr>
          <w:rFonts w:eastAsiaTheme="minorEastAsia"/>
          <w:sz w:val="22"/>
          <w:lang w:val="en-US" w:eastAsia="zh-CN"/>
        </w:rPr>
        <w:t>” into specification.</w:t>
      </w:r>
      <w:r w:rsidR="00315C1C" w:rsidRPr="00315C1C">
        <w:rPr>
          <w:rFonts w:eastAsiaTheme="minorEastAsia"/>
          <w:sz w:val="22"/>
          <w:lang w:val="en-US" w:eastAsia="zh-CN"/>
        </w:rPr>
        <w:t xml:space="preserve"> </w:t>
      </w:r>
      <w:r w:rsidR="00315C1C">
        <w:rPr>
          <w:rFonts w:eastAsiaTheme="minorEastAsia"/>
          <w:sz w:val="22"/>
          <w:lang w:val="en-US" w:eastAsia="zh-CN"/>
        </w:rPr>
        <w:t>Instead</w:t>
      </w:r>
      <w:r w:rsidR="00315C1C" w:rsidRPr="00315C1C">
        <w:rPr>
          <w:rFonts w:eastAsiaTheme="minorEastAsia"/>
          <w:sz w:val="22"/>
          <w:lang w:val="en-US" w:eastAsia="zh-CN"/>
        </w:rPr>
        <w:t xml:space="preserve"> </w:t>
      </w:r>
      <w:r w:rsidR="00315C1C">
        <w:rPr>
          <w:rFonts w:eastAsiaTheme="minorEastAsia"/>
          <w:sz w:val="22"/>
          <w:lang w:val="en-US" w:eastAsia="zh-CN"/>
        </w:rPr>
        <w:t xml:space="preserve">we suggest to clarify in the known condition requirements that the </w:t>
      </w:r>
      <w:r w:rsidR="00315C1C" w:rsidRPr="008C1918">
        <w:rPr>
          <w:rFonts w:eastAsiaTheme="minorEastAsia"/>
          <w:sz w:val="22"/>
          <w:lang w:val="en-US" w:eastAsia="zh-CN"/>
        </w:rPr>
        <w:t>associated DL-RS</w:t>
      </w:r>
      <w:r w:rsidR="00315C1C">
        <w:rPr>
          <w:rFonts w:eastAsiaTheme="minorEastAsia"/>
          <w:sz w:val="22"/>
          <w:lang w:val="en-US" w:eastAsia="zh-CN"/>
        </w:rPr>
        <w:t xml:space="preserve"> for target TCI state can be a SSB with a PCI different from serving cell PCI.</w:t>
      </w:r>
    </w:p>
    <w:p w14:paraId="5DF77DCB" w14:textId="7F39A704" w:rsidR="00A46E9A" w:rsidRDefault="00EC48E8" w:rsidP="00EC48E8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4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MAC-CE based TCI state switching, it </w:t>
      </w:r>
      <w:r w:rsidR="00A46E9A">
        <w:rPr>
          <w:rFonts w:eastAsiaTheme="minorEastAsia"/>
          <w:b/>
          <w:i/>
          <w:sz w:val="22"/>
          <w:lang w:val="en-US" w:eastAsia="zh-CN"/>
        </w:rPr>
        <w:t xml:space="preserve">is suggested to clarify the followings in </w:t>
      </w:r>
      <w:r w:rsidR="00315C1C">
        <w:rPr>
          <w:rFonts w:eastAsiaTheme="minorEastAsia"/>
          <w:b/>
          <w:i/>
          <w:sz w:val="22"/>
          <w:lang w:val="en-US" w:eastAsia="zh-CN"/>
        </w:rPr>
        <w:t xml:space="preserve">the </w:t>
      </w:r>
      <w:r w:rsidR="00A46E9A">
        <w:rPr>
          <w:rFonts w:eastAsiaTheme="minorEastAsia"/>
          <w:b/>
          <w:i/>
          <w:sz w:val="22"/>
          <w:lang w:val="en-US" w:eastAsia="zh-CN"/>
        </w:rPr>
        <w:t>known condition requirements.</w:t>
      </w:r>
    </w:p>
    <w:p w14:paraId="3459CFA5" w14:textId="599E5987" w:rsidR="00A46E9A" w:rsidRDefault="00112B2E" w:rsidP="00112B2E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 xml:space="preserve">The </w:t>
      </w:r>
      <w:r w:rsidRPr="00112B2E">
        <w:rPr>
          <w:rFonts w:eastAsiaTheme="minorEastAsia"/>
          <w:b/>
          <w:i/>
          <w:sz w:val="22"/>
          <w:lang w:val="en-US" w:eastAsia="zh-CN"/>
        </w:rPr>
        <w:t xml:space="preserve">associated </w:t>
      </w:r>
      <w:r>
        <w:rPr>
          <w:rFonts w:eastAsiaTheme="minorEastAsia"/>
          <w:b/>
          <w:i/>
          <w:sz w:val="22"/>
          <w:lang w:val="en-US" w:eastAsia="zh-CN"/>
        </w:rPr>
        <w:t>DL-RS for target TCL state can be a SSB with a PCI different from serving cell PCI</w:t>
      </w:r>
      <w:r w:rsidR="00A46E9A" w:rsidRPr="001E6996">
        <w:rPr>
          <w:rFonts w:eastAsiaTheme="minorEastAsia"/>
          <w:b/>
          <w:i/>
          <w:sz w:val="22"/>
          <w:lang w:val="en-US" w:eastAsia="zh-CN"/>
        </w:rPr>
        <w:t xml:space="preserve">. </w:t>
      </w:r>
    </w:p>
    <w:p w14:paraId="5BA442F0" w14:textId="77777777" w:rsidR="004961EE" w:rsidRPr="00EC48E8" w:rsidRDefault="004961EE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</w:p>
    <w:p w14:paraId="41AFEECB" w14:textId="69E0C892" w:rsidR="001E6996" w:rsidRPr="00FF5F3D" w:rsidRDefault="001E6996" w:rsidP="001E6996">
      <w:pPr>
        <w:pStyle w:val="2"/>
        <w:rPr>
          <w:lang w:val="en-US" w:eastAsia="zh-CN"/>
        </w:rPr>
      </w:pPr>
      <w:r>
        <w:rPr>
          <w:lang w:val="en-US" w:eastAsia="zh-CN"/>
        </w:rPr>
        <w:t xml:space="preserve">DCI based </w:t>
      </w:r>
      <w:r w:rsidRPr="00FF5F3D">
        <w:rPr>
          <w:rFonts w:hint="eastAsia"/>
          <w:lang w:val="en-US" w:eastAsia="zh-CN"/>
        </w:rPr>
        <w:t>T</w:t>
      </w:r>
      <w:r w:rsidRPr="00FF5F3D">
        <w:rPr>
          <w:lang w:val="en-US" w:eastAsia="zh-CN"/>
        </w:rPr>
        <w:t xml:space="preserve">CI </w:t>
      </w:r>
      <w:r>
        <w:rPr>
          <w:lang w:val="en-US" w:eastAsia="zh-CN"/>
        </w:rPr>
        <w:t xml:space="preserve">state </w:t>
      </w:r>
      <w:r w:rsidRPr="00FF5F3D">
        <w:rPr>
          <w:lang w:val="en-US" w:eastAsia="zh-CN"/>
        </w:rPr>
        <w:t xml:space="preserve">switching </w:t>
      </w:r>
      <w:r>
        <w:rPr>
          <w:lang w:val="en-US" w:eastAsia="zh-CN"/>
        </w:rPr>
        <w:t>for unified TCI</w:t>
      </w:r>
    </w:p>
    <w:p w14:paraId="4138F7AA" w14:textId="05B5A542" w:rsidR="001E6996" w:rsidRDefault="001E6996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/>
          <w:sz w:val="22"/>
          <w:lang w:val="en-US" w:eastAsia="zh-CN"/>
        </w:rPr>
        <w:t>For DCI based downlink/uplink TCI state switching</w:t>
      </w:r>
      <w:r w:rsidRPr="00A16B4C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>for unified TCI, the</w:t>
      </w:r>
      <w:r w:rsidRPr="00A16B4C">
        <w:rPr>
          <w:rFonts w:eastAsiaTheme="minorEastAsia"/>
          <w:sz w:val="22"/>
          <w:lang w:val="en-US" w:eastAsia="zh-CN"/>
        </w:rPr>
        <w:t xml:space="preserve"> </w:t>
      </w:r>
      <w:r>
        <w:rPr>
          <w:rFonts w:eastAsiaTheme="minorEastAsia"/>
          <w:sz w:val="22"/>
          <w:lang w:val="en-US" w:eastAsia="zh-CN"/>
        </w:rPr>
        <w:t xml:space="preserve">switching delay requirements depends on RAN1 final decision on the value of Y symbols. </w:t>
      </w:r>
      <w:r w:rsidR="00F70CCF">
        <w:rPr>
          <w:rFonts w:eastAsiaTheme="minorEastAsia"/>
          <w:sz w:val="22"/>
          <w:lang w:val="en-US" w:eastAsia="zh-CN"/>
        </w:rPr>
        <w:t>In RAN1, the following agreements have been achieved for the application time of DCI-based beam indication.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70CCF" w14:paraId="48C9C642" w14:textId="77777777" w:rsidTr="00F70CCF">
        <w:tc>
          <w:tcPr>
            <w:tcW w:w="9621" w:type="dxa"/>
          </w:tcPr>
          <w:p w14:paraId="53B67008" w14:textId="77777777" w:rsidR="00F70CCF" w:rsidRPr="00F70CCF" w:rsidRDefault="00F70CCF" w:rsidP="00F70CCF">
            <w:pPr>
              <w:snapToGrid w:val="0"/>
              <w:spacing w:after="0"/>
              <w:rPr>
                <w:rFonts w:ascii="Times" w:eastAsia="Gulim" w:hAnsi="Times" w:cs="Times"/>
                <w:szCs w:val="24"/>
                <w:lang w:val="en-US" w:eastAsia="ko-KR"/>
              </w:rPr>
            </w:pPr>
            <w:r w:rsidRPr="00F70CCF">
              <w:rPr>
                <w:rFonts w:ascii="Times" w:eastAsia="Batang" w:hAnsi="Times" w:cs="Times"/>
                <w:b/>
                <w:bCs/>
                <w:szCs w:val="24"/>
                <w:highlight w:val="green"/>
              </w:rPr>
              <w:t>Agreement</w:t>
            </w:r>
          </w:p>
          <w:p w14:paraId="18F4C8E3" w14:textId="77777777" w:rsidR="00F70CCF" w:rsidRPr="00F70CCF" w:rsidRDefault="00F70CCF" w:rsidP="00F70CCF">
            <w:pPr>
              <w:snapToGrid w:val="0"/>
              <w:spacing w:after="0"/>
              <w:rPr>
                <w:rFonts w:ascii="Times" w:eastAsia="Batang" w:hAnsi="Times" w:cs="Times"/>
                <w:szCs w:val="24"/>
              </w:rPr>
            </w:pPr>
            <w:r w:rsidRPr="00F70CCF">
              <w:rPr>
                <w:rFonts w:ascii="Times" w:eastAsia="Batang" w:hAnsi="Times" w:cs="Times"/>
                <w:szCs w:val="24"/>
              </w:rPr>
              <w:t>On Rel-17 DCI-based beam indication, regarding application time of the beam indication, the first slot to apply the indicated TCI is at least Y symbols after the last symbol of the acknowledgment of the joint or separate DL/UL beam indication.</w:t>
            </w:r>
          </w:p>
          <w:p w14:paraId="01CB681D" w14:textId="77777777" w:rsidR="00F70CCF" w:rsidRPr="00F70CCF" w:rsidRDefault="00F70CCF" w:rsidP="00F70CCF">
            <w:pPr>
              <w:widowControl w:val="0"/>
              <w:numPr>
                <w:ilvl w:val="0"/>
                <w:numId w:val="36"/>
              </w:numPr>
              <w:snapToGrid w:val="0"/>
              <w:spacing w:after="0"/>
              <w:jc w:val="both"/>
              <w:rPr>
                <w:rFonts w:ascii="Times" w:eastAsia="Times New Roman" w:hAnsi="Times" w:cs="Times"/>
              </w:rPr>
            </w:pPr>
            <w:r w:rsidRPr="00F70CCF">
              <w:rPr>
                <w:rFonts w:ascii="Times" w:eastAsia="Times New Roman" w:hAnsi="Times" w:cs="Times"/>
                <w:szCs w:val="24"/>
              </w:rPr>
              <w:t>Note: The Y symbols are configured by the gNB based on UE capability, which is also reported in units of symbols.</w:t>
            </w:r>
          </w:p>
          <w:p w14:paraId="7365C420" w14:textId="77777777" w:rsidR="00F70CCF" w:rsidRPr="00F70CCF" w:rsidRDefault="00F70CCF" w:rsidP="00F70CCF">
            <w:pPr>
              <w:widowControl w:val="0"/>
              <w:numPr>
                <w:ilvl w:val="0"/>
                <w:numId w:val="36"/>
              </w:numPr>
              <w:snapToGrid w:val="0"/>
              <w:spacing w:after="0"/>
              <w:jc w:val="both"/>
              <w:rPr>
                <w:rFonts w:ascii="Times" w:eastAsia="Times New Roman" w:hAnsi="Times" w:cs="Times"/>
                <w:strike/>
              </w:rPr>
            </w:pPr>
            <w:r w:rsidRPr="00F70CCF">
              <w:rPr>
                <w:rFonts w:ascii="Times" w:eastAsia="Times New Roman" w:hAnsi="Times" w:cs="Times"/>
                <w:szCs w:val="24"/>
              </w:rPr>
              <w:t>FFS whether Y is configured per BWP , per CC or per band or per SCS , or independent of BWP/CC/SCS</w:t>
            </w:r>
          </w:p>
          <w:p w14:paraId="2221E42F" w14:textId="77777777" w:rsidR="00F70CCF" w:rsidRPr="00F70CCF" w:rsidRDefault="00F70CCF" w:rsidP="00F70CCF">
            <w:pPr>
              <w:widowControl w:val="0"/>
              <w:numPr>
                <w:ilvl w:val="1"/>
                <w:numId w:val="36"/>
              </w:numPr>
              <w:snapToGrid w:val="0"/>
              <w:spacing w:after="0"/>
              <w:jc w:val="both"/>
              <w:rPr>
                <w:rFonts w:ascii="Times" w:eastAsia="Times New Roman" w:hAnsi="Times" w:cs="Times"/>
              </w:rPr>
            </w:pPr>
            <w:r w:rsidRPr="00F70CCF">
              <w:rPr>
                <w:rFonts w:ascii="Times" w:eastAsia="Times New Roman" w:hAnsi="Times" w:cs="Times"/>
                <w:szCs w:val="24"/>
              </w:rPr>
              <w:t>Note: Previous agreement in RAN1#104b-e that remaining unused DCI fields and codepoints are reserved in R17 are not to be reverted</w:t>
            </w:r>
          </w:p>
          <w:p w14:paraId="093BA07E" w14:textId="77777777" w:rsidR="00F70CCF" w:rsidRDefault="00F70CCF" w:rsidP="00F70CCF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lang w:eastAsia="zh-CN"/>
              </w:rPr>
            </w:pPr>
          </w:p>
          <w:p w14:paraId="12D0ECD7" w14:textId="77777777" w:rsidR="00F70CCF" w:rsidRPr="00F70CCF" w:rsidRDefault="00F70CCF" w:rsidP="00F70CCF">
            <w:pPr>
              <w:snapToGrid w:val="0"/>
              <w:spacing w:after="0"/>
              <w:jc w:val="both"/>
              <w:rPr>
                <w:rFonts w:ascii="Times" w:eastAsia="Batang" w:hAnsi="Times"/>
                <w:bCs/>
                <w:highlight w:val="green"/>
                <w:lang w:eastAsia="zh-TW"/>
              </w:rPr>
            </w:pPr>
            <w:r w:rsidRPr="00F70CCF">
              <w:rPr>
                <w:rFonts w:ascii="Times" w:eastAsia="Batang" w:hAnsi="Times"/>
                <w:bCs/>
                <w:highlight w:val="green"/>
              </w:rPr>
              <w:t>Agreement</w:t>
            </w:r>
          </w:p>
          <w:p w14:paraId="741AA33C" w14:textId="77777777" w:rsidR="00F70CCF" w:rsidRPr="00F70CCF" w:rsidRDefault="00F70CCF" w:rsidP="00F70CCF">
            <w:pPr>
              <w:snapToGrid w:val="0"/>
              <w:spacing w:after="0"/>
              <w:jc w:val="both"/>
              <w:rPr>
                <w:rFonts w:ascii="Times" w:eastAsia="Batang" w:hAnsi="Times"/>
              </w:rPr>
            </w:pPr>
            <w:r w:rsidRPr="00F70CCF">
              <w:rPr>
                <w:rFonts w:ascii="Times" w:eastAsia="Batang" w:hAnsi="Times"/>
                <w:lang w:eastAsia="zh-TW"/>
              </w:rPr>
              <w:t xml:space="preserve">On Rel-17 DCI-based beam indication, regarding application time of the beam indication for CA, </w:t>
            </w:r>
            <w:r w:rsidRPr="00F70CCF">
              <w:rPr>
                <w:rFonts w:ascii="Times" w:eastAsia="Times New Roman" w:hAnsi="Times"/>
                <w:lang w:eastAsia="zh-TW"/>
              </w:rPr>
              <w:t>the first slot and the Y symbols are both determined on the carrier with the smallest SCS among the carrier(s) applying the beam indication.</w:t>
            </w:r>
            <w:r w:rsidRPr="00F70CCF">
              <w:rPr>
                <w:rFonts w:ascii="Times" w:eastAsia="Batang" w:hAnsi="Times"/>
              </w:rPr>
              <w:t xml:space="preserve"> </w:t>
            </w:r>
          </w:p>
          <w:p w14:paraId="3CF5184D" w14:textId="77777777" w:rsidR="00F70CCF" w:rsidRPr="00F70CCF" w:rsidRDefault="00F70CCF" w:rsidP="00F70CCF">
            <w:pPr>
              <w:widowControl w:val="0"/>
              <w:numPr>
                <w:ilvl w:val="0"/>
                <w:numId w:val="37"/>
              </w:numPr>
              <w:snapToGrid w:val="0"/>
              <w:spacing w:after="0"/>
              <w:jc w:val="both"/>
              <w:rPr>
                <w:rFonts w:eastAsia="宋体"/>
                <w:lang w:eastAsia="ja-JP"/>
              </w:rPr>
            </w:pPr>
            <w:r w:rsidRPr="00F70CCF">
              <w:rPr>
                <w:rFonts w:eastAsia="宋体"/>
                <w:lang w:eastAsia="ja-JP"/>
              </w:rPr>
              <w:t>For Rel-17 MAC-CE based beam indication (when only a single TCI codepoint is activated) and activation, it follows the Rel-16 application timeline of MAC-CE activation</w:t>
            </w:r>
          </w:p>
          <w:p w14:paraId="21B22435" w14:textId="77777777" w:rsidR="00F70CCF" w:rsidRPr="00F70CCF" w:rsidRDefault="00F70CCF" w:rsidP="00F70CCF">
            <w:pPr>
              <w:widowControl w:val="0"/>
              <w:numPr>
                <w:ilvl w:val="1"/>
                <w:numId w:val="37"/>
              </w:numPr>
              <w:snapToGrid w:val="0"/>
              <w:spacing w:after="0"/>
              <w:jc w:val="both"/>
              <w:rPr>
                <w:rFonts w:eastAsia="宋体"/>
                <w:lang w:eastAsia="ja-JP"/>
              </w:rPr>
            </w:pPr>
            <w:r w:rsidRPr="00F70CCF">
              <w:rPr>
                <w:rFonts w:eastAsia="宋体"/>
                <w:lang w:eastAsia="ja-JP"/>
              </w:rPr>
              <w:t>How to capture this in the specifications is up to the editors</w:t>
            </w:r>
          </w:p>
          <w:p w14:paraId="2EA34639" w14:textId="77777777" w:rsidR="00F70CCF" w:rsidRPr="00F70CCF" w:rsidRDefault="00F70CCF" w:rsidP="00F70CCF">
            <w:pPr>
              <w:widowControl w:val="0"/>
              <w:adjustRightInd w:val="0"/>
              <w:snapToGrid w:val="0"/>
              <w:spacing w:after="0"/>
              <w:rPr>
                <w:rFonts w:eastAsiaTheme="minorEastAsia"/>
                <w:sz w:val="22"/>
                <w:lang w:eastAsia="zh-CN"/>
              </w:rPr>
            </w:pPr>
          </w:p>
        </w:tc>
      </w:tr>
    </w:tbl>
    <w:p w14:paraId="62368D54" w14:textId="5D1AEA71" w:rsidR="00750852" w:rsidRDefault="000F6A9C" w:rsidP="00F646FB">
      <w:pPr>
        <w:widowControl w:val="0"/>
        <w:adjustRightInd w:val="0"/>
        <w:snapToGrid w:val="0"/>
        <w:spacing w:before="180"/>
        <w:rPr>
          <w:rFonts w:eastAsiaTheme="minorEastAsia"/>
          <w:sz w:val="22"/>
          <w:lang w:val="en-US" w:eastAsia="zh-CN"/>
        </w:rPr>
      </w:pPr>
      <w:r>
        <w:rPr>
          <w:rFonts w:eastAsiaTheme="minorEastAsia" w:hint="eastAsia"/>
          <w:sz w:val="22"/>
          <w:lang w:val="en-US" w:eastAsia="zh-CN"/>
        </w:rPr>
        <w:t>T</w:t>
      </w:r>
      <w:r>
        <w:rPr>
          <w:rFonts w:eastAsiaTheme="minorEastAsia"/>
          <w:sz w:val="22"/>
          <w:lang w:val="en-US" w:eastAsia="zh-CN"/>
        </w:rPr>
        <w:t xml:space="preserve">he DCI based TCI state switching delay </w:t>
      </w:r>
      <w:r w:rsidR="00CC3811">
        <w:rPr>
          <w:rFonts w:eastAsiaTheme="minorEastAsia"/>
          <w:sz w:val="22"/>
          <w:lang w:val="en-US" w:eastAsia="zh-CN"/>
        </w:rPr>
        <w:t>depends</w:t>
      </w:r>
      <w:r>
        <w:rPr>
          <w:rFonts w:eastAsiaTheme="minorEastAsia"/>
          <w:sz w:val="22"/>
          <w:lang w:val="en-US" w:eastAsia="zh-CN"/>
        </w:rPr>
        <w:t xml:space="preserve"> on how to define the starting point. </w:t>
      </w:r>
      <w:r w:rsidR="00F70CCF">
        <w:rPr>
          <w:rFonts w:eastAsiaTheme="minorEastAsia" w:hint="eastAsia"/>
          <w:sz w:val="22"/>
          <w:lang w:val="en-US" w:eastAsia="zh-CN"/>
        </w:rPr>
        <w:t>I</w:t>
      </w:r>
      <w:r w:rsidR="00F70CCF">
        <w:rPr>
          <w:rFonts w:eastAsiaTheme="minorEastAsia"/>
          <w:sz w:val="22"/>
          <w:lang w:val="en-US" w:eastAsia="zh-CN"/>
        </w:rPr>
        <w:t xml:space="preserve">f the starting point is defined as the slot </w:t>
      </w:r>
      <w:r w:rsidR="00750852">
        <w:rPr>
          <w:rFonts w:eastAsiaTheme="minorEastAsia"/>
          <w:sz w:val="22"/>
          <w:lang w:val="en-US" w:eastAsia="zh-CN"/>
        </w:rPr>
        <w:t xml:space="preserve">in </w:t>
      </w:r>
      <w:r w:rsidR="00F70CCF">
        <w:rPr>
          <w:rFonts w:eastAsiaTheme="minorEastAsia"/>
          <w:sz w:val="22"/>
          <w:lang w:val="en-US" w:eastAsia="zh-CN"/>
        </w:rPr>
        <w:t>wh</w:t>
      </w:r>
      <w:r w:rsidR="00750852">
        <w:rPr>
          <w:rFonts w:eastAsiaTheme="minorEastAsia"/>
          <w:sz w:val="22"/>
          <w:lang w:val="en-US" w:eastAsia="zh-CN"/>
        </w:rPr>
        <w:t>ich</w:t>
      </w:r>
      <w:r w:rsidR="00F70CCF">
        <w:rPr>
          <w:rFonts w:eastAsiaTheme="minorEastAsia"/>
          <w:sz w:val="22"/>
          <w:lang w:val="en-US" w:eastAsia="zh-CN"/>
        </w:rPr>
        <w:t xml:space="preserve"> UE receives the DCI </w:t>
      </w:r>
      <w:r w:rsidR="00183CB3">
        <w:rPr>
          <w:rFonts w:eastAsiaTheme="minorEastAsia"/>
          <w:sz w:val="22"/>
          <w:lang w:val="en-US" w:eastAsia="zh-CN"/>
        </w:rPr>
        <w:t xml:space="preserve">based beam indication, then the switching delay shall be defined </w:t>
      </w:r>
      <w:r w:rsidR="00183CB3" w:rsidRPr="00EB4D68">
        <w:rPr>
          <w:rFonts w:eastAsiaTheme="minorEastAsia"/>
          <w:sz w:val="22"/>
          <w:szCs w:val="22"/>
          <w:lang w:val="en-US" w:eastAsia="zh-CN"/>
        </w:rPr>
        <w:t>(</w:t>
      </w:r>
      <w:r w:rsidR="00183CB3" w:rsidRPr="00EB4D68">
        <w:rPr>
          <w:sz w:val="22"/>
          <w:szCs w:val="22"/>
        </w:rPr>
        <w:t>T</w:t>
      </w:r>
      <w:r w:rsidR="00183CB3" w:rsidRPr="00EB4D68">
        <w:rPr>
          <w:sz w:val="22"/>
          <w:szCs w:val="22"/>
          <w:vertAlign w:val="subscript"/>
        </w:rPr>
        <w:t>HARQ</w:t>
      </w:r>
      <w:r w:rsidR="00183CB3" w:rsidRPr="00EB4D68">
        <w:rPr>
          <w:rFonts w:eastAsiaTheme="minorEastAsia"/>
          <w:sz w:val="22"/>
          <w:szCs w:val="22"/>
          <w:lang w:val="en-US" w:eastAsia="zh-CN"/>
        </w:rPr>
        <w:t xml:space="preserve"> + Y symbols)</w:t>
      </w:r>
      <w:r w:rsidR="00183CB3">
        <w:rPr>
          <w:rFonts w:eastAsiaTheme="minorEastAsia"/>
          <w:sz w:val="22"/>
          <w:szCs w:val="22"/>
          <w:lang w:val="en-US" w:eastAsia="zh-CN"/>
        </w:rPr>
        <w:t>.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 w:rsidR="00183CB3">
        <w:rPr>
          <w:rFonts w:eastAsiaTheme="minorEastAsia"/>
          <w:sz w:val="22"/>
          <w:szCs w:val="22"/>
          <w:lang w:val="en-US" w:eastAsia="zh-CN"/>
        </w:rPr>
        <w:t xml:space="preserve">If the </w:t>
      </w:r>
      <w:r w:rsidR="00183CB3">
        <w:rPr>
          <w:rFonts w:eastAsiaTheme="minorEastAsia"/>
          <w:sz w:val="22"/>
          <w:lang w:val="en-US" w:eastAsia="zh-CN"/>
        </w:rPr>
        <w:t xml:space="preserve">starting point is defined as the slot </w:t>
      </w:r>
      <w:r w:rsidR="00750852">
        <w:rPr>
          <w:rFonts w:eastAsiaTheme="minorEastAsia"/>
          <w:sz w:val="22"/>
          <w:lang w:val="en-US" w:eastAsia="zh-CN"/>
        </w:rPr>
        <w:t xml:space="preserve">in which </w:t>
      </w:r>
      <w:r w:rsidR="00183CB3">
        <w:rPr>
          <w:rFonts w:eastAsiaTheme="minorEastAsia"/>
          <w:sz w:val="22"/>
          <w:lang w:val="en-US" w:eastAsia="zh-CN"/>
        </w:rPr>
        <w:t xml:space="preserve">UE </w:t>
      </w:r>
      <w:r w:rsidR="00183CB3" w:rsidRPr="00183CB3">
        <w:rPr>
          <w:rFonts w:eastAsiaTheme="minorEastAsia"/>
          <w:sz w:val="22"/>
          <w:lang w:val="en-US" w:eastAsia="zh-CN"/>
        </w:rPr>
        <w:t>transmit</w:t>
      </w:r>
      <w:r w:rsidR="00183CB3">
        <w:rPr>
          <w:rFonts w:eastAsiaTheme="minorEastAsia"/>
          <w:sz w:val="22"/>
          <w:lang w:val="en-US" w:eastAsia="zh-CN"/>
        </w:rPr>
        <w:t>s</w:t>
      </w:r>
      <w:r w:rsidR="00183CB3" w:rsidRPr="00183CB3">
        <w:rPr>
          <w:rFonts w:eastAsiaTheme="minorEastAsia"/>
          <w:sz w:val="22"/>
          <w:lang w:val="en-US" w:eastAsia="zh-CN"/>
        </w:rPr>
        <w:t xml:space="preserve"> the acknowledgment</w:t>
      </w:r>
      <w:r w:rsidR="00183CB3">
        <w:rPr>
          <w:rFonts w:eastAsiaTheme="minorEastAsia"/>
          <w:sz w:val="22"/>
          <w:lang w:val="en-US" w:eastAsia="zh-CN"/>
        </w:rPr>
        <w:t xml:space="preserve"> of the DCI based beam indication, then the </w:t>
      </w:r>
      <w:r w:rsidR="00DE798E">
        <w:rPr>
          <w:rFonts w:eastAsiaTheme="minorEastAsia"/>
          <w:sz w:val="22"/>
          <w:lang w:val="en-US" w:eastAsia="zh-CN"/>
        </w:rPr>
        <w:t xml:space="preserve">switching delay shall be defined </w:t>
      </w:r>
      <w:r w:rsidR="00DE798E">
        <w:rPr>
          <w:rFonts w:eastAsiaTheme="minorEastAsia"/>
          <w:sz w:val="22"/>
          <w:szCs w:val="22"/>
          <w:lang w:val="en-US" w:eastAsia="zh-CN"/>
        </w:rPr>
        <w:t>Y symbols.</w:t>
      </w:r>
      <w:r w:rsidR="00EC48E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50852">
        <w:rPr>
          <w:rFonts w:eastAsiaTheme="minorEastAsia"/>
          <w:sz w:val="22"/>
          <w:szCs w:val="22"/>
          <w:lang w:val="en-US" w:eastAsia="zh-CN"/>
        </w:rPr>
        <w:t xml:space="preserve">We suggest to define the </w:t>
      </w:r>
      <w:r w:rsidR="00750852">
        <w:rPr>
          <w:rFonts w:eastAsiaTheme="minorEastAsia"/>
          <w:sz w:val="22"/>
          <w:lang w:val="en-US" w:eastAsia="zh-CN"/>
        </w:rPr>
        <w:t xml:space="preserve">slot in which UE receives the DCI based beam indication as the starting point of DCI based TCI state switching delay. </w:t>
      </w:r>
    </w:p>
    <w:p w14:paraId="1458F509" w14:textId="19F84727" w:rsidR="00DE798E" w:rsidRDefault="00DE798E" w:rsidP="00DE798E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 w:rsidR="00315C1C">
        <w:rPr>
          <w:rFonts w:eastAsiaTheme="minorEastAsia"/>
          <w:b/>
          <w:i/>
          <w:sz w:val="22"/>
          <w:lang w:val="en-US" w:eastAsia="zh-CN"/>
        </w:rPr>
        <w:t>5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750852">
        <w:rPr>
          <w:rFonts w:eastAsiaTheme="minorEastAsia"/>
          <w:b/>
          <w:i/>
          <w:sz w:val="22"/>
          <w:lang w:val="en-US" w:eastAsia="zh-CN"/>
        </w:rPr>
        <w:t>DCI</w:t>
      </w:r>
      <w:r>
        <w:rPr>
          <w:rFonts w:eastAsiaTheme="minorEastAsia"/>
          <w:b/>
          <w:i/>
          <w:sz w:val="22"/>
          <w:lang w:val="en-US" w:eastAsia="zh-CN"/>
        </w:rPr>
        <w:t xml:space="preserve"> based </w:t>
      </w:r>
      <w:r w:rsidR="00A46E9A">
        <w:rPr>
          <w:rFonts w:eastAsiaTheme="minorEastAsia"/>
          <w:b/>
          <w:i/>
          <w:sz w:val="22"/>
          <w:lang w:val="en-US" w:eastAsia="zh-CN"/>
        </w:rPr>
        <w:t xml:space="preserve">DL </w:t>
      </w:r>
      <w:r>
        <w:rPr>
          <w:rFonts w:eastAsiaTheme="minorEastAsia"/>
          <w:b/>
          <w:i/>
          <w:sz w:val="22"/>
          <w:lang w:val="en-US" w:eastAsia="zh-CN"/>
        </w:rPr>
        <w:t>TCI state switching delay can be defined as:</w:t>
      </w:r>
    </w:p>
    <w:p w14:paraId="52C98607" w14:textId="61A9A74D" w:rsidR="004961EE" w:rsidRPr="004961EE" w:rsidRDefault="00EC48E8" w:rsidP="00A214A2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lastRenderedPageBreak/>
        <w:t>W</w:t>
      </w:r>
      <w:r w:rsidRPr="00EC48E8">
        <w:rPr>
          <w:rFonts w:eastAsiaTheme="minorEastAsia"/>
          <w:b/>
          <w:i/>
          <w:sz w:val="22"/>
          <w:lang w:val="en-US" w:eastAsia="zh-CN"/>
        </w:rPr>
        <w:t xml:space="preserve">hen a UE receives the DCI triggering </w:t>
      </w:r>
      <w:r w:rsidR="00A46E9A">
        <w:rPr>
          <w:rFonts w:eastAsiaTheme="minorEastAsia"/>
          <w:b/>
          <w:i/>
          <w:sz w:val="22"/>
          <w:lang w:val="en-US" w:eastAsia="zh-CN"/>
        </w:rPr>
        <w:t>DL TCI state activation</w:t>
      </w:r>
      <w:r w:rsidRPr="00EC48E8">
        <w:rPr>
          <w:rFonts w:eastAsiaTheme="minorEastAsia"/>
          <w:b/>
          <w:i/>
          <w:sz w:val="22"/>
          <w:lang w:val="en-US" w:eastAsia="zh-CN"/>
        </w:rPr>
        <w:t xml:space="preserve"> at slot n</w:t>
      </w:r>
      <w:r>
        <w:rPr>
          <w:rFonts w:eastAsiaTheme="minorEastAsia"/>
          <w:b/>
          <w:i/>
          <w:sz w:val="22"/>
          <w:lang w:val="en-US" w:eastAsia="zh-CN"/>
        </w:rPr>
        <w:t xml:space="preserve">, </w:t>
      </w:r>
      <w:r w:rsidR="00A46E9A" w:rsidRPr="00A46E9A">
        <w:rPr>
          <w:rFonts w:eastAsiaTheme="minorEastAsia"/>
          <w:b/>
          <w:i/>
          <w:sz w:val="22"/>
          <w:lang w:val="en-US" w:eastAsia="zh-CN"/>
        </w:rPr>
        <w:t xml:space="preserve">UE shall be able to receive </w:t>
      </w:r>
      <w:r w:rsidR="00A46E9A">
        <w:rPr>
          <w:rFonts w:eastAsiaTheme="minorEastAsia"/>
          <w:b/>
          <w:i/>
          <w:sz w:val="22"/>
          <w:lang w:val="en-US" w:eastAsia="zh-CN"/>
        </w:rPr>
        <w:t>PDCCH/</w:t>
      </w:r>
      <w:r w:rsidR="00A46E9A" w:rsidRPr="00A46E9A">
        <w:rPr>
          <w:rFonts w:eastAsiaTheme="minorEastAsia"/>
          <w:b/>
          <w:i/>
          <w:sz w:val="22"/>
          <w:lang w:val="en-US" w:eastAsia="zh-CN"/>
        </w:rPr>
        <w:t>PDSCH with target TCI state of the serving cell on which TCI state switch occurs at the first slot that is after slot n</w:t>
      </w:r>
      <w:r w:rsidR="00A46E9A"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A46E9A" w:rsidRPr="00A46E9A">
        <w:rPr>
          <w:rFonts w:eastAsiaTheme="minorEastAsia"/>
          <w:b/>
          <w:i/>
          <w:sz w:val="22"/>
          <w:lang w:val="en-US" w:eastAsia="zh-CN"/>
        </w:rPr>
        <w:t>+</w:t>
      </w:r>
      <w:r w:rsidR="00A46E9A">
        <w:rPr>
          <w:rFonts w:eastAsiaTheme="minorEastAsia"/>
          <w:b/>
          <w:i/>
          <w:sz w:val="22"/>
          <w:lang w:val="en-US" w:eastAsia="zh-CN"/>
        </w:rPr>
        <w:t xml:space="preserve"> </w:t>
      </w:r>
      <w:r w:rsidR="00315C1C">
        <w:rPr>
          <w:rFonts w:eastAsiaTheme="minorEastAsia"/>
          <w:b/>
          <w:i/>
          <w:sz w:val="22"/>
          <w:lang w:val="en-US" w:eastAsia="zh-CN"/>
        </w:rPr>
        <w:t>T</w:t>
      </w:r>
      <w:r w:rsidR="00315C1C" w:rsidRPr="00315C1C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 w:rsidR="00315C1C">
        <w:rPr>
          <w:rFonts w:eastAsiaTheme="minorEastAsia"/>
          <w:b/>
          <w:i/>
          <w:sz w:val="22"/>
          <w:lang w:val="en-US" w:eastAsia="zh-CN"/>
        </w:rPr>
        <w:t xml:space="preserve"> + </w:t>
      </w:r>
      <w:r w:rsidR="00A46E9A">
        <w:rPr>
          <w:rFonts w:eastAsiaTheme="minorEastAsia"/>
          <w:b/>
          <w:i/>
          <w:sz w:val="22"/>
          <w:lang w:val="en-US" w:eastAsia="zh-CN"/>
        </w:rPr>
        <w:t>[Y] symbols</w:t>
      </w:r>
      <w:r w:rsidR="00A46E9A" w:rsidRPr="00A46E9A">
        <w:rPr>
          <w:rFonts w:eastAsiaTheme="minorEastAsia"/>
          <w:b/>
          <w:i/>
          <w:sz w:val="22"/>
          <w:lang w:val="en-US" w:eastAsia="zh-CN"/>
        </w:rPr>
        <w:t>, where,</w:t>
      </w:r>
      <w:r w:rsidR="00A46E9A">
        <w:rPr>
          <w:rFonts w:eastAsiaTheme="minorEastAsia"/>
          <w:b/>
          <w:i/>
          <w:sz w:val="22"/>
          <w:lang w:val="en-US" w:eastAsia="zh-CN"/>
        </w:rPr>
        <w:t xml:space="preserve"> Y is </w:t>
      </w:r>
      <w:r w:rsidR="00A46E9A" w:rsidRPr="00A46E9A">
        <w:rPr>
          <w:rFonts w:eastAsiaTheme="minorEastAsia"/>
          <w:b/>
          <w:i/>
          <w:sz w:val="22"/>
          <w:lang w:val="en-US" w:eastAsia="zh-CN"/>
        </w:rPr>
        <w:t>configured via higher layer parameter</w:t>
      </w:r>
      <w:r w:rsidR="00A46E9A">
        <w:rPr>
          <w:rFonts w:eastAsiaTheme="minorEastAsia"/>
          <w:b/>
          <w:i/>
          <w:sz w:val="22"/>
          <w:lang w:val="en-US" w:eastAsia="zh-CN"/>
        </w:rPr>
        <w:t xml:space="preserve"> [TBD]</w:t>
      </w:r>
      <w:r w:rsidR="00A214A2">
        <w:rPr>
          <w:rFonts w:eastAsiaTheme="minorEastAsia"/>
          <w:b/>
          <w:i/>
          <w:sz w:val="22"/>
          <w:lang w:val="en-US" w:eastAsia="zh-CN"/>
        </w:rPr>
        <w:t xml:space="preserve">, and </w:t>
      </w:r>
      <w:r w:rsidR="00A214A2" w:rsidRPr="00A214A2">
        <w:rPr>
          <w:rFonts w:eastAsiaTheme="minorEastAsia"/>
          <w:b/>
          <w:i/>
          <w:sz w:val="22"/>
          <w:lang w:val="en-US" w:eastAsia="zh-CN"/>
        </w:rPr>
        <w:t>T</w:t>
      </w:r>
      <w:r w:rsidR="00A214A2" w:rsidRPr="00A214A2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 w:rsidR="00A214A2" w:rsidRPr="00A214A2">
        <w:rPr>
          <w:rFonts w:eastAsiaTheme="minorEastAsia"/>
          <w:b/>
          <w:i/>
          <w:sz w:val="22"/>
          <w:lang w:val="en-US" w:eastAsia="zh-CN"/>
        </w:rPr>
        <w:t xml:space="preserve"> is the timing between DL data transmission and acknowledgement as specified in TS 38.213 [3].</w:t>
      </w:r>
    </w:p>
    <w:p w14:paraId="45BBEE91" w14:textId="4D24185D" w:rsidR="00315C1C" w:rsidRDefault="00315C1C" w:rsidP="00315C1C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6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DCI based UL TCI state switching delay can be defined as:</w:t>
      </w:r>
    </w:p>
    <w:p w14:paraId="55BC0F29" w14:textId="217581EE" w:rsidR="00315C1C" w:rsidRPr="004961EE" w:rsidRDefault="00315C1C" w:rsidP="00315C1C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W</w:t>
      </w:r>
      <w:r w:rsidRPr="00EC48E8">
        <w:rPr>
          <w:rFonts w:eastAsiaTheme="minorEastAsia"/>
          <w:b/>
          <w:i/>
          <w:sz w:val="22"/>
          <w:lang w:val="en-US" w:eastAsia="zh-CN"/>
        </w:rPr>
        <w:t xml:space="preserve">hen a UE receives the DCI triggering </w:t>
      </w:r>
      <w:r>
        <w:rPr>
          <w:rFonts w:eastAsiaTheme="minorEastAsia"/>
          <w:b/>
          <w:i/>
          <w:sz w:val="22"/>
          <w:lang w:val="en-US" w:eastAsia="zh-CN"/>
        </w:rPr>
        <w:t>UL TCI state activation</w:t>
      </w:r>
      <w:r w:rsidRPr="00EC48E8">
        <w:rPr>
          <w:rFonts w:eastAsiaTheme="minorEastAsia"/>
          <w:b/>
          <w:i/>
          <w:sz w:val="22"/>
          <w:lang w:val="en-US" w:eastAsia="zh-CN"/>
        </w:rPr>
        <w:t xml:space="preserve"> at slot n</w:t>
      </w:r>
      <w:r>
        <w:rPr>
          <w:rFonts w:eastAsiaTheme="minorEastAsia"/>
          <w:b/>
          <w:i/>
          <w:sz w:val="22"/>
          <w:lang w:val="en-US" w:eastAsia="zh-CN"/>
        </w:rPr>
        <w:t xml:space="preserve">, </w:t>
      </w:r>
      <w:r w:rsidRPr="00A46E9A">
        <w:rPr>
          <w:rFonts w:eastAsiaTheme="minorEastAsia"/>
          <w:b/>
          <w:i/>
          <w:sz w:val="22"/>
          <w:lang w:val="en-US" w:eastAsia="zh-CN"/>
        </w:rPr>
        <w:t xml:space="preserve">UE shall be able to </w:t>
      </w:r>
      <w:r>
        <w:rPr>
          <w:rFonts w:eastAsiaTheme="minorEastAsia"/>
          <w:b/>
          <w:i/>
          <w:sz w:val="22"/>
          <w:lang w:val="en-US" w:eastAsia="zh-CN"/>
        </w:rPr>
        <w:t>transmit</w:t>
      </w:r>
      <w:r w:rsidRPr="00A46E9A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PUCCH/</w:t>
      </w:r>
      <w:r w:rsidRPr="00A46E9A">
        <w:rPr>
          <w:rFonts w:eastAsiaTheme="minorEastAsia"/>
          <w:b/>
          <w:i/>
          <w:sz w:val="22"/>
          <w:lang w:val="en-US" w:eastAsia="zh-CN"/>
        </w:rPr>
        <w:t>P</w:t>
      </w:r>
      <w:r>
        <w:rPr>
          <w:rFonts w:eastAsiaTheme="minorEastAsia"/>
          <w:b/>
          <w:i/>
          <w:sz w:val="22"/>
          <w:lang w:val="en-US" w:eastAsia="zh-CN"/>
        </w:rPr>
        <w:t>U</w:t>
      </w:r>
      <w:r w:rsidRPr="00A46E9A">
        <w:rPr>
          <w:rFonts w:eastAsiaTheme="minorEastAsia"/>
          <w:b/>
          <w:i/>
          <w:sz w:val="22"/>
          <w:lang w:val="en-US" w:eastAsia="zh-CN"/>
        </w:rPr>
        <w:t>SCH with target TCI state of the serving cell on which TCI state switch occurs at the first slot that is after slot n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Pr="00A46E9A">
        <w:rPr>
          <w:rFonts w:eastAsiaTheme="minorEastAsia"/>
          <w:b/>
          <w:i/>
          <w:sz w:val="22"/>
          <w:lang w:val="en-US" w:eastAsia="zh-CN"/>
        </w:rPr>
        <w:t>+</w:t>
      </w:r>
      <w:r>
        <w:rPr>
          <w:rFonts w:eastAsiaTheme="minorEastAsia"/>
          <w:b/>
          <w:i/>
          <w:sz w:val="22"/>
          <w:lang w:val="en-US" w:eastAsia="zh-CN"/>
        </w:rPr>
        <w:t xml:space="preserve"> T</w:t>
      </w:r>
      <w:r w:rsidRPr="00315C1C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 w:rsidRPr="00A46E9A">
        <w:rPr>
          <w:rFonts w:eastAsiaTheme="minorEastAsia"/>
          <w:b/>
          <w:i/>
          <w:sz w:val="22"/>
          <w:lang w:val="en-US" w:eastAsia="zh-CN"/>
        </w:rPr>
        <w:t xml:space="preserve"> +</w:t>
      </w:r>
      <w:r>
        <w:rPr>
          <w:rFonts w:eastAsiaTheme="minorEastAsia"/>
          <w:b/>
          <w:i/>
          <w:sz w:val="22"/>
          <w:lang w:val="en-US" w:eastAsia="zh-CN"/>
        </w:rPr>
        <w:t xml:space="preserve"> [Y] symbols</w:t>
      </w:r>
      <w:r w:rsidRPr="00A46E9A">
        <w:rPr>
          <w:rFonts w:eastAsiaTheme="minorEastAsia"/>
          <w:b/>
          <w:i/>
          <w:sz w:val="22"/>
          <w:lang w:val="en-US" w:eastAsia="zh-CN"/>
        </w:rPr>
        <w:t>, where,</w:t>
      </w:r>
      <w:r>
        <w:rPr>
          <w:rFonts w:eastAsiaTheme="minorEastAsia"/>
          <w:b/>
          <w:i/>
          <w:sz w:val="22"/>
          <w:lang w:val="en-US" w:eastAsia="zh-CN"/>
        </w:rPr>
        <w:t xml:space="preserve"> Y is </w:t>
      </w:r>
      <w:r w:rsidRPr="00A46E9A">
        <w:rPr>
          <w:rFonts w:eastAsiaTheme="minorEastAsia"/>
          <w:b/>
          <w:i/>
          <w:sz w:val="22"/>
          <w:lang w:val="en-US" w:eastAsia="zh-CN"/>
        </w:rPr>
        <w:t>configured via higher layer parameter</w:t>
      </w:r>
      <w:r>
        <w:rPr>
          <w:rFonts w:eastAsiaTheme="minorEastAsia"/>
          <w:b/>
          <w:i/>
          <w:sz w:val="22"/>
          <w:lang w:val="en-US" w:eastAsia="zh-CN"/>
        </w:rPr>
        <w:t xml:space="preserve"> [TBD]</w:t>
      </w:r>
      <w:r w:rsidR="00A214A2">
        <w:rPr>
          <w:rFonts w:eastAsiaTheme="minorEastAsia"/>
          <w:b/>
          <w:i/>
          <w:sz w:val="22"/>
          <w:lang w:val="en-US" w:eastAsia="zh-CN"/>
        </w:rPr>
        <w:t xml:space="preserve">, and </w:t>
      </w:r>
      <w:r w:rsidR="00A214A2" w:rsidRPr="00A214A2">
        <w:rPr>
          <w:rFonts w:eastAsiaTheme="minorEastAsia"/>
          <w:b/>
          <w:i/>
          <w:sz w:val="22"/>
          <w:lang w:val="en-US" w:eastAsia="zh-CN"/>
        </w:rPr>
        <w:t>T</w:t>
      </w:r>
      <w:r w:rsidR="00A214A2" w:rsidRPr="00A214A2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 w:rsidR="00A214A2" w:rsidRPr="00A214A2">
        <w:rPr>
          <w:rFonts w:eastAsiaTheme="minorEastAsia"/>
          <w:b/>
          <w:i/>
          <w:sz w:val="22"/>
          <w:lang w:val="en-US" w:eastAsia="zh-CN"/>
        </w:rPr>
        <w:t xml:space="preserve"> is the timing between DL data transmission and acknowledgement as specified in TS 38.213 [3]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152EA4CE" w14:textId="77777777" w:rsidR="00EC48E8" w:rsidRPr="00315C1C" w:rsidRDefault="00EC48E8" w:rsidP="002F57F4">
      <w:pPr>
        <w:spacing w:after="120"/>
        <w:rPr>
          <w:rFonts w:eastAsia="宋体"/>
          <w:sz w:val="22"/>
          <w:lang w:val="en-US" w:eastAsia="zh-CN"/>
        </w:rPr>
      </w:pP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772C80A9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>analysis on</w:t>
      </w:r>
      <w:r w:rsidR="003A48D5" w:rsidRPr="003A48D5">
        <w:rPr>
          <w:rFonts w:eastAsia="宋体"/>
          <w:sz w:val="22"/>
          <w:lang w:eastAsia="zh-CN"/>
        </w:rPr>
        <w:t xml:space="preserve"> </w:t>
      </w:r>
      <w:r w:rsidR="003A48D5">
        <w:rPr>
          <w:rFonts w:eastAsia="宋体"/>
          <w:sz w:val="22"/>
          <w:lang w:eastAsia="zh-CN"/>
        </w:rPr>
        <w:t xml:space="preserve">RRM </w:t>
      </w:r>
      <w:r w:rsidR="006A0A91">
        <w:rPr>
          <w:rFonts w:eastAsia="宋体"/>
          <w:sz w:val="22"/>
          <w:lang w:eastAsia="zh-CN"/>
        </w:rPr>
        <w:t>requirements</w:t>
      </w:r>
      <w:r w:rsidR="003A48D5">
        <w:rPr>
          <w:rFonts w:eastAsia="宋体"/>
          <w:sz w:val="22"/>
          <w:lang w:eastAsia="zh-CN"/>
        </w:rPr>
        <w:t xml:space="preserve"> </w:t>
      </w:r>
      <w:r w:rsidR="006A0A91">
        <w:rPr>
          <w:rFonts w:eastAsia="宋体"/>
          <w:sz w:val="22"/>
          <w:lang w:eastAsia="zh-CN"/>
        </w:rPr>
        <w:t>for</w:t>
      </w:r>
      <w:r w:rsidR="003A48D5">
        <w:rPr>
          <w:rFonts w:eastAsia="宋体"/>
          <w:sz w:val="22"/>
          <w:lang w:eastAsia="zh-CN"/>
        </w:rPr>
        <w:t xml:space="preserve"> Rel-17 unified TCI in </w:t>
      </w:r>
      <w:r w:rsidR="00E63350">
        <w:rPr>
          <w:rFonts w:eastAsia="宋体"/>
          <w:sz w:val="22"/>
          <w:lang w:eastAsia="zh-CN"/>
        </w:rPr>
        <w:t>NR FeMIMO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0CAF4C4A" w14:textId="77777777" w:rsidR="00EC48E8" w:rsidRPr="00BD2CE3" w:rsidRDefault="00EC48E8" w:rsidP="00EC48E8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>roposal 1:</w:t>
      </w:r>
      <w:r>
        <w:rPr>
          <w:rFonts w:eastAsiaTheme="minorEastAsia"/>
          <w:b/>
          <w:i/>
          <w:sz w:val="22"/>
          <w:lang w:val="en-US" w:eastAsia="zh-CN"/>
        </w:rPr>
        <w:t xml:space="preserve"> When a SSB is indicated as PL-RS in a UL TCI state, the scaling factor for beam sweeping needs to be introduced for PL-RS measurement time in FR2.</w:t>
      </w:r>
    </w:p>
    <w:p w14:paraId="3C0E5D71" w14:textId="77777777" w:rsidR="00EC48E8" w:rsidRPr="00BD2CE3" w:rsidRDefault="00EC48E8" w:rsidP="00EC48E8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2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In FR2, the MAC-CE based UL TCI state switching delay need to be separately defined</w:t>
      </w:r>
      <w:r w:rsidRPr="000F6A9C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for SSB based PL-RS.</w:t>
      </w:r>
    </w:p>
    <w:p w14:paraId="0B2F891C" w14:textId="77777777" w:rsidR="00112B2E" w:rsidRDefault="00112B2E" w:rsidP="00112B2E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3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In FR2, when a SSB is indicated as PL-RS in a UL TCI state, the MAC-CE based UL TCI state switching delay for both known case and unknown case can be defined as:</w:t>
      </w:r>
    </w:p>
    <w:p w14:paraId="39ABA148" w14:textId="77777777" w:rsidR="00112B2E" w:rsidRDefault="00112B2E" w:rsidP="00112B2E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E6996">
        <w:rPr>
          <w:rFonts w:eastAsiaTheme="minorEastAsia"/>
          <w:b/>
          <w:i/>
          <w:sz w:val="22"/>
          <w:lang w:val="en-US" w:eastAsia="zh-CN"/>
        </w:rPr>
        <w:t>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+ 3ms + NM*(5*T</w:t>
      </w:r>
      <w:r w:rsidRPr="001E6996">
        <w:rPr>
          <w:rFonts w:eastAsiaTheme="minorEastAsia"/>
          <w:b/>
          <w:i/>
          <w:sz w:val="22"/>
          <w:vertAlign w:val="subscript"/>
          <w:lang w:val="en-US" w:eastAsia="zh-CN"/>
        </w:rPr>
        <w:t>L1-RSRP_SSB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 + 2ms) with the assumption of M=1. </w:t>
      </w:r>
    </w:p>
    <w:p w14:paraId="08572425" w14:textId="77777777" w:rsidR="00112B2E" w:rsidRPr="001E6996" w:rsidRDefault="00112B2E" w:rsidP="00112B2E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1E6996">
        <w:rPr>
          <w:rFonts w:eastAsiaTheme="minorEastAsia"/>
          <w:b/>
          <w:i/>
          <w:sz w:val="22"/>
          <w:lang w:val="en-US" w:eastAsia="zh-CN"/>
        </w:rPr>
        <w:t>Where NM = 1, if the target PL-RS is not maintained by the UE, 0 otherwise.</w:t>
      </w:r>
    </w:p>
    <w:p w14:paraId="6668177F" w14:textId="5018CF2A" w:rsidR="00112B2E" w:rsidRDefault="00112B2E" w:rsidP="00112B2E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4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For MAC-CE based TCI state switching, the following is suggested to be clarified in</w:t>
      </w:r>
      <w:r w:rsidR="00315C1C">
        <w:rPr>
          <w:rFonts w:eastAsiaTheme="minorEastAsia"/>
          <w:b/>
          <w:i/>
          <w:sz w:val="22"/>
          <w:lang w:val="en-US" w:eastAsia="zh-CN"/>
        </w:rPr>
        <w:t xml:space="preserve"> the</w:t>
      </w:r>
      <w:r>
        <w:rPr>
          <w:rFonts w:eastAsiaTheme="minorEastAsia"/>
          <w:b/>
          <w:i/>
          <w:sz w:val="22"/>
          <w:lang w:val="en-US" w:eastAsia="zh-CN"/>
        </w:rPr>
        <w:t xml:space="preserve"> known condition requirements.</w:t>
      </w:r>
    </w:p>
    <w:p w14:paraId="425A4119" w14:textId="77777777" w:rsidR="00112B2E" w:rsidRDefault="00112B2E" w:rsidP="00112B2E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 xml:space="preserve">The </w:t>
      </w:r>
      <w:r w:rsidRPr="00112B2E">
        <w:rPr>
          <w:rFonts w:eastAsiaTheme="minorEastAsia"/>
          <w:b/>
          <w:i/>
          <w:sz w:val="22"/>
          <w:lang w:val="en-US" w:eastAsia="zh-CN"/>
        </w:rPr>
        <w:t xml:space="preserve">associated </w:t>
      </w:r>
      <w:r>
        <w:rPr>
          <w:rFonts w:eastAsiaTheme="minorEastAsia"/>
          <w:b/>
          <w:i/>
          <w:sz w:val="22"/>
          <w:lang w:val="en-US" w:eastAsia="zh-CN"/>
        </w:rPr>
        <w:t>DL-RS for target TCL state can be a SSB with a PCI different from serving cell PCI</w:t>
      </w:r>
      <w:r w:rsidRPr="001E6996">
        <w:rPr>
          <w:rFonts w:eastAsiaTheme="minorEastAsia"/>
          <w:b/>
          <w:i/>
          <w:sz w:val="22"/>
          <w:lang w:val="en-US" w:eastAsia="zh-CN"/>
        </w:rPr>
        <w:t xml:space="preserve">. </w:t>
      </w:r>
    </w:p>
    <w:p w14:paraId="3D00B9B4" w14:textId="77777777" w:rsidR="00A214A2" w:rsidRDefault="00A214A2" w:rsidP="00A214A2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5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DCI based DL TCI state switching delay can be defined as:</w:t>
      </w:r>
    </w:p>
    <w:p w14:paraId="5FE1109F" w14:textId="77777777" w:rsidR="00A214A2" w:rsidRPr="004961EE" w:rsidRDefault="00A214A2" w:rsidP="00A214A2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W</w:t>
      </w:r>
      <w:r w:rsidRPr="00EC48E8">
        <w:rPr>
          <w:rFonts w:eastAsiaTheme="minorEastAsia"/>
          <w:b/>
          <w:i/>
          <w:sz w:val="22"/>
          <w:lang w:val="en-US" w:eastAsia="zh-CN"/>
        </w:rPr>
        <w:t xml:space="preserve">hen a UE receives the DCI triggering </w:t>
      </w:r>
      <w:r>
        <w:rPr>
          <w:rFonts w:eastAsiaTheme="minorEastAsia"/>
          <w:b/>
          <w:i/>
          <w:sz w:val="22"/>
          <w:lang w:val="en-US" w:eastAsia="zh-CN"/>
        </w:rPr>
        <w:t>DL TCI state activation</w:t>
      </w:r>
      <w:r w:rsidRPr="00EC48E8">
        <w:rPr>
          <w:rFonts w:eastAsiaTheme="minorEastAsia"/>
          <w:b/>
          <w:i/>
          <w:sz w:val="22"/>
          <w:lang w:val="en-US" w:eastAsia="zh-CN"/>
        </w:rPr>
        <w:t xml:space="preserve"> at slot n</w:t>
      </w:r>
      <w:r>
        <w:rPr>
          <w:rFonts w:eastAsiaTheme="minorEastAsia"/>
          <w:b/>
          <w:i/>
          <w:sz w:val="22"/>
          <w:lang w:val="en-US" w:eastAsia="zh-CN"/>
        </w:rPr>
        <w:t xml:space="preserve">, </w:t>
      </w:r>
      <w:r w:rsidRPr="00A46E9A">
        <w:rPr>
          <w:rFonts w:eastAsiaTheme="minorEastAsia"/>
          <w:b/>
          <w:i/>
          <w:sz w:val="22"/>
          <w:lang w:val="en-US" w:eastAsia="zh-CN"/>
        </w:rPr>
        <w:t xml:space="preserve">UE shall be able to receive </w:t>
      </w:r>
      <w:r>
        <w:rPr>
          <w:rFonts w:eastAsiaTheme="minorEastAsia"/>
          <w:b/>
          <w:i/>
          <w:sz w:val="22"/>
          <w:lang w:val="en-US" w:eastAsia="zh-CN"/>
        </w:rPr>
        <w:t>PDCCH/</w:t>
      </w:r>
      <w:r w:rsidRPr="00A46E9A">
        <w:rPr>
          <w:rFonts w:eastAsiaTheme="minorEastAsia"/>
          <w:b/>
          <w:i/>
          <w:sz w:val="22"/>
          <w:lang w:val="en-US" w:eastAsia="zh-CN"/>
        </w:rPr>
        <w:t>PDSCH with target TCI state of the serving cell on which TCI state switch occurs at the first slot that is after slot n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Pr="00A46E9A">
        <w:rPr>
          <w:rFonts w:eastAsiaTheme="minorEastAsia"/>
          <w:b/>
          <w:i/>
          <w:sz w:val="22"/>
          <w:lang w:val="en-US" w:eastAsia="zh-CN"/>
        </w:rPr>
        <w:t>+</w:t>
      </w:r>
      <w:r>
        <w:rPr>
          <w:rFonts w:eastAsiaTheme="minorEastAsia"/>
          <w:b/>
          <w:i/>
          <w:sz w:val="22"/>
          <w:lang w:val="en-US" w:eastAsia="zh-CN"/>
        </w:rPr>
        <w:t xml:space="preserve"> T</w:t>
      </w:r>
      <w:r w:rsidRPr="00315C1C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>
        <w:rPr>
          <w:rFonts w:eastAsiaTheme="minorEastAsia"/>
          <w:b/>
          <w:i/>
          <w:sz w:val="22"/>
          <w:lang w:val="en-US" w:eastAsia="zh-CN"/>
        </w:rPr>
        <w:t xml:space="preserve"> + [Y] symbols</w:t>
      </w:r>
      <w:r w:rsidRPr="00A46E9A">
        <w:rPr>
          <w:rFonts w:eastAsiaTheme="minorEastAsia"/>
          <w:b/>
          <w:i/>
          <w:sz w:val="22"/>
          <w:lang w:val="en-US" w:eastAsia="zh-CN"/>
        </w:rPr>
        <w:t>, where,</w:t>
      </w:r>
      <w:r>
        <w:rPr>
          <w:rFonts w:eastAsiaTheme="minorEastAsia"/>
          <w:b/>
          <w:i/>
          <w:sz w:val="22"/>
          <w:lang w:val="en-US" w:eastAsia="zh-CN"/>
        </w:rPr>
        <w:t xml:space="preserve"> Y is </w:t>
      </w:r>
      <w:r w:rsidRPr="00A46E9A">
        <w:rPr>
          <w:rFonts w:eastAsiaTheme="minorEastAsia"/>
          <w:b/>
          <w:i/>
          <w:sz w:val="22"/>
          <w:lang w:val="en-US" w:eastAsia="zh-CN"/>
        </w:rPr>
        <w:t>configured via higher layer parameter</w:t>
      </w:r>
      <w:r>
        <w:rPr>
          <w:rFonts w:eastAsiaTheme="minorEastAsia"/>
          <w:b/>
          <w:i/>
          <w:sz w:val="22"/>
          <w:lang w:val="en-US" w:eastAsia="zh-CN"/>
        </w:rPr>
        <w:t xml:space="preserve"> [TBD], and </w:t>
      </w:r>
      <w:r w:rsidRPr="00A214A2">
        <w:rPr>
          <w:rFonts w:eastAsiaTheme="minorEastAsia"/>
          <w:b/>
          <w:i/>
          <w:sz w:val="22"/>
          <w:lang w:val="en-US" w:eastAsia="zh-CN"/>
        </w:rPr>
        <w:t>T</w:t>
      </w:r>
      <w:r w:rsidRPr="00A214A2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 w:rsidRPr="00A214A2">
        <w:rPr>
          <w:rFonts w:eastAsiaTheme="minorEastAsia"/>
          <w:b/>
          <w:i/>
          <w:sz w:val="22"/>
          <w:lang w:val="en-US" w:eastAsia="zh-CN"/>
        </w:rPr>
        <w:t xml:space="preserve"> is the timing between DL data transmission and acknowledgement as specified in TS 38.213 [3].</w:t>
      </w:r>
    </w:p>
    <w:p w14:paraId="5847829F" w14:textId="77777777" w:rsidR="00A214A2" w:rsidRDefault="00A214A2" w:rsidP="00A214A2">
      <w:pPr>
        <w:widowControl w:val="0"/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 w:rsidRPr="00BD2CE3">
        <w:rPr>
          <w:rFonts w:eastAsiaTheme="minorEastAsia" w:hint="eastAsia"/>
          <w:b/>
          <w:i/>
          <w:sz w:val="22"/>
          <w:lang w:val="en-US" w:eastAsia="zh-CN"/>
        </w:rPr>
        <w:t>P</w:t>
      </w:r>
      <w:r w:rsidRPr="00BD2CE3">
        <w:rPr>
          <w:rFonts w:eastAsiaTheme="minorEastAsia"/>
          <w:b/>
          <w:i/>
          <w:sz w:val="22"/>
          <w:lang w:val="en-US" w:eastAsia="zh-CN"/>
        </w:rPr>
        <w:t xml:space="preserve">roposal </w:t>
      </w:r>
      <w:r>
        <w:rPr>
          <w:rFonts w:eastAsiaTheme="minorEastAsia"/>
          <w:b/>
          <w:i/>
          <w:sz w:val="22"/>
          <w:lang w:val="en-US" w:eastAsia="zh-CN"/>
        </w:rPr>
        <w:t>6</w:t>
      </w:r>
      <w:r w:rsidRPr="00BD2CE3">
        <w:rPr>
          <w:rFonts w:eastAsiaTheme="minorEastAsia"/>
          <w:b/>
          <w:i/>
          <w:sz w:val="22"/>
          <w:lang w:val="en-US" w:eastAsia="zh-CN"/>
        </w:rPr>
        <w:t>:</w:t>
      </w:r>
      <w:r>
        <w:rPr>
          <w:rFonts w:eastAsiaTheme="minorEastAsia"/>
          <w:b/>
          <w:i/>
          <w:sz w:val="22"/>
          <w:lang w:val="en-US" w:eastAsia="zh-CN"/>
        </w:rPr>
        <w:t xml:space="preserve"> DCI based UL TCI state switching delay can be defined as:</w:t>
      </w:r>
    </w:p>
    <w:p w14:paraId="4A6AE5F4" w14:textId="77777777" w:rsidR="00A214A2" w:rsidRPr="004961EE" w:rsidRDefault="00A214A2" w:rsidP="00A214A2">
      <w:pPr>
        <w:pStyle w:val="af8"/>
        <w:widowControl w:val="0"/>
        <w:numPr>
          <w:ilvl w:val="0"/>
          <w:numId w:val="35"/>
        </w:numPr>
        <w:adjustRightInd w:val="0"/>
        <w:snapToGrid w:val="0"/>
        <w:spacing w:before="180"/>
        <w:rPr>
          <w:rFonts w:eastAsiaTheme="minorEastAsia"/>
          <w:b/>
          <w:i/>
          <w:sz w:val="22"/>
          <w:lang w:val="en-US" w:eastAsia="zh-CN"/>
        </w:rPr>
      </w:pPr>
      <w:r>
        <w:rPr>
          <w:rFonts w:eastAsiaTheme="minorEastAsia"/>
          <w:b/>
          <w:i/>
          <w:sz w:val="22"/>
          <w:lang w:val="en-US" w:eastAsia="zh-CN"/>
        </w:rPr>
        <w:t>W</w:t>
      </w:r>
      <w:r w:rsidRPr="00EC48E8">
        <w:rPr>
          <w:rFonts w:eastAsiaTheme="minorEastAsia"/>
          <w:b/>
          <w:i/>
          <w:sz w:val="22"/>
          <w:lang w:val="en-US" w:eastAsia="zh-CN"/>
        </w:rPr>
        <w:t xml:space="preserve">hen a UE receives the DCI triggering </w:t>
      </w:r>
      <w:r>
        <w:rPr>
          <w:rFonts w:eastAsiaTheme="minorEastAsia"/>
          <w:b/>
          <w:i/>
          <w:sz w:val="22"/>
          <w:lang w:val="en-US" w:eastAsia="zh-CN"/>
        </w:rPr>
        <w:t>UL TCI state activation</w:t>
      </w:r>
      <w:r w:rsidRPr="00EC48E8">
        <w:rPr>
          <w:rFonts w:eastAsiaTheme="minorEastAsia"/>
          <w:b/>
          <w:i/>
          <w:sz w:val="22"/>
          <w:lang w:val="en-US" w:eastAsia="zh-CN"/>
        </w:rPr>
        <w:t xml:space="preserve"> at slot n</w:t>
      </w:r>
      <w:r>
        <w:rPr>
          <w:rFonts w:eastAsiaTheme="minorEastAsia"/>
          <w:b/>
          <w:i/>
          <w:sz w:val="22"/>
          <w:lang w:val="en-US" w:eastAsia="zh-CN"/>
        </w:rPr>
        <w:t xml:space="preserve">, </w:t>
      </w:r>
      <w:r w:rsidRPr="00A46E9A">
        <w:rPr>
          <w:rFonts w:eastAsiaTheme="minorEastAsia"/>
          <w:b/>
          <w:i/>
          <w:sz w:val="22"/>
          <w:lang w:val="en-US" w:eastAsia="zh-CN"/>
        </w:rPr>
        <w:t xml:space="preserve">UE shall be able to </w:t>
      </w:r>
      <w:r>
        <w:rPr>
          <w:rFonts w:eastAsiaTheme="minorEastAsia"/>
          <w:b/>
          <w:i/>
          <w:sz w:val="22"/>
          <w:lang w:val="en-US" w:eastAsia="zh-CN"/>
        </w:rPr>
        <w:t>transmit</w:t>
      </w:r>
      <w:r w:rsidRPr="00A46E9A">
        <w:rPr>
          <w:rFonts w:eastAsiaTheme="minorEastAsia"/>
          <w:b/>
          <w:i/>
          <w:sz w:val="22"/>
          <w:lang w:val="en-US" w:eastAsia="zh-CN"/>
        </w:rPr>
        <w:t xml:space="preserve"> </w:t>
      </w:r>
      <w:r>
        <w:rPr>
          <w:rFonts w:eastAsiaTheme="minorEastAsia"/>
          <w:b/>
          <w:i/>
          <w:sz w:val="22"/>
          <w:lang w:val="en-US" w:eastAsia="zh-CN"/>
        </w:rPr>
        <w:t>PUCCH/</w:t>
      </w:r>
      <w:r w:rsidRPr="00A46E9A">
        <w:rPr>
          <w:rFonts w:eastAsiaTheme="minorEastAsia"/>
          <w:b/>
          <w:i/>
          <w:sz w:val="22"/>
          <w:lang w:val="en-US" w:eastAsia="zh-CN"/>
        </w:rPr>
        <w:t>P</w:t>
      </w:r>
      <w:r>
        <w:rPr>
          <w:rFonts w:eastAsiaTheme="minorEastAsia"/>
          <w:b/>
          <w:i/>
          <w:sz w:val="22"/>
          <w:lang w:val="en-US" w:eastAsia="zh-CN"/>
        </w:rPr>
        <w:t>U</w:t>
      </w:r>
      <w:r w:rsidRPr="00A46E9A">
        <w:rPr>
          <w:rFonts w:eastAsiaTheme="minorEastAsia"/>
          <w:b/>
          <w:i/>
          <w:sz w:val="22"/>
          <w:lang w:val="en-US" w:eastAsia="zh-CN"/>
        </w:rPr>
        <w:t>SCH with target TCI state of the serving cell on which TCI state switch occurs at the first slot that is after slot n</w:t>
      </w:r>
      <w:r>
        <w:rPr>
          <w:rFonts w:eastAsiaTheme="minorEastAsia"/>
          <w:b/>
          <w:i/>
          <w:sz w:val="22"/>
          <w:lang w:val="en-US" w:eastAsia="zh-CN"/>
        </w:rPr>
        <w:t xml:space="preserve"> </w:t>
      </w:r>
      <w:r w:rsidRPr="00A46E9A">
        <w:rPr>
          <w:rFonts w:eastAsiaTheme="minorEastAsia"/>
          <w:b/>
          <w:i/>
          <w:sz w:val="22"/>
          <w:lang w:val="en-US" w:eastAsia="zh-CN"/>
        </w:rPr>
        <w:t>+</w:t>
      </w:r>
      <w:r>
        <w:rPr>
          <w:rFonts w:eastAsiaTheme="minorEastAsia"/>
          <w:b/>
          <w:i/>
          <w:sz w:val="22"/>
          <w:lang w:val="en-US" w:eastAsia="zh-CN"/>
        </w:rPr>
        <w:t xml:space="preserve"> T</w:t>
      </w:r>
      <w:r w:rsidRPr="00315C1C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 w:rsidRPr="00A46E9A">
        <w:rPr>
          <w:rFonts w:eastAsiaTheme="minorEastAsia"/>
          <w:b/>
          <w:i/>
          <w:sz w:val="22"/>
          <w:lang w:val="en-US" w:eastAsia="zh-CN"/>
        </w:rPr>
        <w:t xml:space="preserve"> +</w:t>
      </w:r>
      <w:r>
        <w:rPr>
          <w:rFonts w:eastAsiaTheme="minorEastAsia"/>
          <w:b/>
          <w:i/>
          <w:sz w:val="22"/>
          <w:lang w:val="en-US" w:eastAsia="zh-CN"/>
        </w:rPr>
        <w:t xml:space="preserve"> [Y] symbols</w:t>
      </w:r>
      <w:r w:rsidRPr="00A46E9A">
        <w:rPr>
          <w:rFonts w:eastAsiaTheme="minorEastAsia"/>
          <w:b/>
          <w:i/>
          <w:sz w:val="22"/>
          <w:lang w:val="en-US" w:eastAsia="zh-CN"/>
        </w:rPr>
        <w:t>, where,</w:t>
      </w:r>
      <w:r>
        <w:rPr>
          <w:rFonts w:eastAsiaTheme="minorEastAsia"/>
          <w:b/>
          <w:i/>
          <w:sz w:val="22"/>
          <w:lang w:val="en-US" w:eastAsia="zh-CN"/>
        </w:rPr>
        <w:t xml:space="preserve"> Y is </w:t>
      </w:r>
      <w:r w:rsidRPr="00A46E9A">
        <w:rPr>
          <w:rFonts w:eastAsiaTheme="minorEastAsia"/>
          <w:b/>
          <w:i/>
          <w:sz w:val="22"/>
          <w:lang w:val="en-US" w:eastAsia="zh-CN"/>
        </w:rPr>
        <w:t>configured via higher layer parameter</w:t>
      </w:r>
      <w:r>
        <w:rPr>
          <w:rFonts w:eastAsiaTheme="minorEastAsia"/>
          <w:b/>
          <w:i/>
          <w:sz w:val="22"/>
          <w:lang w:val="en-US" w:eastAsia="zh-CN"/>
        </w:rPr>
        <w:t xml:space="preserve"> [TBD], and </w:t>
      </w:r>
      <w:r w:rsidRPr="00A214A2">
        <w:rPr>
          <w:rFonts w:eastAsiaTheme="minorEastAsia"/>
          <w:b/>
          <w:i/>
          <w:sz w:val="22"/>
          <w:lang w:val="en-US" w:eastAsia="zh-CN"/>
        </w:rPr>
        <w:t>T</w:t>
      </w:r>
      <w:r w:rsidRPr="00A214A2">
        <w:rPr>
          <w:rFonts w:eastAsiaTheme="minorEastAsia"/>
          <w:b/>
          <w:i/>
          <w:sz w:val="22"/>
          <w:vertAlign w:val="subscript"/>
          <w:lang w:val="en-US" w:eastAsia="zh-CN"/>
        </w:rPr>
        <w:t>HARQ</w:t>
      </w:r>
      <w:r w:rsidRPr="00A214A2">
        <w:rPr>
          <w:rFonts w:eastAsiaTheme="minorEastAsia"/>
          <w:b/>
          <w:i/>
          <w:sz w:val="22"/>
          <w:lang w:val="en-US" w:eastAsia="zh-CN"/>
        </w:rPr>
        <w:t xml:space="preserve"> is the timing between DL data transmission and acknowledgement as specified in TS 38.213 [3]</w:t>
      </w:r>
      <w:r>
        <w:rPr>
          <w:rFonts w:eastAsiaTheme="minorEastAsia"/>
          <w:b/>
          <w:i/>
          <w:sz w:val="22"/>
          <w:lang w:val="en-US" w:eastAsia="zh-CN"/>
        </w:rPr>
        <w:t>.</w:t>
      </w:r>
    </w:p>
    <w:p w14:paraId="4A1905CF" w14:textId="77777777" w:rsidR="00A214A2" w:rsidRPr="00A214A2" w:rsidRDefault="00A214A2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74677AD" w14:textId="77D3511E" w:rsidR="001D7EDA" w:rsidRDefault="008B20B3" w:rsidP="008B20B3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8B20B3">
        <w:rPr>
          <w:rFonts w:eastAsia="宋体"/>
          <w:sz w:val="22"/>
          <w:szCs w:val="22"/>
          <w:lang w:eastAsia="zh-CN"/>
        </w:rPr>
        <w:t>R4-2120320</w:t>
      </w:r>
      <w:r>
        <w:rPr>
          <w:rFonts w:eastAsia="宋体"/>
          <w:sz w:val="22"/>
          <w:szCs w:val="22"/>
          <w:lang w:eastAsia="zh-CN"/>
        </w:rPr>
        <w:t>,</w:t>
      </w:r>
      <w:r w:rsidRPr="008B20B3">
        <w:rPr>
          <w:rFonts w:eastAsia="宋体"/>
          <w:sz w:val="22"/>
          <w:szCs w:val="22"/>
          <w:lang w:eastAsia="zh-CN"/>
        </w:rPr>
        <w:t xml:space="preserve"> </w:t>
      </w:r>
      <w:r w:rsidR="00E77778" w:rsidRPr="001D7EDA">
        <w:rPr>
          <w:rFonts w:eastAsia="宋体"/>
          <w:sz w:val="22"/>
          <w:szCs w:val="22"/>
          <w:lang w:eastAsia="zh-CN"/>
        </w:rPr>
        <w:t xml:space="preserve"> “</w:t>
      </w:r>
      <w:r w:rsidRPr="008B20B3">
        <w:rPr>
          <w:rFonts w:eastAsia="宋体"/>
          <w:sz w:val="22"/>
          <w:szCs w:val="22"/>
          <w:lang w:eastAsia="zh-CN"/>
        </w:rPr>
        <w:t>WF on RRM impact for unified TCI in FeMIMO</w:t>
      </w:r>
      <w:r w:rsidR="00E77778" w:rsidRPr="001D7EDA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1D7EDA">
        <w:rPr>
          <w:rFonts w:eastAsia="宋体"/>
          <w:sz w:val="22"/>
          <w:szCs w:val="22"/>
          <w:lang w:eastAsia="zh-CN"/>
        </w:rPr>
        <w:t xml:space="preserve"> </w:t>
      </w:r>
      <w:r w:rsidRPr="008B20B3">
        <w:rPr>
          <w:rFonts w:eastAsia="宋体"/>
          <w:sz w:val="22"/>
          <w:szCs w:val="22"/>
          <w:lang w:eastAsia="zh-CN"/>
        </w:rPr>
        <w:t>Intel</w:t>
      </w:r>
    </w:p>
    <w:p w14:paraId="48966B1E" w14:textId="0AE7D2E3" w:rsidR="00867766" w:rsidRPr="00867766" w:rsidRDefault="00867766" w:rsidP="00A16B4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867766">
        <w:rPr>
          <w:rFonts w:eastAsia="宋体"/>
          <w:sz w:val="22"/>
          <w:szCs w:val="22"/>
          <w:lang w:eastAsia="zh-CN"/>
        </w:rPr>
        <w:lastRenderedPageBreak/>
        <w:t>R4-220320,  “WF on RRM impact for unified TCI in FeMIMO”, Intel</w:t>
      </w:r>
    </w:p>
    <w:sectPr w:rsidR="00867766" w:rsidRPr="00867766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9A73D" w14:textId="77777777" w:rsidR="00645087" w:rsidRDefault="00645087">
      <w:r>
        <w:separator/>
      </w:r>
    </w:p>
  </w:endnote>
  <w:endnote w:type="continuationSeparator" w:id="0">
    <w:p w14:paraId="6845792F" w14:textId="77777777" w:rsidR="00645087" w:rsidRDefault="00645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315C1C" w:rsidRDefault="00315C1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315C1C" w:rsidRDefault="00315C1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315C1C" w:rsidRDefault="00315C1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A5F37">
      <w:rPr>
        <w:rStyle w:val="af1"/>
      </w:rPr>
      <w:t>4</w:t>
    </w:r>
    <w:r>
      <w:rPr>
        <w:rStyle w:val="af1"/>
      </w:rPr>
      <w:fldChar w:fldCharType="end"/>
    </w:r>
  </w:p>
  <w:p w14:paraId="53820B6B" w14:textId="77777777" w:rsidR="00315C1C" w:rsidRDefault="00315C1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664BD" w14:textId="77777777" w:rsidR="00645087" w:rsidRDefault="00645087">
      <w:r>
        <w:separator/>
      </w:r>
    </w:p>
  </w:footnote>
  <w:footnote w:type="continuationSeparator" w:id="0">
    <w:p w14:paraId="088AE065" w14:textId="77777777" w:rsidR="00645087" w:rsidRDefault="00645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000000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27"/>
    <w:multiLevelType w:val="multilevel"/>
    <w:tmpl w:val="0000002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0139B2"/>
    <w:multiLevelType w:val="multilevel"/>
    <w:tmpl w:val="66343A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7"/>
    <w:multiLevelType w:val="hybridMultilevel"/>
    <w:tmpl w:val="2FE011F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16CB283D"/>
    <w:multiLevelType w:val="hybridMultilevel"/>
    <w:tmpl w:val="E12E4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923082"/>
    <w:multiLevelType w:val="hybridMultilevel"/>
    <w:tmpl w:val="35988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787D49"/>
    <w:multiLevelType w:val="hybridMultilevel"/>
    <w:tmpl w:val="55F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F45E2D"/>
    <w:multiLevelType w:val="hybridMultilevel"/>
    <w:tmpl w:val="7CA0966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50673EE7"/>
    <w:multiLevelType w:val="multilevel"/>
    <w:tmpl w:val="ED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2" w15:restartNumberingAfterBreak="0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E745436"/>
    <w:multiLevelType w:val="multilevel"/>
    <w:tmpl w:val="DB2E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1512E8A"/>
    <w:multiLevelType w:val="hybridMultilevel"/>
    <w:tmpl w:val="42DE95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02604C"/>
    <w:multiLevelType w:val="hybridMultilevel"/>
    <w:tmpl w:val="8D5E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B80E10"/>
    <w:multiLevelType w:val="hybridMultilevel"/>
    <w:tmpl w:val="F36E6AEC"/>
    <w:lvl w:ilvl="0" w:tplc="EE3051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74F68E0"/>
    <w:multiLevelType w:val="hybridMultilevel"/>
    <w:tmpl w:val="71C4F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D421B"/>
    <w:multiLevelType w:val="multilevel"/>
    <w:tmpl w:val="8766B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30"/>
  </w:num>
  <w:num w:numId="3">
    <w:abstractNumId w:val="35"/>
  </w:num>
  <w:num w:numId="4">
    <w:abstractNumId w:val="12"/>
  </w:num>
  <w:num w:numId="5">
    <w:abstractNumId w:val="14"/>
  </w:num>
  <w:num w:numId="6">
    <w:abstractNumId w:val="3"/>
  </w:num>
  <w:num w:numId="7">
    <w:abstractNumId w:val="24"/>
  </w:num>
  <w:num w:numId="8">
    <w:abstractNumId w:val="15"/>
  </w:num>
  <w:num w:numId="9">
    <w:abstractNumId w:val="20"/>
  </w:num>
  <w:num w:numId="10">
    <w:abstractNumId w:val="27"/>
  </w:num>
  <w:num w:numId="11">
    <w:abstractNumId w:val="6"/>
  </w:num>
  <w:num w:numId="12">
    <w:abstractNumId w:val="31"/>
  </w:num>
  <w:num w:numId="13">
    <w:abstractNumId w:val="7"/>
  </w:num>
  <w:num w:numId="14">
    <w:abstractNumId w:val="10"/>
  </w:num>
  <w:num w:numId="15">
    <w:abstractNumId w:val="22"/>
  </w:num>
  <w:num w:numId="16">
    <w:abstractNumId w:val="18"/>
  </w:num>
  <w:num w:numId="17">
    <w:abstractNumId w:val="2"/>
  </w:num>
  <w:num w:numId="18">
    <w:abstractNumId w:val="4"/>
  </w:num>
  <w:num w:numId="19">
    <w:abstractNumId w:val="36"/>
  </w:num>
  <w:num w:numId="20">
    <w:abstractNumId w:val="1"/>
  </w:num>
  <w:num w:numId="21">
    <w:abstractNumId w:val="28"/>
  </w:num>
  <w:num w:numId="22">
    <w:abstractNumId w:val="25"/>
  </w:num>
  <w:num w:numId="23">
    <w:abstractNumId w:val="26"/>
  </w:num>
  <w:num w:numId="24">
    <w:abstractNumId w:val="5"/>
  </w:num>
  <w:num w:numId="25">
    <w:abstractNumId w:val="9"/>
  </w:num>
  <w:num w:numId="26">
    <w:abstractNumId w:val="33"/>
  </w:num>
  <w:num w:numId="27">
    <w:abstractNumId w:val="13"/>
  </w:num>
  <w:num w:numId="28">
    <w:abstractNumId w:val="8"/>
  </w:num>
  <w:num w:numId="29">
    <w:abstractNumId w:val="34"/>
  </w:num>
  <w:num w:numId="30">
    <w:abstractNumId w:val="19"/>
  </w:num>
  <w:num w:numId="31">
    <w:abstractNumId w:val="23"/>
  </w:num>
  <w:num w:numId="32">
    <w:abstractNumId w:val="0"/>
  </w:num>
  <w:num w:numId="33">
    <w:abstractNumId w:val="17"/>
  </w:num>
  <w:num w:numId="34">
    <w:abstractNumId w:val="21"/>
  </w:num>
  <w:num w:numId="35">
    <w:abstractNumId w:val="32"/>
  </w:num>
  <w:num w:numId="36">
    <w:abstractNumId w:val="11"/>
  </w:num>
  <w:num w:numId="37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38D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6996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BD8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96D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226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6F6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A76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12E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D42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CAB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5A1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2EA"/>
    <w:rsid w:val="009A5360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4C"/>
    <w:rsid w:val="00A17080"/>
    <w:rsid w:val="00A1737D"/>
    <w:rsid w:val="00A179C1"/>
    <w:rsid w:val="00A2040E"/>
    <w:rsid w:val="00A20AFA"/>
    <w:rsid w:val="00A20E7E"/>
    <w:rsid w:val="00A214A2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18"/>
    <w:rsid w:val="00B73820"/>
    <w:rsid w:val="00B73B55"/>
    <w:rsid w:val="00B742F7"/>
    <w:rsid w:val="00B745E0"/>
    <w:rsid w:val="00B74757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41A"/>
    <w:rsid w:val="00C9061E"/>
    <w:rsid w:val="00C906AE"/>
    <w:rsid w:val="00C90924"/>
    <w:rsid w:val="00C909B4"/>
    <w:rsid w:val="00C90A37"/>
    <w:rsid w:val="00C90A9A"/>
    <w:rsid w:val="00C90BBD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5F"/>
    <w:rsid w:val="00CF3CB9"/>
    <w:rsid w:val="00CF49A0"/>
    <w:rsid w:val="00CF55D5"/>
    <w:rsid w:val="00CF5B47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4DF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82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BC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tabs>
        <w:tab w:val="clear" w:pos="720"/>
        <w:tab w:val="num" w:pos="360"/>
      </w:tabs>
      <w:spacing w:before="120"/>
      <w:ind w:left="576" w:hanging="5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tabs>
        <w:tab w:val="clear" w:pos="864"/>
        <w:tab w:val="num" w:pos="360"/>
      </w:tabs>
      <w:ind w:left="576" w:hanging="576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tabs>
        <w:tab w:val="clear" w:pos="1152"/>
        <w:tab w:val="num" w:pos="360"/>
      </w:tabs>
      <w:ind w:left="576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2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D4C3C8-4F84-41EE-8A32-D4EB1129C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4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9138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2022-02-14T15:53:00Z</dcterms:created>
  <dcterms:modified xsi:type="dcterms:W3CDTF">2022-02-14T15:53:00Z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(3)k8hIWfMiTNaq4w62ls0+GbnM/0sSz2QbFzMnSSv8ebUBG8VZr0qlMJ+p0jZj7WrYvDCTDAkH
ganASfjmLxPu2gPCf1Zukc/DGPUU7mr4HMiTHy5DSsSfghYYGWxwKO/NNI1//+V6oj3L6vQi
WhMUo26ELSUgJnkJDGpROQdUQnp2LYPXQflSVnYZmbAyxBK/nLK6vgaYb7UBtiDi490KonXD
1LfCtcEBEZCf078gpt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dpO89/jvvfX6Vw7BTPdfAs/k3VQXJKidD6GzsrH49g/mM9goh85dyP
r8i2aUh4/HQ0sFfdBsHnGu1OnZXAxv1tTKMyGQn8IUJxI09Pmq1Ph6PqMnYoUwF+ApCjUzdN
FyVisjCu6+gilWbml5V6JX6letAfOx0BAfA8g8ENRsI9J2IliSDMJErrXKdx2NrvXwV7T2+B
OLyDkznBkQfVqaPxZVXkopnTjct6QmLlzUs+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8+GBSZltkxCuvV92JHy/Lm1zsBbTJEtf6/fv
FEdtZ61MysOOfbKBRnpH4uMxzQFTzUrqi3jcy7V/3q/+aWr3UCo=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