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2FBF1395" w:rsidR="00D02CDA" w:rsidRPr="00C84F38" w:rsidRDefault="00BB1532" w:rsidP="00D02CDA">
      <w:pPr>
        <w:pStyle w:val="Header"/>
        <w:tabs>
          <w:tab w:val="right" w:pos="9639"/>
        </w:tabs>
        <w:rPr>
          <w:bCs/>
          <w:noProof w:val="0"/>
          <w:sz w:val="24"/>
          <w:szCs w:val="24"/>
        </w:rPr>
      </w:pPr>
      <w:r w:rsidRPr="00BB1532">
        <w:rPr>
          <w:bCs/>
          <w:noProof w:val="0"/>
          <w:sz w:val="24"/>
          <w:szCs w:val="24"/>
        </w:rPr>
        <w:t>3GPP TSG-RAN WG4 Meeting # 10</w:t>
      </w:r>
      <w:r w:rsidR="009B1543">
        <w:rPr>
          <w:bCs/>
          <w:noProof w:val="0"/>
          <w:sz w:val="24"/>
          <w:szCs w:val="24"/>
        </w:rPr>
        <w:t>2</w:t>
      </w:r>
      <w:r w:rsidRPr="00BB1532">
        <w:rPr>
          <w:bCs/>
          <w:noProof w:val="0"/>
          <w:sz w:val="24"/>
          <w:szCs w:val="24"/>
        </w:rPr>
        <w:t>-e</w:t>
      </w:r>
      <w:r w:rsidR="00D02CDA">
        <w:rPr>
          <w:bCs/>
          <w:noProof w:val="0"/>
          <w:sz w:val="24"/>
          <w:szCs w:val="24"/>
        </w:rPr>
        <w:tab/>
      </w:r>
      <w:r w:rsidR="00247B94" w:rsidRPr="00247B94">
        <w:rPr>
          <w:bCs/>
          <w:noProof w:val="0"/>
          <w:sz w:val="24"/>
          <w:szCs w:val="24"/>
        </w:rPr>
        <w:t>R4-2205142</w:t>
      </w:r>
    </w:p>
    <w:p w14:paraId="467618A1" w14:textId="223F33C3" w:rsidR="000018FE" w:rsidRDefault="009B1543" w:rsidP="000018FE">
      <w:pPr>
        <w:pStyle w:val="Header"/>
        <w:rPr>
          <w:bCs/>
          <w:sz w:val="24"/>
          <w:szCs w:val="24"/>
          <w:lang w:val="en-GB"/>
        </w:rPr>
      </w:pPr>
      <w:r w:rsidRPr="009B1543">
        <w:rPr>
          <w:bCs/>
          <w:noProof w:val="0"/>
          <w:sz w:val="24"/>
          <w:szCs w:val="24"/>
        </w:rPr>
        <w:t>Electronic Meeting, February 21 – March 3, 2022</w:t>
      </w:r>
    </w:p>
    <w:p w14:paraId="1E247547" w14:textId="77777777" w:rsidR="000018FE" w:rsidRPr="0016316A" w:rsidRDefault="000018FE" w:rsidP="000018FE">
      <w:pPr>
        <w:pStyle w:val="Header"/>
        <w:rPr>
          <w:bCs/>
          <w:noProof w:val="0"/>
          <w:sz w:val="24"/>
          <w:lang w:val="en-GB" w:eastAsia="ja-JP"/>
        </w:rPr>
      </w:pPr>
    </w:p>
    <w:p w14:paraId="14A08F13" w14:textId="72DDD802"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9B1543">
        <w:rPr>
          <w:rFonts w:cs="Arial"/>
          <w:b/>
          <w:sz w:val="24"/>
          <w:szCs w:val="24"/>
        </w:rPr>
        <w:t>10</w:t>
      </w:r>
      <w:r w:rsidR="00CF1661">
        <w:rPr>
          <w:rFonts w:cs="Arial"/>
          <w:b/>
          <w:sz w:val="24"/>
          <w:szCs w:val="24"/>
        </w:rPr>
        <w:t>.1</w:t>
      </w:r>
      <w:r w:rsidR="00190FED">
        <w:rPr>
          <w:rFonts w:cs="Arial"/>
          <w:b/>
          <w:sz w:val="24"/>
          <w:szCs w:val="24"/>
        </w:rPr>
        <w:t>9</w:t>
      </w:r>
      <w:r w:rsidR="00CF1661">
        <w:rPr>
          <w:rFonts w:cs="Arial"/>
          <w:b/>
          <w:sz w:val="24"/>
          <w:szCs w:val="24"/>
        </w:rPr>
        <w:t>.</w:t>
      </w:r>
      <w:r w:rsidR="00190FED">
        <w:rPr>
          <w:rFonts w:cs="Arial"/>
          <w:b/>
          <w:sz w:val="24"/>
          <w:szCs w:val="24"/>
        </w:rPr>
        <w:t>2.</w:t>
      </w:r>
      <w:r w:rsidR="009B1543">
        <w:rPr>
          <w:rFonts w:cs="Arial"/>
          <w:b/>
          <w:sz w:val="24"/>
          <w:szCs w:val="24"/>
        </w:rPr>
        <w:t>3</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5B4C6502" w:rsidR="0034111C" w:rsidRPr="001D39E9" w:rsidRDefault="0034111C">
      <w:pPr>
        <w:ind w:left="1985" w:hanging="1985"/>
        <w:rPr>
          <w:rFonts w:ascii="Arial" w:hAnsi="Arial" w:cs="Arial"/>
          <w:b/>
          <w:sz w:val="24"/>
          <w:szCs w:val="24"/>
          <w:lang w:val="fr-FR"/>
        </w:rPr>
      </w:pPr>
      <w:proofErr w:type="spellStart"/>
      <w:r w:rsidRPr="001D39E9">
        <w:rPr>
          <w:rFonts w:ascii="Arial" w:hAnsi="Arial" w:cs="Arial"/>
          <w:b/>
          <w:sz w:val="24"/>
          <w:szCs w:val="24"/>
          <w:lang w:val="fr-FR"/>
        </w:rPr>
        <w:t>Title</w:t>
      </w:r>
      <w:proofErr w:type="spellEnd"/>
      <w:r w:rsidRPr="001D39E9">
        <w:rPr>
          <w:rFonts w:ascii="Arial" w:hAnsi="Arial" w:cs="Arial"/>
          <w:b/>
          <w:sz w:val="24"/>
          <w:szCs w:val="24"/>
          <w:lang w:val="fr-FR"/>
        </w:rPr>
        <w:t>:</w:t>
      </w:r>
      <w:r w:rsidRPr="001D39E9">
        <w:rPr>
          <w:rFonts w:ascii="Arial" w:hAnsi="Arial" w:cs="Arial"/>
          <w:b/>
          <w:sz w:val="24"/>
          <w:lang w:val="fr-FR"/>
        </w:rPr>
        <w:tab/>
      </w:r>
      <w:r w:rsidR="001F419A">
        <w:rPr>
          <w:rFonts w:ascii="Arial" w:hAnsi="Arial" w:cs="Arial"/>
          <w:b/>
          <w:sz w:val="24"/>
          <w:lang w:val="fr-FR"/>
        </w:rPr>
        <w:t xml:space="preserve">Handling of </w:t>
      </w:r>
      <w:r w:rsidR="00247B94">
        <w:rPr>
          <w:rFonts w:ascii="Arial" w:hAnsi="Arial" w:cs="Arial"/>
          <w:b/>
          <w:sz w:val="24"/>
          <w:lang w:val="fr-FR"/>
        </w:rPr>
        <w:t xml:space="preserve">GP in </w:t>
      </w:r>
      <w:r w:rsidR="001F419A">
        <w:rPr>
          <w:rFonts w:ascii="Arial" w:hAnsi="Arial" w:cs="Arial"/>
          <w:b/>
          <w:sz w:val="24"/>
          <w:lang w:val="fr-FR"/>
        </w:rPr>
        <w:t xml:space="preserve">GAP </w:t>
      </w:r>
      <w:proofErr w:type="spellStart"/>
      <w:r w:rsidR="001F419A">
        <w:rPr>
          <w:rFonts w:ascii="Arial" w:hAnsi="Arial" w:cs="Arial"/>
          <w:b/>
          <w:sz w:val="24"/>
          <w:lang w:val="fr-FR"/>
        </w:rPr>
        <w:t>between</w:t>
      </w:r>
      <w:proofErr w:type="spellEnd"/>
      <w:r w:rsidR="001F419A">
        <w:rPr>
          <w:rFonts w:ascii="Arial" w:hAnsi="Arial" w:cs="Arial"/>
          <w:b/>
          <w:sz w:val="24"/>
          <w:lang w:val="fr-FR"/>
        </w:rPr>
        <w:t xml:space="preserve"> </w:t>
      </w:r>
      <w:proofErr w:type="spellStart"/>
      <w:r w:rsidR="001F419A">
        <w:rPr>
          <w:rFonts w:ascii="Arial" w:hAnsi="Arial" w:cs="Arial"/>
          <w:b/>
          <w:sz w:val="24"/>
          <w:lang w:val="fr-FR"/>
        </w:rPr>
        <w:t>two</w:t>
      </w:r>
      <w:proofErr w:type="spellEnd"/>
      <w:r w:rsidR="001F419A">
        <w:rPr>
          <w:rFonts w:ascii="Arial" w:hAnsi="Arial" w:cs="Arial"/>
          <w:b/>
          <w:sz w:val="24"/>
          <w:lang w:val="fr-FR"/>
        </w:rPr>
        <w:t xml:space="preserve"> </w:t>
      </w:r>
      <w:proofErr w:type="spellStart"/>
      <w:r w:rsidR="001F419A">
        <w:rPr>
          <w:rFonts w:ascii="Arial" w:hAnsi="Arial" w:cs="Arial"/>
          <w:b/>
          <w:sz w:val="24"/>
          <w:lang w:val="fr-FR"/>
        </w:rPr>
        <w:t>different</w:t>
      </w:r>
      <w:proofErr w:type="spellEnd"/>
      <w:r w:rsidR="001F419A">
        <w:rPr>
          <w:rFonts w:ascii="Arial" w:hAnsi="Arial" w:cs="Arial"/>
          <w:b/>
          <w:sz w:val="24"/>
          <w:lang w:val="fr-FR"/>
        </w:rPr>
        <w:t xml:space="preserve"> SRS resource sets</w:t>
      </w:r>
    </w:p>
    <w:p w14:paraId="17B096F3" w14:textId="342C49DD"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Pr="00392F31">
        <w:rPr>
          <w:rFonts w:ascii="Arial" w:hAnsi="Arial" w:cs="Arial"/>
          <w:b/>
          <w:sz w:val="24"/>
          <w:szCs w:val="24"/>
        </w:rPr>
        <w:t>Discussion</w:t>
      </w:r>
    </w:p>
    <w:p w14:paraId="6C9B9D2D" w14:textId="77777777" w:rsidR="0034111C" w:rsidRPr="0016316A" w:rsidRDefault="0034111C">
      <w:pPr>
        <w:pStyle w:val="Heading1"/>
      </w:pPr>
      <w:r w:rsidRPr="0016316A">
        <w:t>1</w:t>
      </w:r>
      <w:r w:rsidRPr="0016316A">
        <w:tab/>
      </w:r>
      <w:r w:rsidR="00EE7FA7" w:rsidRPr="0016316A">
        <w:t>Introduction</w:t>
      </w:r>
    </w:p>
    <w:p w14:paraId="2C6FB69D" w14:textId="40C0F8E1" w:rsidR="00B05A84" w:rsidRDefault="00BB1532" w:rsidP="001F419A">
      <w:pPr>
        <w:rPr>
          <w:lang w:eastAsia="zh-CN"/>
        </w:rPr>
      </w:pPr>
      <w:r>
        <w:rPr>
          <w:lang w:eastAsia="zh-CN"/>
        </w:rPr>
        <w:t>RAN</w:t>
      </w:r>
      <w:r w:rsidR="001F419A">
        <w:rPr>
          <w:lang w:eastAsia="zh-CN"/>
        </w:rPr>
        <w:t>4</w:t>
      </w:r>
      <w:r>
        <w:rPr>
          <w:lang w:eastAsia="zh-CN"/>
        </w:rPr>
        <w:t>#10</w:t>
      </w:r>
      <w:r w:rsidR="001F419A">
        <w:rPr>
          <w:lang w:eastAsia="zh-CN"/>
        </w:rPr>
        <w:t>1-b</w:t>
      </w:r>
      <w:r>
        <w:rPr>
          <w:lang w:eastAsia="zh-CN"/>
        </w:rPr>
        <w:t xml:space="preserve">is-e in </w:t>
      </w:r>
      <w:r w:rsidR="001F419A">
        <w:rPr>
          <w:lang w:eastAsia="zh-CN"/>
        </w:rPr>
        <w:t>January approved an WF [1] and an LS [2]. Though the LS of [2] shared RAN4’s initial view on the issue raised by [3]</w:t>
      </w:r>
      <w:r w:rsidR="00595ED3">
        <w:rPr>
          <w:lang w:eastAsia="zh-CN"/>
        </w:rPr>
        <w:t xml:space="preserve"> with RAN1, it still said that RAN4 will continue working on the issues. More specifically, the WF [1] captured the following agreement</w:t>
      </w:r>
      <w:r w:rsidR="00AB60D7">
        <w:rPr>
          <w:lang w:eastAsia="zh-CN"/>
        </w:rPr>
        <w:t>s</w:t>
      </w:r>
      <w:r w:rsidR="00595ED3">
        <w:rPr>
          <w:lang w:eastAsia="zh-CN"/>
        </w:rPr>
        <w:t>.</w:t>
      </w:r>
    </w:p>
    <w:p w14:paraId="1B743F79" w14:textId="56ACAB2F" w:rsidR="00595ED3" w:rsidRDefault="00AB60D7" w:rsidP="00595ED3">
      <w:pPr>
        <w:jc w:val="center"/>
      </w:pPr>
      <w:r>
        <w:rPr>
          <w:noProof/>
        </w:rPr>
        <w:drawing>
          <wp:inline distT="0" distB="0" distL="0" distR="0" wp14:anchorId="2779E6D6" wp14:editId="7CBC3613">
            <wp:extent cx="5378450" cy="1368350"/>
            <wp:effectExtent l="19050" t="19050" r="12700" b="2286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2558" cy="1374484"/>
                    </a:xfrm>
                    <a:prstGeom prst="rect">
                      <a:avLst/>
                    </a:prstGeom>
                    <a:noFill/>
                    <a:ln>
                      <a:solidFill>
                        <a:schemeClr val="tx1"/>
                      </a:solidFill>
                    </a:ln>
                  </pic:spPr>
                </pic:pic>
              </a:graphicData>
            </a:graphic>
          </wp:inline>
        </w:drawing>
      </w:r>
    </w:p>
    <w:p w14:paraId="6986038B" w14:textId="46419A1E" w:rsidR="00773116" w:rsidRDefault="00773116" w:rsidP="00773116">
      <w:r>
        <w:t xml:space="preserve">According to the discussion in RAN4#101-bis-e, the issue would be roughly divided into three </w:t>
      </w:r>
      <w:r w:rsidR="00C27AA2">
        <w:t>issues</w:t>
      </w:r>
      <w:r>
        <w:t xml:space="preserve">. </w:t>
      </w:r>
    </w:p>
    <w:p w14:paraId="5542E3FB" w14:textId="0AA134A7" w:rsidR="00773116" w:rsidRDefault="00773116" w:rsidP="00773116">
      <w:r w:rsidRPr="00773116">
        <w:rPr>
          <w:b/>
          <w:bCs/>
          <w:u w:val="single"/>
        </w:rPr>
        <w:t>The 1</w:t>
      </w:r>
      <w:r w:rsidRPr="00773116">
        <w:rPr>
          <w:b/>
          <w:bCs/>
          <w:u w:val="single"/>
          <w:vertAlign w:val="superscript"/>
        </w:rPr>
        <w:t>st</w:t>
      </w:r>
      <w:r w:rsidRPr="00773116">
        <w:rPr>
          <w:b/>
          <w:bCs/>
          <w:u w:val="single"/>
        </w:rPr>
        <w:t xml:space="preserve"> </w:t>
      </w:r>
      <w:r w:rsidR="00C27AA2">
        <w:rPr>
          <w:b/>
          <w:bCs/>
          <w:u w:val="single"/>
        </w:rPr>
        <w:t>issue</w:t>
      </w:r>
      <w:r w:rsidRPr="00773116">
        <w:rPr>
          <w:b/>
          <w:bCs/>
          <w:u w:val="single"/>
        </w:rPr>
        <w:t>:</w:t>
      </w:r>
      <w:r>
        <w:br/>
        <w:t xml:space="preserve">If there is any restriction for a UE to transmit any other signals during a gap </w:t>
      </w:r>
      <w:r w:rsidRPr="00C72CF4">
        <w:t xml:space="preserve">between the last OFDM symbol occupied by the SRS resource set in the first slot and the first OFDM symbol occupied by the SRS resource set in the second slot </w:t>
      </w:r>
      <w:r>
        <w:t>or not.</w:t>
      </w:r>
    </w:p>
    <w:p w14:paraId="0230F106" w14:textId="77A77EC2" w:rsidR="00773116" w:rsidRDefault="00773116" w:rsidP="00773116">
      <w:r w:rsidRPr="00773116">
        <w:rPr>
          <w:b/>
          <w:bCs/>
          <w:u w:val="single"/>
        </w:rPr>
        <w:t xml:space="preserve">The </w:t>
      </w:r>
      <w:r>
        <w:rPr>
          <w:b/>
          <w:bCs/>
          <w:u w:val="single"/>
        </w:rPr>
        <w:t>2</w:t>
      </w:r>
      <w:r w:rsidRPr="00773116">
        <w:rPr>
          <w:b/>
          <w:bCs/>
          <w:u w:val="single"/>
          <w:vertAlign w:val="superscript"/>
        </w:rPr>
        <w:t>nd</w:t>
      </w:r>
      <w:r>
        <w:rPr>
          <w:b/>
          <w:bCs/>
          <w:u w:val="single"/>
        </w:rPr>
        <w:t xml:space="preserve"> </w:t>
      </w:r>
      <w:r w:rsidRPr="00773116">
        <w:rPr>
          <w:b/>
          <w:bCs/>
          <w:u w:val="single"/>
        </w:rPr>
        <w:t>i</w:t>
      </w:r>
      <w:r w:rsidR="00C27AA2">
        <w:rPr>
          <w:b/>
          <w:bCs/>
          <w:u w:val="single"/>
        </w:rPr>
        <w:t>ssue</w:t>
      </w:r>
      <w:r w:rsidRPr="00773116">
        <w:rPr>
          <w:b/>
          <w:bCs/>
          <w:u w:val="single"/>
        </w:rPr>
        <w:t>:</w:t>
      </w:r>
      <w:r>
        <w:br/>
        <w:t>If there is no restriction on the gap, where the GP is placed.</w:t>
      </w:r>
    </w:p>
    <w:p w14:paraId="2A9B28AE" w14:textId="4360CCF1" w:rsidR="00773116" w:rsidRDefault="00773116" w:rsidP="00773116">
      <w:r w:rsidRPr="00773116">
        <w:rPr>
          <w:b/>
          <w:bCs/>
          <w:u w:val="single"/>
        </w:rPr>
        <w:t xml:space="preserve">The </w:t>
      </w:r>
      <w:r>
        <w:rPr>
          <w:b/>
          <w:bCs/>
          <w:u w:val="single"/>
        </w:rPr>
        <w:t>3</w:t>
      </w:r>
      <w:r w:rsidRPr="00773116">
        <w:rPr>
          <w:b/>
          <w:bCs/>
          <w:u w:val="single"/>
          <w:vertAlign w:val="superscript"/>
        </w:rPr>
        <w:t>rd</w:t>
      </w:r>
      <w:r>
        <w:rPr>
          <w:b/>
          <w:bCs/>
          <w:u w:val="single"/>
        </w:rPr>
        <w:t xml:space="preserve"> </w:t>
      </w:r>
      <w:r w:rsidRPr="00773116">
        <w:rPr>
          <w:b/>
          <w:bCs/>
          <w:u w:val="single"/>
        </w:rPr>
        <w:t>i</w:t>
      </w:r>
      <w:r w:rsidR="00C27AA2">
        <w:rPr>
          <w:b/>
          <w:bCs/>
          <w:u w:val="single"/>
        </w:rPr>
        <w:t>ssue</w:t>
      </w:r>
      <w:r w:rsidRPr="00773116">
        <w:rPr>
          <w:b/>
          <w:bCs/>
          <w:u w:val="single"/>
        </w:rPr>
        <w:t>:</w:t>
      </w:r>
      <w:r>
        <w:br/>
        <w:t>If originally GP is required or not. This came from [4].</w:t>
      </w:r>
    </w:p>
    <w:p w14:paraId="5C41A6C9" w14:textId="2D2BFC45" w:rsidR="00BF7547" w:rsidRDefault="00A61A9F" w:rsidP="00BB1532">
      <w:pPr>
        <w:spacing w:before="120"/>
      </w:pPr>
      <w:r>
        <w:t xml:space="preserve">This contribution </w:t>
      </w:r>
      <w:r w:rsidR="00595ED3">
        <w:t xml:space="preserve">focuses discussing </w:t>
      </w:r>
      <w:r w:rsidR="00773116">
        <w:t>the 1</w:t>
      </w:r>
      <w:r w:rsidR="00773116" w:rsidRPr="00773116">
        <w:rPr>
          <w:vertAlign w:val="superscript"/>
        </w:rPr>
        <w:t>st</w:t>
      </w:r>
      <w:r w:rsidR="00773116">
        <w:t xml:space="preserve"> and 2</w:t>
      </w:r>
      <w:r w:rsidR="00773116" w:rsidRPr="00773116">
        <w:rPr>
          <w:vertAlign w:val="superscript"/>
        </w:rPr>
        <w:t>nd</w:t>
      </w:r>
      <w:r w:rsidR="00773116">
        <w:t xml:space="preserve"> i</w:t>
      </w:r>
      <w:r w:rsidR="00C27AA2">
        <w:t>ssues</w:t>
      </w:r>
      <w:r w:rsidR="00773116">
        <w:t>.</w:t>
      </w: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31050001" w14:textId="77777777" w:rsidR="00C27AA2" w:rsidRDefault="00C27AA2" w:rsidP="00AF2050">
      <w:r>
        <w:t>A situation of the 1</w:t>
      </w:r>
      <w:r w:rsidRPr="00C27AA2">
        <w:rPr>
          <w:vertAlign w:val="superscript"/>
        </w:rPr>
        <w:t>st</w:t>
      </w:r>
      <w:r>
        <w:t xml:space="preserve"> issue is illustrated in Figure 2-1.</w:t>
      </w:r>
    </w:p>
    <w:p w14:paraId="0972EB4F" w14:textId="308C2580" w:rsidR="00C27AA2" w:rsidRDefault="00C27AA2" w:rsidP="00C27AA2">
      <w:pPr>
        <w:jc w:val="center"/>
      </w:pPr>
      <w:r>
        <w:rPr>
          <w:noProof/>
        </w:rPr>
        <w:drawing>
          <wp:inline distT="0" distB="0" distL="0" distR="0" wp14:anchorId="0B877D17" wp14:editId="7A90DC0E">
            <wp:extent cx="4284154" cy="1438274"/>
            <wp:effectExtent l="0" t="0" r="2540"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89300" cy="1473574"/>
                    </a:xfrm>
                    <a:prstGeom prst="rect">
                      <a:avLst/>
                    </a:prstGeom>
                  </pic:spPr>
                </pic:pic>
              </a:graphicData>
            </a:graphic>
          </wp:inline>
        </w:drawing>
      </w:r>
    </w:p>
    <w:p w14:paraId="09F5EBC4" w14:textId="318A0AE3" w:rsidR="00C27AA2" w:rsidRPr="00C27AA2" w:rsidRDefault="00C27AA2" w:rsidP="00C27AA2">
      <w:pPr>
        <w:jc w:val="center"/>
        <w:rPr>
          <w:rFonts w:ascii="Arial" w:hAnsi="Arial" w:cs="Arial"/>
        </w:rPr>
      </w:pPr>
      <w:r w:rsidRPr="00C27AA2">
        <w:rPr>
          <w:rFonts w:ascii="Arial" w:hAnsi="Arial" w:cs="Arial"/>
        </w:rPr>
        <w:lastRenderedPageBreak/>
        <w:t>Figure 2-1</w:t>
      </w:r>
      <w:r>
        <w:rPr>
          <w:rFonts w:ascii="Arial" w:hAnsi="Arial" w:cs="Arial"/>
        </w:rPr>
        <w:t>: A gap between two SRS resource sets</w:t>
      </w:r>
    </w:p>
    <w:p w14:paraId="11BB1723" w14:textId="187AB32B" w:rsidR="00E721A9" w:rsidRDefault="00C27AA2" w:rsidP="00AF2050">
      <w:r>
        <w:t xml:space="preserve">Since the GP is only one </w:t>
      </w:r>
      <w:r w:rsidR="00247B94">
        <w:t xml:space="preserve">or two </w:t>
      </w:r>
      <w:r>
        <w:t>symbol</w:t>
      </w:r>
      <w:r w:rsidR="00247B94">
        <w:t>s at most</w:t>
      </w:r>
      <w:r>
        <w:t xml:space="preserve"> while the gap length may be even longer than GP, there is no justified reasons to restrict usage of the symbols in the gap, but rather it’s better to give </w:t>
      </w:r>
      <w:r w:rsidR="00E721A9">
        <w:t xml:space="preserve">the </w:t>
      </w:r>
      <w:r>
        <w:t>NW scheduling flexibility of resource allocation.</w:t>
      </w:r>
    </w:p>
    <w:p w14:paraId="08F508B8" w14:textId="6D4846A1" w:rsidR="00C27AA2" w:rsidRPr="00E721A9" w:rsidRDefault="00E721A9" w:rsidP="00AF2050">
      <w:pPr>
        <w:rPr>
          <w:b/>
          <w:bCs/>
        </w:rPr>
      </w:pPr>
      <w:r w:rsidRPr="00E721A9">
        <w:rPr>
          <w:b/>
          <w:bCs/>
        </w:rPr>
        <w:t>Proposal 1: UE shall be able to transmit any other signals in-between the gap except for GP.</w:t>
      </w:r>
    </w:p>
    <w:p w14:paraId="29670E14" w14:textId="23A0641C" w:rsidR="00E721A9" w:rsidRDefault="00E721A9" w:rsidP="000A33C6">
      <w:r>
        <w:t>Regarding the 2</w:t>
      </w:r>
      <w:r w:rsidRPr="00E721A9">
        <w:rPr>
          <w:vertAlign w:val="superscript"/>
        </w:rPr>
        <w:t>nd</w:t>
      </w:r>
      <w:r>
        <w:t xml:space="preserve"> issue, </w:t>
      </w:r>
      <w:r w:rsidR="00175DD7">
        <w:t xml:space="preserve">in our understanding, </w:t>
      </w:r>
      <w:r>
        <w:t xml:space="preserve">it is </w:t>
      </w:r>
      <w:r w:rsidR="00175DD7">
        <w:t xml:space="preserve">essential </w:t>
      </w:r>
      <w:r>
        <w:t>for a network to know where the GP is in-between the gap</w:t>
      </w:r>
      <w:r w:rsidR="00175DD7">
        <w:t xml:space="preserve">. To give a specific example, a UE may be being configured with CA and the antenna for the </w:t>
      </w:r>
      <w:proofErr w:type="spellStart"/>
      <w:r w:rsidR="00175DD7">
        <w:t>PCell</w:t>
      </w:r>
      <w:proofErr w:type="spellEnd"/>
      <w:r w:rsidR="00175DD7">
        <w:t xml:space="preserve"> band may be being shared with some other </w:t>
      </w:r>
      <w:proofErr w:type="spellStart"/>
      <w:r w:rsidR="00175DD7">
        <w:t>SCell</w:t>
      </w:r>
      <w:proofErr w:type="spellEnd"/>
      <w:r w:rsidR="00175DD7">
        <w:t xml:space="preserve"> bands under the CA. In this case, </w:t>
      </w:r>
      <w:r>
        <w:t xml:space="preserve">the allocated resource(s) </w:t>
      </w:r>
      <w:r w:rsidR="00175DD7">
        <w:t xml:space="preserve">not only for the </w:t>
      </w:r>
      <w:proofErr w:type="spellStart"/>
      <w:r w:rsidR="00175DD7">
        <w:t>PCell</w:t>
      </w:r>
      <w:proofErr w:type="spellEnd"/>
      <w:r w:rsidR="00175DD7">
        <w:t xml:space="preserve"> but also the resources for the </w:t>
      </w:r>
      <w:proofErr w:type="spellStart"/>
      <w:r w:rsidR="00175DD7">
        <w:t>SCell</w:t>
      </w:r>
      <w:proofErr w:type="spellEnd"/>
      <w:r w:rsidR="00175DD7">
        <w:t xml:space="preserve"> bands would become in vain. Hence, </w:t>
      </w:r>
      <w:r>
        <w:t xml:space="preserve"> knowing the position</w:t>
      </w:r>
      <w:r w:rsidR="00175DD7">
        <w:t xml:space="preserve"> of GP</w:t>
      </w:r>
      <w:r>
        <w:t xml:space="preserve"> gives NW as well as UE more benefit</w:t>
      </w:r>
      <w:r w:rsidR="00175DD7">
        <w:t>.</w:t>
      </w:r>
    </w:p>
    <w:p w14:paraId="2CD858D8" w14:textId="6CC43380" w:rsidR="00E721A9" w:rsidRPr="00E721A9" w:rsidRDefault="00E721A9" w:rsidP="00E721A9">
      <w:pPr>
        <w:rPr>
          <w:b/>
          <w:bCs/>
        </w:rPr>
      </w:pPr>
      <w:r>
        <w:rPr>
          <w:b/>
          <w:bCs/>
        </w:rPr>
        <w:t xml:space="preserve">Observation 1: </w:t>
      </w:r>
      <w:r w:rsidR="00175DD7">
        <w:rPr>
          <w:b/>
          <w:bCs/>
        </w:rPr>
        <w:t>Enabling network to know where GP is can avoid resource losses due to allocation of the resource on symbol(s) where GP(s) exists.</w:t>
      </w:r>
    </w:p>
    <w:p w14:paraId="303D5BD9" w14:textId="33552E79" w:rsidR="00E915E2" w:rsidRDefault="00E915E2" w:rsidP="000A33C6">
      <w:r>
        <w:t>From the observation 1, 3GPP should specify a way for the UE to indicate where the GP is. Possible options would be defin</w:t>
      </w:r>
      <w:r w:rsidR="00211802">
        <w:t>ing</w:t>
      </w:r>
      <w:r>
        <w:t xml:space="preserve"> a certain rule or define </w:t>
      </w:r>
      <w:r w:rsidR="00211802">
        <w:t xml:space="preserve">an explicit </w:t>
      </w:r>
      <w:proofErr w:type="spellStart"/>
      <w:r>
        <w:t>signaling</w:t>
      </w:r>
      <w:proofErr w:type="spellEnd"/>
      <w:r>
        <w:t xml:space="preserve"> method for UE to indicate the exact position.</w:t>
      </w:r>
    </w:p>
    <w:p w14:paraId="55B4976F" w14:textId="46796516" w:rsidR="00252E3E" w:rsidRPr="00211802" w:rsidRDefault="00252E3E" w:rsidP="00252E3E">
      <w:r>
        <w:t>With respect to a certain rule, as proposed in [5], one of the options would be setting a rule that GP shall be placed on the last symbol(s) of the gap or the 1</w:t>
      </w:r>
      <w:r w:rsidRPr="00CF5AA5">
        <w:rPr>
          <w:vertAlign w:val="superscript"/>
        </w:rPr>
        <w:t>st</w:t>
      </w:r>
      <w:r>
        <w:t xml:space="preserve"> symbol of the gap. This makes the situation simpler, though the drawback would be the UE may not be able to use the better antenna at an instant. For instance, if the better antenna is always in the order of the switching, it is better to set the GP at the last symbol(s) of the gap meaning that antenna port 1 is mapped to a physical antenna with better performance than the physical antenna mapped to antenna port 2. This may work, but the relative antenna performance among physical antennas may be affected by some other reasons, e.g., a hand grip, at an instance. Though an explicit </w:t>
      </w:r>
      <w:proofErr w:type="spellStart"/>
      <w:r>
        <w:t>signaling</w:t>
      </w:r>
      <w:proofErr w:type="spellEnd"/>
      <w:r>
        <w:t xml:space="preserve"> may be better in terms of selection of the best switching timing during the gap, it requires </w:t>
      </w:r>
      <w:proofErr w:type="spellStart"/>
      <w:r>
        <w:t>signaling</w:t>
      </w:r>
      <w:proofErr w:type="spellEnd"/>
      <w:r>
        <w:t xml:space="preserve"> overhead. Given that without clarifying the position of GP, in any case, some resources become in vain, at least setting a rule or explicit </w:t>
      </w:r>
      <w:proofErr w:type="spellStart"/>
      <w:r>
        <w:t>signaling</w:t>
      </w:r>
      <w:proofErr w:type="spellEnd"/>
      <w:r>
        <w:t xml:space="preserve"> is needed.</w:t>
      </w:r>
    </w:p>
    <w:p w14:paraId="3098F650" w14:textId="09631F66" w:rsidR="005C7F52" w:rsidRDefault="00211802" w:rsidP="005C7F52">
      <w:pPr>
        <w:pStyle w:val="Caption"/>
      </w:pPr>
      <w:r>
        <w:t xml:space="preserve">Proposal </w:t>
      </w:r>
      <w:r w:rsidR="005C7F52">
        <w:t>2</w:t>
      </w:r>
      <w:r w:rsidR="005C7F52" w:rsidRPr="000A33C6">
        <w:t xml:space="preserve">: </w:t>
      </w:r>
      <w:r>
        <w:t xml:space="preserve">Specify a certain rule to define where GP should be placed in the gap and/or an explicit </w:t>
      </w:r>
      <w:proofErr w:type="spellStart"/>
      <w:r>
        <w:t>signaling</w:t>
      </w:r>
      <w:proofErr w:type="spellEnd"/>
      <w:r>
        <w:t xml:space="preserve"> method for UE to indicate the exact position of the GP.</w:t>
      </w:r>
    </w:p>
    <w:p w14:paraId="6297FA19" w14:textId="7DCF76C5"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536914BA" w14:textId="5CB0D32A" w:rsidR="00C22CCF" w:rsidRDefault="00C22CCF" w:rsidP="00C22CCF">
      <w:pPr>
        <w:rPr>
          <w:b/>
          <w:bCs/>
        </w:rPr>
      </w:pPr>
      <w:r w:rsidRPr="00E721A9">
        <w:rPr>
          <w:b/>
          <w:bCs/>
        </w:rPr>
        <w:t>Proposal 1: UE shall be able to transmit any other signals in-between the gap except for GP.</w:t>
      </w:r>
    </w:p>
    <w:p w14:paraId="07E06F9A" w14:textId="77777777" w:rsidR="00C22CCF" w:rsidRPr="00E721A9" w:rsidRDefault="00C22CCF" w:rsidP="00C22CCF">
      <w:pPr>
        <w:rPr>
          <w:b/>
          <w:bCs/>
        </w:rPr>
      </w:pPr>
      <w:r>
        <w:rPr>
          <w:b/>
          <w:bCs/>
        </w:rPr>
        <w:t>Observation 1: Enabling network to know where GP is can avoid resource losses due to allocation of the resource on symbol(s) where GP(s) exists.</w:t>
      </w:r>
    </w:p>
    <w:p w14:paraId="06A1CA74" w14:textId="79577BFD" w:rsidR="00C22CCF" w:rsidRPr="00C22CCF" w:rsidRDefault="00C22CCF" w:rsidP="00C22CCF">
      <w:pPr>
        <w:pStyle w:val="Caption"/>
      </w:pPr>
      <w:r>
        <w:t>Proposal 2</w:t>
      </w:r>
      <w:r w:rsidRPr="000A33C6">
        <w:t xml:space="preserve">: </w:t>
      </w:r>
      <w:r>
        <w:t xml:space="preserve">Specify a certain rule to define where GP should be placed in the gap and/or an explicit </w:t>
      </w:r>
      <w:proofErr w:type="spellStart"/>
      <w:r>
        <w:t>signaling</w:t>
      </w:r>
      <w:proofErr w:type="spellEnd"/>
      <w:r>
        <w:t xml:space="preserve"> method for UE to indicate the exact position of the GP.</w:t>
      </w:r>
    </w:p>
    <w:p w14:paraId="163B5453" w14:textId="014CFDCA" w:rsidR="0034111C" w:rsidRPr="00A51522" w:rsidRDefault="00723D77" w:rsidP="007825F0">
      <w:pPr>
        <w:pStyle w:val="Heading1"/>
      </w:pPr>
      <w:r>
        <w:t xml:space="preserve">4 </w:t>
      </w:r>
      <w:r w:rsidR="0034111C" w:rsidRPr="00A51522">
        <w:t>References</w:t>
      </w:r>
      <w:r w:rsidR="00A2459D" w:rsidRPr="00A51522">
        <w:t xml:space="preserve"> </w:t>
      </w:r>
    </w:p>
    <w:p w14:paraId="7D1EABBF" w14:textId="48275DE7" w:rsidR="00782625" w:rsidRDefault="00AB60D7" w:rsidP="004D4A6E">
      <w:pPr>
        <w:numPr>
          <w:ilvl w:val="0"/>
          <w:numId w:val="2"/>
        </w:numPr>
      </w:pPr>
      <w:bookmarkStart w:id="0" w:name="_Ref525556233"/>
      <w:r w:rsidRPr="00AB60D7">
        <w:t>R4-2202370</w:t>
      </w:r>
      <w:r w:rsidR="00782625" w:rsidRPr="00765573">
        <w:t>, “</w:t>
      </w:r>
      <w:r w:rsidRPr="00AB60D7">
        <w:t xml:space="preserve">WF on remaining issues of </w:t>
      </w:r>
      <w:proofErr w:type="spellStart"/>
      <w:r w:rsidRPr="00AB60D7">
        <w:t>FeMIMO</w:t>
      </w:r>
      <w:proofErr w:type="spellEnd"/>
      <w:r w:rsidR="00782625" w:rsidRPr="00765573">
        <w:t>”,</w:t>
      </w:r>
      <w:r w:rsidR="00286410">
        <w:t xml:space="preserve"> RAN</w:t>
      </w:r>
      <w:r>
        <w:t>4</w:t>
      </w:r>
      <w:r w:rsidR="00286410">
        <w:t>#</w:t>
      </w:r>
      <w:r>
        <w:t>101-bis</w:t>
      </w:r>
      <w:r w:rsidR="00286410">
        <w:t xml:space="preserve">-e, </w:t>
      </w:r>
      <w:bookmarkEnd w:id="0"/>
      <w:r w:rsidR="00BB1532" w:rsidRPr="00BB1532">
        <w:t>Samsung</w:t>
      </w:r>
    </w:p>
    <w:p w14:paraId="4CEF861C" w14:textId="294A3931" w:rsidR="00286410" w:rsidRDefault="009F0E41" w:rsidP="00286410">
      <w:pPr>
        <w:numPr>
          <w:ilvl w:val="0"/>
          <w:numId w:val="2"/>
        </w:numPr>
      </w:pPr>
      <w:r w:rsidRPr="009F0E41">
        <w:t>R4-2202413</w:t>
      </w:r>
      <w:r w:rsidR="00286410" w:rsidRPr="00765573">
        <w:t>, “</w:t>
      </w:r>
      <w:r w:rsidRPr="009F0E41">
        <w:t xml:space="preserve">LS on Rel-17 </w:t>
      </w:r>
      <w:proofErr w:type="spellStart"/>
      <w:r w:rsidRPr="009F0E41">
        <w:t>FeMIMO</w:t>
      </w:r>
      <w:proofErr w:type="spellEnd"/>
      <w:r w:rsidRPr="009F0E41">
        <w:t xml:space="preserve"> SRS related impact</w:t>
      </w:r>
      <w:r w:rsidR="00286410" w:rsidRPr="00765573">
        <w:t>”,</w:t>
      </w:r>
      <w:r>
        <w:t xml:space="preserve"> RAN4#101-bis-e</w:t>
      </w:r>
      <w:r w:rsidR="00286410">
        <w:t xml:space="preserve">, </w:t>
      </w:r>
      <w:r>
        <w:t>Huawei</w:t>
      </w:r>
    </w:p>
    <w:p w14:paraId="49776E07" w14:textId="483670DB" w:rsidR="009F0E41" w:rsidRDefault="009F0E41" w:rsidP="009F0E41">
      <w:pPr>
        <w:numPr>
          <w:ilvl w:val="0"/>
          <w:numId w:val="2"/>
        </w:numPr>
      </w:pPr>
      <w:r w:rsidRPr="009F0E41">
        <w:t>R4-2200342</w:t>
      </w:r>
      <w:r w:rsidR="00286410" w:rsidRPr="00765573">
        <w:t>, “</w:t>
      </w:r>
      <w:r w:rsidRPr="009F0E41">
        <w:t>Two sets of SRS sets and GP needed in between</w:t>
      </w:r>
      <w:r w:rsidR="00286410" w:rsidRPr="00765573">
        <w:t>”,</w:t>
      </w:r>
      <w:r w:rsidR="00286410">
        <w:rPr>
          <w:b/>
        </w:rPr>
        <w:t xml:space="preserve"> </w:t>
      </w:r>
      <w:r>
        <w:t>RAN4#101-bis-e</w:t>
      </w:r>
      <w:r w:rsidR="00286410">
        <w:t xml:space="preserve">, </w:t>
      </w:r>
      <w:r w:rsidRPr="009F0E41">
        <w:t>Qualcomm Incorporated</w:t>
      </w:r>
    </w:p>
    <w:p w14:paraId="6B944DFC" w14:textId="242D1046" w:rsidR="00773116" w:rsidRDefault="00773116" w:rsidP="009F0E41">
      <w:pPr>
        <w:numPr>
          <w:ilvl w:val="0"/>
          <w:numId w:val="2"/>
        </w:numPr>
      </w:pPr>
      <w:r w:rsidRPr="00773116">
        <w:lastRenderedPageBreak/>
        <w:t>R4-2118120</w:t>
      </w:r>
      <w:r>
        <w:t xml:space="preserve">, </w:t>
      </w:r>
      <w:r w:rsidRPr="00765573">
        <w:t>“</w:t>
      </w:r>
      <w:r w:rsidRPr="00773116">
        <w:t>Draft LS to RAN1 on the guard period between SRS resources for antenna switching</w:t>
      </w:r>
      <w:r w:rsidRPr="00765573">
        <w:t>”,</w:t>
      </w:r>
      <w:r>
        <w:rPr>
          <w:b/>
        </w:rPr>
        <w:t xml:space="preserve"> </w:t>
      </w:r>
      <w:r>
        <w:t>RAN4#101-e, Ericsson</w:t>
      </w:r>
    </w:p>
    <w:p w14:paraId="6FD61549" w14:textId="1AB2CBE1" w:rsidR="00211802" w:rsidRPr="00765573" w:rsidRDefault="00211802" w:rsidP="009F0E41">
      <w:pPr>
        <w:numPr>
          <w:ilvl w:val="0"/>
          <w:numId w:val="2"/>
        </w:numPr>
      </w:pPr>
      <w:r w:rsidRPr="00211802">
        <w:t>R1-2112589</w:t>
      </w:r>
      <w:r>
        <w:t xml:space="preserve">, </w:t>
      </w:r>
      <w:r w:rsidRPr="00765573">
        <w:t>“</w:t>
      </w:r>
      <w:r w:rsidRPr="00211802">
        <w:t>FL summary #2 on SRS enhancements</w:t>
      </w:r>
      <w:r w:rsidRPr="00765573">
        <w:t>”,</w:t>
      </w:r>
      <w:r>
        <w:rPr>
          <w:b/>
        </w:rPr>
        <w:t xml:space="preserve"> </w:t>
      </w:r>
      <w:r>
        <w:t>RAN1#107-e, ZTE</w:t>
      </w:r>
    </w:p>
    <w:sectPr w:rsidR="00211802"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45F39" w14:textId="77777777" w:rsidR="00130E6A" w:rsidRDefault="00130E6A">
      <w:r>
        <w:separator/>
      </w:r>
    </w:p>
  </w:endnote>
  <w:endnote w:type="continuationSeparator" w:id="0">
    <w:p w14:paraId="0DD11D35" w14:textId="77777777" w:rsidR="00130E6A" w:rsidRDefault="00130E6A">
      <w:r>
        <w:continuationSeparator/>
      </w:r>
    </w:p>
  </w:endnote>
  <w:endnote w:type="continuationNotice" w:id="1">
    <w:p w14:paraId="63B56CC8" w14:textId="77777777" w:rsidR="00130E6A" w:rsidRDefault="00130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3080E" w14:textId="77777777" w:rsidR="00130E6A" w:rsidRDefault="00130E6A">
      <w:r>
        <w:separator/>
      </w:r>
    </w:p>
  </w:footnote>
  <w:footnote w:type="continuationSeparator" w:id="0">
    <w:p w14:paraId="7E87BD91" w14:textId="77777777" w:rsidR="00130E6A" w:rsidRDefault="00130E6A">
      <w:r>
        <w:continuationSeparator/>
      </w:r>
    </w:p>
  </w:footnote>
  <w:footnote w:type="continuationNotice" w:id="1">
    <w:p w14:paraId="2EA755F4" w14:textId="77777777" w:rsidR="00130E6A" w:rsidRDefault="00130E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5"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6"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7"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1"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0"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2"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3"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49"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0"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1"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4"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3"/>
  </w:num>
  <w:num w:numId="3">
    <w:abstractNumId w:val="37"/>
  </w:num>
  <w:num w:numId="4">
    <w:abstractNumId w:val="14"/>
  </w:num>
  <w:num w:numId="5">
    <w:abstractNumId w:val="28"/>
  </w:num>
  <w:num w:numId="6">
    <w:abstractNumId w:val="27"/>
    <w:lvlOverride w:ilvl="0"/>
    <w:lvlOverride w:ilvl="1">
      <w:startOverride w:val="1"/>
    </w:lvlOverride>
    <w:lvlOverride w:ilvl="2"/>
    <w:lvlOverride w:ilvl="3"/>
    <w:lvlOverride w:ilvl="4"/>
    <w:lvlOverride w:ilvl="5"/>
    <w:lvlOverride w:ilvl="6"/>
    <w:lvlOverride w:ilvl="7"/>
    <w:lvlOverride w:ilvl="8"/>
  </w:num>
  <w:num w:numId="7">
    <w:abstractNumId w:val="40"/>
  </w:num>
  <w:num w:numId="8">
    <w:abstractNumId w:val="60"/>
  </w:num>
  <w:num w:numId="9">
    <w:abstractNumId w:val="36"/>
  </w:num>
  <w:num w:numId="10">
    <w:abstractNumId w:val="22"/>
  </w:num>
  <w:num w:numId="11">
    <w:abstractNumId w:val="32"/>
  </w:num>
  <w:num w:numId="12">
    <w:abstractNumId w:val="59"/>
  </w:num>
  <w:num w:numId="13">
    <w:abstractNumId w:val="38"/>
  </w:num>
  <w:num w:numId="14">
    <w:abstractNumId w:val="44"/>
  </w:num>
  <w:num w:numId="15">
    <w:abstractNumId w:val="12"/>
  </w:num>
  <w:num w:numId="16">
    <w:abstractNumId w:val="6"/>
  </w:num>
  <w:num w:numId="17">
    <w:abstractNumId w:val="20"/>
  </w:num>
  <w:num w:numId="18">
    <w:abstractNumId w:val="0"/>
  </w:num>
  <w:num w:numId="19">
    <w:abstractNumId w:val="65"/>
  </w:num>
  <w:num w:numId="20">
    <w:abstractNumId w:val="2"/>
  </w:num>
  <w:num w:numId="21">
    <w:abstractNumId w:val="30"/>
  </w:num>
  <w:num w:numId="22">
    <w:abstractNumId w:val="1"/>
  </w:num>
  <w:num w:numId="23">
    <w:abstractNumId w:val="61"/>
  </w:num>
  <w:num w:numId="24">
    <w:abstractNumId w:val="15"/>
  </w:num>
  <w:num w:numId="25">
    <w:abstractNumId w:val="58"/>
  </w:num>
  <w:num w:numId="26">
    <w:abstractNumId w:val="52"/>
  </w:num>
  <w:num w:numId="27">
    <w:abstractNumId w:val="10"/>
  </w:num>
  <w:num w:numId="28">
    <w:abstractNumId w:val="11"/>
  </w:num>
  <w:num w:numId="29">
    <w:abstractNumId w:val="56"/>
  </w:num>
  <w:num w:numId="30">
    <w:abstractNumId w:val="3"/>
  </w:num>
  <w:num w:numId="31">
    <w:abstractNumId w:val="63"/>
  </w:num>
  <w:num w:numId="32">
    <w:abstractNumId w:val="16"/>
  </w:num>
  <w:num w:numId="33">
    <w:abstractNumId w:val="13"/>
  </w:num>
  <w:num w:numId="34">
    <w:abstractNumId w:val="42"/>
  </w:num>
  <w:num w:numId="35">
    <w:abstractNumId w:val="43"/>
  </w:num>
  <w:num w:numId="36">
    <w:abstractNumId w:val="21"/>
  </w:num>
  <w:num w:numId="37">
    <w:abstractNumId w:val="9"/>
  </w:num>
  <w:num w:numId="38">
    <w:abstractNumId w:val="53"/>
  </w:num>
  <w:num w:numId="39">
    <w:abstractNumId w:val="33"/>
  </w:num>
  <w:num w:numId="40">
    <w:abstractNumId w:val="27"/>
  </w:num>
  <w:num w:numId="41">
    <w:abstractNumId w:val="62"/>
  </w:num>
  <w:num w:numId="42">
    <w:abstractNumId w:val="49"/>
  </w:num>
  <w:num w:numId="43">
    <w:abstractNumId w:val="25"/>
  </w:num>
  <w:num w:numId="44">
    <w:abstractNumId w:val="48"/>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num>
  <w:num w:numId="47">
    <w:abstractNumId w:val="50"/>
  </w:num>
  <w:num w:numId="48">
    <w:abstractNumId w:val="54"/>
  </w:num>
  <w:num w:numId="49">
    <w:abstractNumId w:val="57"/>
  </w:num>
  <w:num w:numId="50">
    <w:abstractNumId w:val="34"/>
  </w:num>
  <w:num w:numId="51">
    <w:abstractNumId w:val="7"/>
  </w:num>
  <w:num w:numId="52">
    <w:abstractNumId w:val="19"/>
  </w:num>
  <w:num w:numId="53">
    <w:abstractNumId w:val="18"/>
  </w:num>
  <w:num w:numId="54">
    <w:abstractNumId w:val="46"/>
  </w:num>
  <w:num w:numId="55">
    <w:abstractNumId w:val="46"/>
  </w:num>
  <w:num w:numId="56">
    <w:abstractNumId w:val="31"/>
  </w:num>
  <w:num w:numId="57">
    <w:abstractNumId w:val="35"/>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9"/>
  </w:num>
  <w:num w:numId="59">
    <w:abstractNumId w:val="45"/>
  </w:num>
  <w:num w:numId="60">
    <w:abstractNumId w:val="47"/>
  </w:num>
  <w:num w:numId="61">
    <w:abstractNumId w:val="41"/>
  </w:num>
  <w:num w:numId="62">
    <w:abstractNumId w:val="5"/>
  </w:num>
  <w:num w:numId="63">
    <w:abstractNumId w:val="8"/>
  </w:num>
  <w:num w:numId="64">
    <w:abstractNumId w:val="55"/>
  </w:num>
  <w:num w:numId="65">
    <w:abstractNumId w:val="17"/>
  </w:num>
  <w:num w:numId="66">
    <w:abstractNumId w:val="26"/>
  </w:num>
  <w:num w:numId="67">
    <w:abstractNumId w:val="29"/>
  </w:num>
  <w:num w:numId="68">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705"/>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052"/>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5838"/>
    <w:rsid w:val="00095A80"/>
    <w:rsid w:val="00095B0C"/>
    <w:rsid w:val="00095F12"/>
    <w:rsid w:val="0009615A"/>
    <w:rsid w:val="00096993"/>
    <w:rsid w:val="00096C7F"/>
    <w:rsid w:val="00096E4E"/>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80A"/>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E6A"/>
    <w:rsid w:val="00130F9A"/>
    <w:rsid w:val="00131913"/>
    <w:rsid w:val="00131DB8"/>
    <w:rsid w:val="001320E0"/>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DD7"/>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39E9"/>
    <w:rsid w:val="001D46A0"/>
    <w:rsid w:val="001D46C1"/>
    <w:rsid w:val="001D47D1"/>
    <w:rsid w:val="001D4937"/>
    <w:rsid w:val="001D4E22"/>
    <w:rsid w:val="001D4FFB"/>
    <w:rsid w:val="001D568C"/>
    <w:rsid w:val="001D5D51"/>
    <w:rsid w:val="001D5F74"/>
    <w:rsid w:val="001D5FA1"/>
    <w:rsid w:val="001D5FB0"/>
    <w:rsid w:val="001D6258"/>
    <w:rsid w:val="001D64BF"/>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A"/>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0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B94"/>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3E"/>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410"/>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07B4"/>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A06"/>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A9"/>
    <w:rsid w:val="003228AD"/>
    <w:rsid w:val="00322C38"/>
    <w:rsid w:val="00322CA0"/>
    <w:rsid w:val="00322CBE"/>
    <w:rsid w:val="0032360B"/>
    <w:rsid w:val="00323BBF"/>
    <w:rsid w:val="00323CAC"/>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A96"/>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0DDB"/>
    <w:rsid w:val="004710BC"/>
    <w:rsid w:val="004711C1"/>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E5"/>
    <w:rsid w:val="004839AF"/>
    <w:rsid w:val="00484021"/>
    <w:rsid w:val="004844D3"/>
    <w:rsid w:val="0048456D"/>
    <w:rsid w:val="0048481A"/>
    <w:rsid w:val="004848F4"/>
    <w:rsid w:val="00484B18"/>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5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666"/>
    <w:rsid w:val="00540693"/>
    <w:rsid w:val="00540B5A"/>
    <w:rsid w:val="0054119D"/>
    <w:rsid w:val="0054136F"/>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5ED3"/>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C7F52"/>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A2A"/>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169"/>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9DF"/>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133"/>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AEC"/>
    <w:rsid w:val="00696C23"/>
    <w:rsid w:val="00696D63"/>
    <w:rsid w:val="00697110"/>
    <w:rsid w:val="0069729C"/>
    <w:rsid w:val="0069739A"/>
    <w:rsid w:val="00697586"/>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6A1"/>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116"/>
    <w:rsid w:val="00773393"/>
    <w:rsid w:val="007736D3"/>
    <w:rsid w:val="00773B54"/>
    <w:rsid w:val="007744D1"/>
    <w:rsid w:val="0077463A"/>
    <w:rsid w:val="0077500F"/>
    <w:rsid w:val="00775199"/>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169A"/>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EF6"/>
    <w:rsid w:val="008B2153"/>
    <w:rsid w:val="008B21A1"/>
    <w:rsid w:val="008B220D"/>
    <w:rsid w:val="008B25CB"/>
    <w:rsid w:val="008B2B28"/>
    <w:rsid w:val="008B3263"/>
    <w:rsid w:val="008B336D"/>
    <w:rsid w:val="008B3403"/>
    <w:rsid w:val="008B3B51"/>
    <w:rsid w:val="008B3FD0"/>
    <w:rsid w:val="008B4057"/>
    <w:rsid w:val="008B4145"/>
    <w:rsid w:val="008B4318"/>
    <w:rsid w:val="008B438D"/>
    <w:rsid w:val="008B4445"/>
    <w:rsid w:val="008B44FA"/>
    <w:rsid w:val="008B4CAC"/>
    <w:rsid w:val="008B4D88"/>
    <w:rsid w:val="008B4E01"/>
    <w:rsid w:val="008B4EEE"/>
    <w:rsid w:val="008B4FD3"/>
    <w:rsid w:val="008B5290"/>
    <w:rsid w:val="008B589E"/>
    <w:rsid w:val="008B5B64"/>
    <w:rsid w:val="008B64DD"/>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E9"/>
    <w:rsid w:val="00933594"/>
    <w:rsid w:val="009337A7"/>
    <w:rsid w:val="00933B95"/>
    <w:rsid w:val="00933BFA"/>
    <w:rsid w:val="00933C35"/>
    <w:rsid w:val="00933F47"/>
    <w:rsid w:val="00934390"/>
    <w:rsid w:val="00934568"/>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68D"/>
    <w:rsid w:val="009A7831"/>
    <w:rsid w:val="009A7EBF"/>
    <w:rsid w:val="009B0408"/>
    <w:rsid w:val="009B052B"/>
    <w:rsid w:val="009B0843"/>
    <w:rsid w:val="009B0927"/>
    <w:rsid w:val="009B0C25"/>
    <w:rsid w:val="009B0D83"/>
    <w:rsid w:val="009B11C1"/>
    <w:rsid w:val="009B1543"/>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0E41"/>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1AA8"/>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0CD2"/>
    <w:rsid w:val="00A81357"/>
    <w:rsid w:val="00A82831"/>
    <w:rsid w:val="00A82AA6"/>
    <w:rsid w:val="00A82B53"/>
    <w:rsid w:val="00A8328A"/>
    <w:rsid w:val="00A8336D"/>
    <w:rsid w:val="00A83962"/>
    <w:rsid w:val="00A83B7C"/>
    <w:rsid w:val="00A84108"/>
    <w:rsid w:val="00A84644"/>
    <w:rsid w:val="00A8467D"/>
    <w:rsid w:val="00A84805"/>
    <w:rsid w:val="00A85279"/>
    <w:rsid w:val="00A85725"/>
    <w:rsid w:val="00A858C5"/>
    <w:rsid w:val="00A85BD7"/>
    <w:rsid w:val="00A85EAE"/>
    <w:rsid w:val="00A85F7A"/>
    <w:rsid w:val="00A86DCD"/>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0F"/>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0D7"/>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4BF1"/>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3458"/>
    <w:rsid w:val="00AF3522"/>
    <w:rsid w:val="00AF352A"/>
    <w:rsid w:val="00AF3678"/>
    <w:rsid w:val="00AF377A"/>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70C"/>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4"/>
    <w:rsid w:val="00B05A8D"/>
    <w:rsid w:val="00B05DF4"/>
    <w:rsid w:val="00B05E1F"/>
    <w:rsid w:val="00B0648F"/>
    <w:rsid w:val="00B06898"/>
    <w:rsid w:val="00B06BDB"/>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1AA"/>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E2A"/>
    <w:rsid w:val="00B90F2A"/>
    <w:rsid w:val="00B90F94"/>
    <w:rsid w:val="00B91151"/>
    <w:rsid w:val="00B913FB"/>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532"/>
    <w:rsid w:val="00BB1B66"/>
    <w:rsid w:val="00BB1CA1"/>
    <w:rsid w:val="00BB2AAF"/>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6F7C"/>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FA9"/>
    <w:rsid w:val="00C22132"/>
    <w:rsid w:val="00C22B28"/>
    <w:rsid w:val="00C22B5A"/>
    <w:rsid w:val="00C22CCF"/>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27AA2"/>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40"/>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CF4"/>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5D3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5EC8"/>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4B3"/>
    <w:rsid w:val="00CF55DD"/>
    <w:rsid w:val="00CF5A53"/>
    <w:rsid w:val="00CF5AA5"/>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297"/>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148"/>
    <w:rsid w:val="00D77413"/>
    <w:rsid w:val="00D7787C"/>
    <w:rsid w:val="00D8067D"/>
    <w:rsid w:val="00D809EC"/>
    <w:rsid w:val="00D80A2F"/>
    <w:rsid w:val="00D81908"/>
    <w:rsid w:val="00D81ED2"/>
    <w:rsid w:val="00D81F10"/>
    <w:rsid w:val="00D8201E"/>
    <w:rsid w:val="00D8205A"/>
    <w:rsid w:val="00D822EC"/>
    <w:rsid w:val="00D8242C"/>
    <w:rsid w:val="00D82609"/>
    <w:rsid w:val="00D82755"/>
    <w:rsid w:val="00D82CC5"/>
    <w:rsid w:val="00D8303C"/>
    <w:rsid w:val="00D83181"/>
    <w:rsid w:val="00D8318E"/>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EB5"/>
    <w:rsid w:val="00DB0FAC"/>
    <w:rsid w:val="00DB0FE5"/>
    <w:rsid w:val="00DB11CD"/>
    <w:rsid w:val="00DB19E3"/>
    <w:rsid w:val="00DB1CC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1A9"/>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5E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399"/>
    <w:rsid w:val="00EA63A9"/>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64B"/>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319"/>
    <w:rsid w:val="00F32381"/>
    <w:rsid w:val="00F3292E"/>
    <w:rsid w:val="00F33595"/>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A89"/>
    <w:rsid w:val="00F53B1D"/>
    <w:rsid w:val="00F53EC4"/>
    <w:rsid w:val="00F5428C"/>
    <w:rsid w:val="00F54C88"/>
    <w:rsid w:val="00F54CA9"/>
    <w:rsid w:val="00F54E20"/>
    <w:rsid w:val="00F54F55"/>
    <w:rsid w:val="00F5519F"/>
    <w:rsid w:val="00F5550A"/>
    <w:rsid w:val="00F55C91"/>
    <w:rsid w:val="00F55C99"/>
    <w:rsid w:val="00F560FE"/>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B82"/>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BF"/>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A06"/>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20A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A0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5AIRPNAIUNRU-1328258698-5546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https://nokia.sharepoint.com/sites/c5g/5gradio/_layouts/15/DocIdRedir.aspx?ID=5AIRPNAIUNRU-1328258698-5546</Url>
      <Description>5AIRPNAIUNRU-1328258698-5546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2.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3.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4.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971EA29-D028-4F8F-AB41-1C6866342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87CD38-4AF9-4D6C-B584-FB2AC64DAF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2022-02-14T13:43:00Z</dcterms:created>
  <dcterms:modified xsi:type="dcterms:W3CDTF">2022-02-14T14:42:00Z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66b95036-7f5c-47de-8a6d-d6179b99ba67</vt:lpwstr>
  </property>
  <property fmtid="{D5CDD505-2E9C-101B-9397-08002B2CF9AE}" pid="4" name="AuthorIds_UIVersion_1024">
    <vt:lpwstr>727</vt:lpwstr>
  </property>
</Properties>
</file>