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ACE8E" w14:textId="533291DC" w:rsidR="001232BB" w:rsidRPr="002940CE" w:rsidRDefault="001232BB" w:rsidP="001232BB">
      <w:pPr>
        <w:tabs>
          <w:tab w:val="right" w:pos="9072"/>
        </w:tabs>
        <w:spacing w:after="0"/>
        <w:rPr>
          <w:rFonts w:ascii="Arial" w:hAnsi="Arial" w:cs="Arial"/>
          <w:b/>
          <w:sz w:val="24"/>
          <w:szCs w:val="28"/>
          <w:lang w:val="en-US"/>
        </w:rPr>
      </w:pPr>
      <w:r w:rsidRPr="002940CE">
        <w:rPr>
          <w:rFonts w:ascii="Arial" w:hAnsi="Arial" w:cs="Arial"/>
          <w:b/>
          <w:sz w:val="24"/>
          <w:szCs w:val="28"/>
          <w:lang w:val="en-US"/>
        </w:rPr>
        <w:t>3GPP TSG RAN WG4 Meeting #101bis-e</w:t>
      </w:r>
      <w:r w:rsidRPr="002940CE">
        <w:rPr>
          <w:rFonts w:ascii="Arial" w:hAnsi="Arial" w:cs="Arial"/>
          <w:b/>
          <w:sz w:val="24"/>
          <w:szCs w:val="28"/>
          <w:lang w:val="en-US"/>
        </w:rPr>
        <w:tab/>
      </w:r>
      <w:r w:rsidR="00EB0492" w:rsidRPr="00EB0492">
        <w:rPr>
          <w:rFonts w:ascii="Arial" w:hAnsi="Arial" w:cs="Arial"/>
          <w:b/>
          <w:sz w:val="24"/>
          <w:szCs w:val="28"/>
          <w:lang w:val="en-US"/>
        </w:rPr>
        <w:t>R4-2201867</w:t>
      </w:r>
    </w:p>
    <w:p w14:paraId="4702F122" w14:textId="77777777" w:rsidR="001232BB" w:rsidRPr="002940CE" w:rsidRDefault="001232BB" w:rsidP="001232BB">
      <w:pPr>
        <w:tabs>
          <w:tab w:val="right" w:pos="9072"/>
        </w:tabs>
        <w:spacing w:after="0"/>
        <w:rPr>
          <w:rFonts w:ascii="Arial" w:hAnsi="Arial" w:cs="Arial"/>
          <w:b/>
          <w:sz w:val="24"/>
          <w:szCs w:val="28"/>
          <w:lang w:val="en-US"/>
        </w:rPr>
      </w:pPr>
      <w:r w:rsidRPr="002940CE">
        <w:rPr>
          <w:rFonts w:ascii="Arial" w:hAnsi="Arial" w:cs="Arial"/>
          <w:b/>
          <w:sz w:val="24"/>
          <w:szCs w:val="28"/>
          <w:lang w:val="en-US"/>
        </w:rPr>
        <w:t>Electronic Meeting, January 17 - 25, 2022</w:t>
      </w:r>
    </w:p>
    <w:p w14:paraId="65F55581" w14:textId="77777777" w:rsidR="008A22CF" w:rsidRPr="002940CE" w:rsidRDefault="008A22CF" w:rsidP="008A22CF">
      <w:pPr>
        <w:pStyle w:val="3GPPHeader"/>
        <w:rPr>
          <w:lang w:val="en-US"/>
        </w:rPr>
      </w:pPr>
    </w:p>
    <w:p w14:paraId="57D8FDDC" w14:textId="59E8C7E0" w:rsidR="008A22CF" w:rsidRPr="002940CE" w:rsidRDefault="008A22CF" w:rsidP="008A22CF">
      <w:pPr>
        <w:pStyle w:val="3GPPHeader"/>
        <w:rPr>
          <w:sz w:val="22"/>
          <w:lang w:val="en-US"/>
        </w:rPr>
      </w:pPr>
      <w:r w:rsidRPr="002940CE">
        <w:rPr>
          <w:sz w:val="22"/>
          <w:lang w:val="en-US"/>
        </w:rPr>
        <w:t>Source:</w:t>
      </w:r>
      <w:r w:rsidRPr="002940CE">
        <w:rPr>
          <w:sz w:val="22"/>
          <w:lang w:val="en-US"/>
        </w:rPr>
        <w:tab/>
        <w:t>Ericsson</w:t>
      </w:r>
    </w:p>
    <w:p w14:paraId="3A8FC3FA" w14:textId="714719DB" w:rsidR="008A22CF" w:rsidRPr="002940CE" w:rsidRDefault="008A22CF" w:rsidP="008A22CF">
      <w:pPr>
        <w:pStyle w:val="3GPPHeader"/>
        <w:rPr>
          <w:sz w:val="22"/>
          <w:lang w:val="en-US"/>
        </w:rPr>
      </w:pPr>
      <w:r w:rsidRPr="002940CE">
        <w:rPr>
          <w:sz w:val="22"/>
          <w:lang w:val="en-US"/>
        </w:rPr>
        <w:t>Title:</w:t>
      </w:r>
      <w:r w:rsidRPr="002940CE">
        <w:rPr>
          <w:sz w:val="22"/>
          <w:lang w:val="en-US"/>
        </w:rPr>
        <w:tab/>
      </w:r>
      <w:r w:rsidR="00D602F0" w:rsidRPr="002940CE">
        <w:rPr>
          <w:sz w:val="22"/>
          <w:lang w:val="en-US"/>
        </w:rPr>
        <w:t xml:space="preserve">Discussions on </w:t>
      </w:r>
      <w:r w:rsidR="0021127C" w:rsidRPr="002940CE">
        <w:rPr>
          <w:sz w:val="22"/>
          <w:lang w:val="en-US"/>
        </w:rPr>
        <w:t xml:space="preserve">UE power saving </w:t>
      </w:r>
      <w:r w:rsidR="00634EBB" w:rsidRPr="002940CE">
        <w:rPr>
          <w:sz w:val="22"/>
          <w:lang w:val="en-US"/>
        </w:rPr>
        <w:t>for RLM and BM</w:t>
      </w:r>
    </w:p>
    <w:p w14:paraId="6BEFD96A" w14:textId="05E55BF8" w:rsidR="008E362B" w:rsidRPr="002940CE" w:rsidRDefault="008E362B" w:rsidP="008E362B">
      <w:pPr>
        <w:pStyle w:val="3GPPHeader"/>
        <w:rPr>
          <w:sz w:val="22"/>
          <w:lang w:val="en-US"/>
        </w:rPr>
      </w:pPr>
      <w:r w:rsidRPr="002940CE">
        <w:rPr>
          <w:sz w:val="22"/>
          <w:lang w:val="en-US"/>
        </w:rPr>
        <w:t>Agenda Item:</w:t>
      </w:r>
      <w:r w:rsidRPr="002940CE">
        <w:rPr>
          <w:sz w:val="22"/>
          <w:lang w:val="en-US"/>
        </w:rPr>
        <w:tab/>
      </w:r>
      <w:r w:rsidR="005608F7" w:rsidRPr="002940CE">
        <w:rPr>
          <w:sz w:val="22"/>
          <w:lang w:val="en-US"/>
        </w:rPr>
        <w:t>6</w:t>
      </w:r>
      <w:r w:rsidR="00EF5F4A" w:rsidRPr="002940CE">
        <w:rPr>
          <w:sz w:val="22"/>
          <w:lang w:val="en-US"/>
        </w:rPr>
        <w:t>.14.2.1</w:t>
      </w:r>
    </w:p>
    <w:p w14:paraId="385E2C9B" w14:textId="2BCEDB04" w:rsidR="008A22CF" w:rsidRPr="002940CE" w:rsidRDefault="008A22CF" w:rsidP="008A22CF">
      <w:pPr>
        <w:pStyle w:val="3GPPHeader"/>
        <w:rPr>
          <w:sz w:val="22"/>
          <w:lang w:val="en-US"/>
        </w:rPr>
      </w:pPr>
      <w:r w:rsidRPr="002940CE">
        <w:rPr>
          <w:sz w:val="22"/>
          <w:lang w:val="en-US"/>
        </w:rPr>
        <w:t>Document for:</w:t>
      </w:r>
      <w:r w:rsidRPr="002940CE">
        <w:rPr>
          <w:sz w:val="22"/>
          <w:lang w:val="en-US"/>
        </w:rPr>
        <w:tab/>
      </w:r>
      <w:r w:rsidR="003D5273" w:rsidRPr="002940CE">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021ED471" w14:textId="2EFFD34D" w:rsidR="003B17FB" w:rsidRPr="002940CE" w:rsidRDefault="003B17FB" w:rsidP="0037520A">
      <w:pPr>
        <w:rPr>
          <w:lang w:val="en-US"/>
        </w:rPr>
      </w:pPr>
      <w:r w:rsidRPr="002940CE">
        <w:rPr>
          <w:lang w:val="en-US"/>
        </w:rPr>
        <w:t xml:space="preserve">RAN4 has </w:t>
      </w:r>
      <w:r w:rsidR="00E874AA" w:rsidRPr="002940CE">
        <w:rPr>
          <w:lang w:val="en-US"/>
        </w:rPr>
        <w:t xml:space="preserve">discussed </w:t>
      </w:r>
      <w:r w:rsidRPr="002940CE">
        <w:rPr>
          <w:lang w:val="en-US"/>
        </w:rPr>
        <w:t xml:space="preserve">RRM requirements for </w:t>
      </w:r>
      <w:r w:rsidR="00E874AA" w:rsidRPr="002940CE">
        <w:rPr>
          <w:lang w:val="en-US"/>
        </w:rPr>
        <w:t xml:space="preserve">relaxed </w:t>
      </w:r>
      <w:r w:rsidRPr="002940CE">
        <w:rPr>
          <w:lang w:val="en-US"/>
        </w:rPr>
        <w:t xml:space="preserve">RLM and BFD </w:t>
      </w:r>
      <w:r w:rsidR="00E874AA" w:rsidRPr="002940CE">
        <w:rPr>
          <w:lang w:val="en-US"/>
        </w:rPr>
        <w:t xml:space="preserve">for last several meetings and </w:t>
      </w:r>
      <w:r w:rsidRPr="002940CE">
        <w:rPr>
          <w:lang w:val="en-US"/>
        </w:rPr>
        <w:t xml:space="preserve">good progress has been reached. </w:t>
      </w:r>
      <w:r w:rsidR="00B00B87" w:rsidRPr="002940CE">
        <w:rPr>
          <w:lang w:val="en-US"/>
        </w:rPr>
        <w:t xml:space="preserve">The outcome of the discussions from last meeting were summarized in a way forward documents in [1], and a </w:t>
      </w:r>
      <w:r w:rsidRPr="002940CE">
        <w:rPr>
          <w:lang w:val="en-US"/>
        </w:rPr>
        <w:t>LS was sent to RAN2 containing the RAN4 agreements</w:t>
      </w:r>
      <w:r w:rsidR="00B00B87" w:rsidRPr="002940CE">
        <w:rPr>
          <w:lang w:val="en-US"/>
        </w:rPr>
        <w:t xml:space="preserve"> [2]</w:t>
      </w:r>
      <w:r w:rsidRPr="002940CE">
        <w:rPr>
          <w:lang w:val="en-US"/>
        </w:rPr>
        <w:t>.</w:t>
      </w:r>
      <w:r w:rsidR="002C3789" w:rsidRPr="002940CE">
        <w:rPr>
          <w:lang w:val="en-US"/>
        </w:rPr>
        <w:t xml:space="preserve"> In this contribution, we discus</w:t>
      </w:r>
      <w:r w:rsidR="00867886" w:rsidRPr="002940CE">
        <w:rPr>
          <w:lang w:val="en-US"/>
        </w:rPr>
        <w:t xml:space="preserve">s and provide our view on the </w:t>
      </w:r>
      <w:r w:rsidR="002C3789" w:rsidRPr="002940CE">
        <w:rPr>
          <w:lang w:val="en-US"/>
        </w:rPr>
        <w:t>remaining issu</w:t>
      </w:r>
      <w:r w:rsidR="00867886" w:rsidRPr="002940CE">
        <w:rPr>
          <w:lang w:val="en-US"/>
        </w:rPr>
        <w:t xml:space="preserve">es. </w:t>
      </w:r>
    </w:p>
    <w:p w14:paraId="145D52C9" w14:textId="77777777" w:rsidR="003939DC" w:rsidRDefault="009B01F8" w:rsidP="00032A2C">
      <w:pPr>
        <w:pStyle w:val="Heading1"/>
        <w:rPr>
          <w:lang w:val="en-US"/>
        </w:rPr>
      </w:pPr>
      <w:r w:rsidRPr="005D2973">
        <w:rPr>
          <w:lang w:val="en-US"/>
        </w:rPr>
        <w:t>2</w:t>
      </w:r>
      <w:r w:rsidRPr="005D2973">
        <w:rPr>
          <w:lang w:val="en-US"/>
        </w:rPr>
        <w:tab/>
      </w:r>
      <w:r w:rsidR="00F43608" w:rsidRPr="005D2973">
        <w:rPr>
          <w:lang w:val="en-US"/>
        </w:rPr>
        <w:t>Discussions</w:t>
      </w:r>
      <w:r w:rsidR="00E72A3D" w:rsidRPr="005D2973">
        <w:rPr>
          <w:lang w:val="en-US"/>
        </w:rPr>
        <w:t xml:space="preserve"> o</w:t>
      </w:r>
      <w:r w:rsidR="008D63C1" w:rsidRPr="005D2973">
        <w:rPr>
          <w:lang w:val="en-US"/>
        </w:rPr>
        <w:t>n the open issues</w:t>
      </w:r>
    </w:p>
    <w:p w14:paraId="6BF30A48" w14:textId="00A750F9" w:rsidR="006075C4" w:rsidRDefault="003E4875" w:rsidP="006075C4">
      <w:pPr>
        <w:pStyle w:val="Heading2"/>
        <w:overflowPunct/>
        <w:autoSpaceDE/>
        <w:autoSpaceDN/>
        <w:adjustRightInd/>
        <w:spacing w:line="259" w:lineRule="auto"/>
        <w:ind w:left="576" w:hanging="576"/>
        <w:textAlignment w:val="auto"/>
        <w:rPr>
          <w:rFonts w:eastAsia="SimSun"/>
          <w:sz w:val="28"/>
          <w:szCs w:val="18"/>
          <w:lang w:val="en-US" w:eastAsia="zh-CN"/>
        </w:rPr>
      </w:pPr>
      <w:r>
        <w:rPr>
          <w:rFonts w:eastAsia="SimSun"/>
          <w:sz w:val="28"/>
          <w:szCs w:val="18"/>
          <w:lang w:val="en-US" w:eastAsia="zh-CN"/>
        </w:rPr>
        <w:t xml:space="preserve">2.1 </w:t>
      </w:r>
      <w:r w:rsidR="00D82D99" w:rsidRPr="00994466">
        <w:rPr>
          <w:rFonts w:eastAsia="SimSun"/>
          <w:sz w:val="28"/>
          <w:szCs w:val="18"/>
          <w:lang w:val="en-US" w:eastAsia="zh-CN"/>
        </w:rPr>
        <w:t>Relaxation applicability</w:t>
      </w:r>
    </w:p>
    <w:p w14:paraId="2DDA1189" w14:textId="69D28922" w:rsidR="00F16D1F" w:rsidRPr="002940CE" w:rsidRDefault="00F16D1F" w:rsidP="00F16D1F">
      <w:pPr>
        <w:rPr>
          <w:b/>
          <w:u w:val="single"/>
          <w:lang w:val="en-US" w:eastAsia="zh-CN"/>
        </w:rPr>
      </w:pPr>
      <w:r w:rsidRPr="002940CE">
        <w:rPr>
          <w:b/>
          <w:u w:val="single"/>
          <w:lang w:val="en-US" w:eastAsia="zh-CN"/>
        </w:rPr>
        <w:t>UE capability for low mobility criterion</w:t>
      </w:r>
    </w:p>
    <w:p w14:paraId="44324000" w14:textId="2C7784E0" w:rsidR="00956542" w:rsidRPr="00B82ED6" w:rsidRDefault="00CD0A2B" w:rsidP="00994466">
      <w:pPr>
        <w:rPr>
          <w:lang w:val="en-US"/>
        </w:rPr>
      </w:pPr>
      <w:r w:rsidRPr="00B82ED6">
        <w:rPr>
          <w:lang w:val="en-US" w:eastAsia="zh-CN"/>
        </w:rPr>
        <w:t xml:space="preserve">It was discussed </w:t>
      </w:r>
      <w:r w:rsidR="007C17EC" w:rsidRPr="00B82ED6">
        <w:rPr>
          <w:lang w:val="en-US" w:eastAsia="zh-CN"/>
        </w:rPr>
        <w:t xml:space="preserve">at last meeting whether to introduce a UE capability on supporting low mobility criterion for Rel-17 UE power saving. </w:t>
      </w:r>
      <w:r w:rsidR="00977D7C" w:rsidRPr="00B82ED6">
        <w:rPr>
          <w:lang w:val="en-US" w:eastAsia="zh-CN"/>
        </w:rPr>
        <w:t>The UE capability is typically discussed at the end of the work item</w:t>
      </w:r>
      <w:r w:rsidR="00956542" w:rsidRPr="00B82ED6">
        <w:rPr>
          <w:lang w:val="en-US" w:eastAsia="zh-CN"/>
        </w:rPr>
        <w:t>. As per</w:t>
      </w:r>
      <w:r w:rsidR="00131317" w:rsidRPr="00B82ED6">
        <w:rPr>
          <w:lang w:val="en-US" w:eastAsia="zh-CN"/>
        </w:rPr>
        <w:t xml:space="preserve"> earlier RAN4</w:t>
      </w:r>
      <w:r w:rsidR="00956542" w:rsidRPr="00B82ED6">
        <w:rPr>
          <w:lang w:val="en-US" w:eastAsia="zh-CN"/>
        </w:rPr>
        <w:t xml:space="preserve"> agreement, both Rel-16 and Rel-17 low mobility criterion can be used for </w:t>
      </w:r>
      <w:r w:rsidR="00131317" w:rsidRPr="00B82ED6">
        <w:rPr>
          <w:lang w:val="en-US" w:eastAsia="zh-CN"/>
        </w:rPr>
        <w:t xml:space="preserve">determining the low mobility state for </w:t>
      </w:r>
      <w:r w:rsidR="00956542" w:rsidRPr="00B82ED6">
        <w:rPr>
          <w:lang w:val="en-US" w:eastAsia="zh-CN"/>
        </w:rPr>
        <w:t>Rel-17 UE power saving</w:t>
      </w:r>
      <w:r w:rsidR="00131317" w:rsidRPr="00B82ED6">
        <w:rPr>
          <w:lang w:val="en-US" w:eastAsia="zh-CN"/>
        </w:rPr>
        <w:t xml:space="preserve">. </w:t>
      </w:r>
      <w:proofErr w:type="gramStart"/>
      <w:r w:rsidR="00131317" w:rsidRPr="00B82ED6">
        <w:rPr>
          <w:lang w:val="en-US" w:eastAsia="zh-CN"/>
        </w:rPr>
        <w:t>Therefore</w:t>
      </w:r>
      <w:proofErr w:type="gramEnd"/>
      <w:r w:rsidR="00131317" w:rsidRPr="00B82ED6">
        <w:rPr>
          <w:lang w:val="en-US" w:eastAsia="zh-CN"/>
        </w:rPr>
        <w:t xml:space="preserve"> the low mobility UE capability from R</w:t>
      </w:r>
      <w:r w:rsidR="00956542" w:rsidRPr="00B82ED6">
        <w:rPr>
          <w:lang w:val="en-US" w:eastAsia="zh-CN"/>
        </w:rPr>
        <w:t xml:space="preserve">el-16 UE power saving can be reused. </w:t>
      </w:r>
    </w:p>
    <w:p w14:paraId="0031620E" w14:textId="2B51EA31" w:rsidR="00131317" w:rsidRPr="002940CE" w:rsidRDefault="00C51095" w:rsidP="00131317">
      <w:pPr>
        <w:pStyle w:val="ListParagraph"/>
        <w:numPr>
          <w:ilvl w:val="0"/>
          <w:numId w:val="24"/>
        </w:numPr>
        <w:rPr>
          <w:lang w:val="en-US" w:eastAsia="zh-CN"/>
        </w:rPr>
      </w:pPr>
      <w:r w:rsidRPr="002940CE">
        <w:rPr>
          <w:b/>
          <w:lang w:val="en-US" w:eastAsia="zh-CN"/>
        </w:rPr>
        <w:t xml:space="preserve">Proposal #1: </w:t>
      </w:r>
      <w:r w:rsidR="00172488" w:rsidRPr="002940CE">
        <w:rPr>
          <w:lang w:val="en-US" w:eastAsia="zh-CN"/>
        </w:rPr>
        <w:t>UE capability from Rel-16 low mobility criterion is reused for low mobility criterion in Rel-17 UE power saving requirements.</w:t>
      </w:r>
    </w:p>
    <w:p w14:paraId="00922A21" w14:textId="77777777" w:rsidR="00172488" w:rsidRPr="002940CE" w:rsidRDefault="00172488" w:rsidP="00B048E5">
      <w:pPr>
        <w:rPr>
          <w:lang w:val="en-US" w:eastAsia="zh-CN"/>
        </w:rPr>
      </w:pPr>
    </w:p>
    <w:p w14:paraId="245C72B8" w14:textId="260D1A3B" w:rsidR="00994466" w:rsidRPr="002940CE" w:rsidRDefault="00AD588A" w:rsidP="00994466">
      <w:pPr>
        <w:rPr>
          <w:b/>
          <w:u w:val="single"/>
          <w:lang w:val="en-US" w:eastAsia="zh-CN"/>
        </w:rPr>
      </w:pPr>
      <w:r w:rsidRPr="002940CE">
        <w:rPr>
          <w:b/>
          <w:u w:val="single"/>
          <w:lang w:val="en-US" w:eastAsia="zh-CN"/>
        </w:rPr>
        <w:t>Configuration of good serving cell quality</w:t>
      </w:r>
    </w:p>
    <w:p w14:paraId="1B94D34C" w14:textId="3DE2F425" w:rsidR="00AD588A" w:rsidRPr="002940CE" w:rsidRDefault="004027DD" w:rsidP="00C26E1C">
      <w:pPr>
        <w:rPr>
          <w:lang w:val="en-US" w:eastAsia="zh-CN"/>
        </w:rPr>
      </w:pPr>
      <w:r w:rsidRPr="002940CE">
        <w:rPr>
          <w:lang w:val="en-US" w:eastAsia="zh-CN"/>
        </w:rPr>
        <w:t>It was agreed at last meeting that configuration of low mobility criterion is not mandatory for the network</w:t>
      </w:r>
      <w:r w:rsidR="00B20499" w:rsidRPr="002940CE">
        <w:rPr>
          <w:lang w:val="en-US" w:eastAsia="zh-CN"/>
        </w:rPr>
        <w:t xml:space="preserve"> [1]. </w:t>
      </w:r>
      <w:r w:rsidR="00386F1D" w:rsidRPr="002940CE">
        <w:rPr>
          <w:lang w:val="en-US" w:eastAsia="zh-CN"/>
        </w:rPr>
        <w:t xml:space="preserve">Following the same approach, </w:t>
      </w:r>
      <w:r w:rsidR="00C439E7" w:rsidRPr="002940CE">
        <w:rPr>
          <w:lang w:val="en-US" w:eastAsia="zh-CN"/>
        </w:rPr>
        <w:t>we</w:t>
      </w:r>
      <w:r w:rsidR="00386F1D" w:rsidRPr="002940CE">
        <w:rPr>
          <w:lang w:val="en-US" w:eastAsia="zh-CN"/>
        </w:rPr>
        <w:t xml:space="preserve"> support the option of having the good serving cell quality </w:t>
      </w:r>
      <w:r w:rsidR="00C439E7" w:rsidRPr="002940CE">
        <w:rPr>
          <w:lang w:val="en-US" w:eastAsia="zh-CN"/>
        </w:rPr>
        <w:t>criterion as</w:t>
      </w:r>
      <w:r w:rsidR="00386F1D" w:rsidRPr="002940CE">
        <w:rPr>
          <w:lang w:val="en-US" w:eastAsia="zh-CN"/>
        </w:rPr>
        <w:t xml:space="preserve"> </w:t>
      </w:r>
      <w:r w:rsidR="00C439E7" w:rsidRPr="002940CE">
        <w:rPr>
          <w:lang w:val="en-US" w:eastAsia="zh-CN"/>
        </w:rPr>
        <w:t xml:space="preserve">an </w:t>
      </w:r>
      <w:r w:rsidR="00386F1D" w:rsidRPr="002940CE">
        <w:rPr>
          <w:lang w:val="en-US" w:eastAsia="zh-CN"/>
        </w:rPr>
        <w:t xml:space="preserve">optional configuration for the network. </w:t>
      </w:r>
      <w:r w:rsidR="00C439E7" w:rsidRPr="002940CE">
        <w:rPr>
          <w:lang w:val="en-US" w:eastAsia="zh-CN"/>
        </w:rPr>
        <w:t xml:space="preserve">Since UE needs to evaluate both low mobility and good serving cell quality criterion to determine whether to apply relaxed requirements, having only the good serving cell quality criterion as mandatory does not </w:t>
      </w:r>
      <w:r w:rsidR="00C26E1C" w:rsidRPr="002940CE">
        <w:rPr>
          <w:lang w:val="en-US" w:eastAsia="zh-CN"/>
        </w:rPr>
        <w:t xml:space="preserve">lead to </w:t>
      </w:r>
      <w:r w:rsidR="00C439E7" w:rsidRPr="002940CE">
        <w:rPr>
          <w:lang w:val="en-US" w:eastAsia="zh-CN"/>
        </w:rPr>
        <w:t xml:space="preserve">any benefit. </w:t>
      </w:r>
    </w:p>
    <w:p w14:paraId="46BD029D" w14:textId="6290F2B7" w:rsidR="00AE5370" w:rsidRPr="002940CE" w:rsidRDefault="00AE5370" w:rsidP="00AE5370">
      <w:pPr>
        <w:pStyle w:val="ListParagraph"/>
        <w:numPr>
          <w:ilvl w:val="0"/>
          <w:numId w:val="24"/>
        </w:numPr>
        <w:rPr>
          <w:lang w:val="en-US" w:eastAsia="zh-CN"/>
        </w:rPr>
      </w:pPr>
      <w:r w:rsidRPr="002940CE">
        <w:rPr>
          <w:b/>
          <w:lang w:val="en-US" w:eastAsia="zh-CN"/>
        </w:rPr>
        <w:t xml:space="preserve">Proposal #2: </w:t>
      </w:r>
      <w:r w:rsidR="00E62210" w:rsidRPr="002940CE">
        <w:rPr>
          <w:lang w:val="en-US" w:eastAsia="zh-CN"/>
        </w:rPr>
        <w:t>Good serving cell quality criterion</w:t>
      </w:r>
      <w:r w:rsidR="00AA282D" w:rsidRPr="002940CE">
        <w:rPr>
          <w:lang w:val="en-US" w:eastAsia="zh-CN"/>
        </w:rPr>
        <w:t>, which is used for determin</w:t>
      </w:r>
      <w:r w:rsidR="00B50A94" w:rsidRPr="002940CE">
        <w:rPr>
          <w:lang w:val="en-US" w:eastAsia="zh-CN"/>
        </w:rPr>
        <w:t>ing</w:t>
      </w:r>
      <w:r w:rsidR="00AA282D" w:rsidRPr="002940CE">
        <w:rPr>
          <w:lang w:val="en-US" w:eastAsia="zh-CN"/>
        </w:rPr>
        <w:t xml:space="preserve"> whether to apply relaxed RLM/BFD, </w:t>
      </w:r>
      <w:r w:rsidR="00E62210" w:rsidRPr="002940CE">
        <w:rPr>
          <w:lang w:val="en-US" w:eastAsia="zh-CN"/>
        </w:rPr>
        <w:t xml:space="preserve">is not mandatory to be configured by the NW. </w:t>
      </w:r>
    </w:p>
    <w:p w14:paraId="6DBC5196" w14:textId="77777777" w:rsidR="00B36D5D" w:rsidRPr="002940CE" w:rsidRDefault="00B36D5D" w:rsidP="00B36D5D">
      <w:pPr>
        <w:pStyle w:val="ListParagraph"/>
        <w:rPr>
          <w:lang w:val="en-US" w:eastAsia="zh-CN"/>
        </w:rPr>
      </w:pPr>
    </w:p>
    <w:p w14:paraId="6A7CF1FE" w14:textId="6491170B" w:rsidR="00D3112F" w:rsidRPr="002940CE" w:rsidRDefault="00D3112F" w:rsidP="00D3112F">
      <w:pPr>
        <w:rPr>
          <w:b/>
          <w:u w:val="single"/>
          <w:lang w:val="en-US" w:eastAsia="zh-CN"/>
        </w:rPr>
      </w:pPr>
      <w:r w:rsidRPr="002940CE">
        <w:rPr>
          <w:b/>
          <w:u w:val="single"/>
          <w:lang w:val="en-US" w:eastAsia="zh-CN"/>
        </w:rPr>
        <w:t>Explicit indication to enable RLM/BFD relaxation</w:t>
      </w:r>
    </w:p>
    <w:p w14:paraId="1D984029" w14:textId="3D53296D" w:rsidR="00E57459" w:rsidRPr="002940CE" w:rsidRDefault="00E57459" w:rsidP="00D3112F">
      <w:pPr>
        <w:rPr>
          <w:lang w:val="en-US" w:eastAsia="zh-CN"/>
        </w:rPr>
      </w:pPr>
      <w:r w:rsidRPr="002940CE">
        <w:rPr>
          <w:lang w:val="en-US" w:eastAsia="zh-CN"/>
        </w:rPr>
        <w:lastRenderedPageBreak/>
        <w:t xml:space="preserve">The use case </w:t>
      </w:r>
      <w:r w:rsidR="004A4C58" w:rsidRPr="002940CE">
        <w:rPr>
          <w:lang w:val="en-US" w:eastAsia="zh-CN"/>
        </w:rPr>
        <w:t xml:space="preserve">for having an </w:t>
      </w:r>
      <w:r w:rsidRPr="002940CE">
        <w:rPr>
          <w:lang w:val="en-US" w:eastAsia="zh-CN"/>
        </w:rPr>
        <w:t xml:space="preserve">explicit indication is not entirely clear and needs more discussion. It has been discussed earlier </w:t>
      </w:r>
      <w:r w:rsidR="00C12158" w:rsidRPr="002940CE">
        <w:rPr>
          <w:lang w:val="en-US" w:eastAsia="zh-CN"/>
        </w:rPr>
        <w:t xml:space="preserve">to have an explicit indication to enable or disable </w:t>
      </w:r>
      <w:r w:rsidRPr="002940CE">
        <w:rPr>
          <w:lang w:val="en-US" w:eastAsia="zh-CN"/>
        </w:rPr>
        <w:t>relaxed RLM/BFD feature</w:t>
      </w:r>
      <w:r w:rsidR="00C12158" w:rsidRPr="002940CE">
        <w:rPr>
          <w:lang w:val="en-US" w:eastAsia="zh-CN"/>
        </w:rPr>
        <w:t xml:space="preserve">. Such indication can be very useful as the NW can based on own collected data enable or disable this feature. </w:t>
      </w:r>
      <w:r w:rsidR="004A4C58" w:rsidRPr="002940CE">
        <w:rPr>
          <w:lang w:val="en-US" w:eastAsia="zh-CN"/>
        </w:rPr>
        <w:t>In our understanding, t</w:t>
      </w:r>
      <w:r w:rsidRPr="002940CE">
        <w:rPr>
          <w:lang w:val="en-US" w:eastAsia="zh-CN"/>
        </w:rPr>
        <w:t>his particular indication is related to having another possibility for the NW to indicate that the good serving cell quality is sufficient to apply relaxation. It shall however be noted that UE still needs to meet the other remaining criteria to enter the relaxed mode.</w:t>
      </w:r>
      <w:r w:rsidR="00E86480" w:rsidRPr="002940CE">
        <w:rPr>
          <w:lang w:val="en-US" w:eastAsia="zh-CN"/>
        </w:rPr>
        <w:t xml:space="preserve"> If the good serving cell quality criterion is configured or predefined, then it should be the task of the UE to evaluate it and there is no clear benefit in explicitly indicating that UE has fulfilled those.</w:t>
      </w:r>
    </w:p>
    <w:p w14:paraId="5872643C" w14:textId="30842ACF" w:rsidR="00C11709" w:rsidRPr="002940CE" w:rsidRDefault="008C45AF" w:rsidP="00C86853">
      <w:pPr>
        <w:pStyle w:val="ListParagraph"/>
        <w:numPr>
          <w:ilvl w:val="0"/>
          <w:numId w:val="24"/>
        </w:numPr>
        <w:rPr>
          <w:lang w:val="en-US" w:eastAsia="zh-CN"/>
        </w:rPr>
      </w:pPr>
      <w:r w:rsidRPr="002940CE">
        <w:rPr>
          <w:b/>
          <w:lang w:val="en-US" w:eastAsia="zh-CN"/>
        </w:rPr>
        <w:t xml:space="preserve">Proposal </w:t>
      </w:r>
      <w:r w:rsidR="00C86853" w:rsidRPr="002940CE">
        <w:rPr>
          <w:b/>
          <w:lang w:val="en-US" w:eastAsia="zh-CN"/>
        </w:rPr>
        <w:t>#</w:t>
      </w:r>
      <w:r w:rsidR="00823A48" w:rsidRPr="002940CE">
        <w:rPr>
          <w:b/>
          <w:lang w:val="en-US" w:eastAsia="zh-CN"/>
        </w:rPr>
        <w:t>3</w:t>
      </w:r>
      <w:r w:rsidR="00C86853" w:rsidRPr="002940CE">
        <w:rPr>
          <w:b/>
          <w:lang w:val="en-US" w:eastAsia="zh-CN"/>
        </w:rPr>
        <w:t xml:space="preserve">: </w:t>
      </w:r>
      <w:r w:rsidRPr="002940CE">
        <w:rPr>
          <w:lang w:val="en-US" w:eastAsia="zh-CN"/>
        </w:rPr>
        <w:t xml:space="preserve">Allow an explicit indication </w:t>
      </w:r>
      <w:r w:rsidR="00DD3E7B" w:rsidRPr="002940CE">
        <w:rPr>
          <w:lang w:val="en-US" w:eastAsia="zh-CN"/>
        </w:rPr>
        <w:t>from NW to UE</w:t>
      </w:r>
      <w:r w:rsidRPr="002940CE">
        <w:rPr>
          <w:lang w:val="en-US" w:eastAsia="zh-CN"/>
        </w:rPr>
        <w:t xml:space="preserve"> to relax the RLM/</w:t>
      </w:r>
      <w:r w:rsidR="008E684F" w:rsidRPr="002940CE">
        <w:rPr>
          <w:lang w:val="en-US" w:eastAsia="zh-CN"/>
        </w:rPr>
        <w:t>B</w:t>
      </w:r>
      <w:r w:rsidRPr="002940CE">
        <w:rPr>
          <w:lang w:val="en-US" w:eastAsia="zh-CN"/>
        </w:rPr>
        <w:t>FD measurements irrespective of the relaxation criteria configuration.</w:t>
      </w:r>
      <w:r w:rsidRPr="002940CE">
        <w:rPr>
          <w:b/>
          <w:lang w:val="en-US" w:eastAsia="zh-CN"/>
        </w:rPr>
        <w:t xml:space="preserve"> </w:t>
      </w:r>
      <w:r w:rsidRPr="002940CE">
        <w:rPr>
          <w:b/>
          <w:lang w:val="en-US" w:eastAsia="zh-CN"/>
        </w:rPr>
        <w:br/>
      </w:r>
    </w:p>
    <w:p w14:paraId="56780D95" w14:textId="2F77BD7B" w:rsidR="00C86853" w:rsidRPr="002940CE" w:rsidRDefault="00C11709" w:rsidP="00C86853">
      <w:pPr>
        <w:pStyle w:val="ListParagraph"/>
        <w:numPr>
          <w:ilvl w:val="0"/>
          <w:numId w:val="24"/>
        </w:numPr>
        <w:rPr>
          <w:lang w:val="en-US" w:eastAsia="zh-CN"/>
        </w:rPr>
      </w:pPr>
      <w:r w:rsidRPr="002940CE">
        <w:rPr>
          <w:b/>
          <w:lang w:val="en-US" w:eastAsia="zh-CN"/>
        </w:rPr>
        <w:t>Proposal #</w:t>
      </w:r>
      <w:r w:rsidR="00823A48" w:rsidRPr="002940CE">
        <w:rPr>
          <w:b/>
          <w:lang w:val="en-US" w:eastAsia="zh-CN"/>
        </w:rPr>
        <w:t>4</w:t>
      </w:r>
      <w:r w:rsidRPr="002940CE">
        <w:rPr>
          <w:b/>
          <w:lang w:val="en-US" w:eastAsia="zh-CN"/>
        </w:rPr>
        <w:t xml:space="preserve">: </w:t>
      </w:r>
      <w:r w:rsidR="00163D77" w:rsidRPr="002940CE">
        <w:rPr>
          <w:lang w:val="en-US" w:eastAsia="zh-CN"/>
        </w:rPr>
        <w:t xml:space="preserve">The benefit of having an explicit indication to indicate the good serving cell quality shall be evaluated needs more discussions. </w:t>
      </w:r>
      <w:r w:rsidR="00C86853" w:rsidRPr="002940CE">
        <w:rPr>
          <w:b/>
          <w:lang w:val="en-US" w:eastAsia="zh-CN"/>
        </w:rPr>
        <w:t xml:space="preserve"> </w:t>
      </w:r>
    </w:p>
    <w:p w14:paraId="6119272B" w14:textId="5C437EF1" w:rsidR="00E86480" w:rsidRPr="002940CE" w:rsidRDefault="00E86480" w:rsidP="00D3112F">
      <w:pPr>
        <w:rPr>
          <w:lang w:val="en-US" w:eastAsia="zh-CN"/>
        </w:rPr>
      </w:pPr>
    </w:p>
    <w:p w14:paraId="0A67D66A" w14:textId="015D4AE4" w:rsidR="009033D0" w:rsidRDefault="009033D0" w:rsidP="009033D0">
      <w:pPr>
        <w:pStyle w:val="Heading2"/>
        <w:overflowPunct/>
        <w:autoSpaceDE/>
        <w:autoSpaceDN/>
        <w:adjustRightInd/>
        <w:spacing w:line="259" w:lineRule="auto"/>
        <w:ind w:left="576" w:hanging="576"/>
        <w:textAlignment w:val="auto"/>
        <w:rPr>
          <w:rFonts w:eastAsia="SimSun"/>
          <w:sz w:val="28"/>
          <w:szCs w:val="18"/>
          <w:lang w:val="en-US" w:eastAsia="zh-CN"/>
        </w:rPr>
      </w:pPr>
      <w:r>
        <w:rPr>
          <w:rFonts w:eastAsia="SimSun"/>
          <w:sz w:val="28"/>
          <w:szCs w:val="18"/>
          <w:lang w:val="en-US" w:eastAsia="zh-CN"/>
        </w:rPr>
        <w:t>2.2 Low mobility criteria</w:t>
      </w:r>
    </w:p>
    <w:p w14:paraId="730ED01C" w14:textId="38F44E21" w:rsidR="009033D0" w:rsidRPr="002940CE" w:rsidRDefault="00DE05E5" w:rsidP="009033D0">
      <w:pPr>
        <w:rPr>
          <w:b/>
          <w:u w:val="single"/>
          <w:lang w:val="en-US" w:eastAsia="zh-CN"/>
        </w:rPr>
      </w:pPr>
      <w:r w:rsidRPr="002940CE">
        <w:rPr>
          <w:b/>
          <w:u w:val="single"/>
          <w:lang w:val="en-US" w:eastAsia="zh-CN"/>
        </w:rPr>
        <w:t>RS for L3 RSRP in low mobility criterion</w:t>
      </w:r>
    </w:p>
    <w:p w14:paraId="585EDE2C" w14:textId="526864EA" w:rsidR="00F23234" w:rsidRPr="002940CE" w:rsidRDefault="00DB575E" w:rsidP="009033D0">
      <w:pPr>
        <w:rPr>
          <w:lang w:val="en-US" w:eastAsia="zh-CN"/>
        </w:rPr>
      </w:pPr>
      <w:r w:rsidRPr="002940CE">
        <w:rPr>
          <w:lang w:val="en-US" w:eastAsia="zh-CN"/>
        </w:rPr>
        <w:t>At last meeting it was agreed to use the SSB based intra-frequency L3 RSRP measurement of the serving cell to evaluate the low mobility criteria</w:t>
      </w:r>
      <w:r w:rsidR="00BE1958" w:rsidRPr="002940CE">
        <w:rPr>
          <w:lang w:val="en-US" w:eastAsia="zh-CN"/>
        </w:rPr>
        <w:t xml:space="preserve"> [1]</w:t>
      </w:r>
      <w:r w:rsidRPr="002940CE">
        <w:rPr>
          <w:lang w:val="en-US" w:eastAsia="zh-CN"/>
        </w:rPr>
        <w:t xml:space="preserve">. </w:t>
      </w:r>
      <w:r w:rsidR="001E17D8" w:rsidRPr="002940CE">
        <w:rPr>
          <w:lang w:val="en-US" w:eastAsia="zh-CN"/>
        </w:rPr>
        <w:t xml:space="preserve">The open issues include whether to further consider L3 CSI-RS or additional </w:t>
      </w:r>
      <w:r w:rsidR="00F23234" w:rsidRPr="002940CE">
        <w:rPr>
          <w:lang w:val="en-US" w:eastAsia="zh-CN"/>
        </w:rPr>
        <w:t>beam level conditions.</w:t>
      </w:r>
      <w:r w:rsidR="00736DED" w:rsidRPr="002940CE">
        <w:rPr>
          <w:lang w:val="en-US" w:eastAsia="zh-CN"/>
        </w:rPr>
        <w:t xml:space="preserve"> </w:t>
      </w:r>
      <w:r w:rsidR="00BE1958" w:rsidRPr="002940CE">
        <w:rPr>
          <w:lang w:val="en-US" w:eastAsia="zh-CN"/>
        </w:rPr>
        <w:t>The current agreement based on SSB is sufficient as it is the fundamental RS required for basic operation</w:t>
      </w:r>
      <w:r w:rsidR="006F6635" w:rsidRPr="002940CE">
        <w:rPr>
          <w:lang w:val="en-US" w:eastAsia="zh-CN"/>
        </w:rPr>
        <w:t xml:space="preserve"> and there is no need further enhance the feature for other optional capabilities. </w:t>
      </w:r>
    </w:p>
    <w:p w14:paraId="3F764711" w14:textId="1FACE0D1" w:rsidR="00F23234" w:rsidRPr="002940CE" w:rsidRDefault="00F012EA" w:rsidP="00F012EA">
      <w:pPr>
        <w:pStyle w:val="ListParagraph"/>
        <w:numPr>
          <w:ilvl w:val="0"/>
          <w:numId w:val="24"/>
        </w:numPr>
        <w:rPr>
          <w:lang w:val="en-US" w:eastAsia="zh-CN"/>
        </w:rPr>
      </w:pPr>
      <w:r w:rsidRPr="002940CE">
        <w:rPr>
          <w:b/>
          <w:lang w:val="en-US" w:eastAsia="zh-CN"/>
        </w:rPr>
        <w:t>Proposal #</w:t>
      </w:r>
      <w:r w:rsidR="00823A48" w:rsidRPr="002940CE">
        <w:rPr>
          <w:b/>
          <w:lang w:val="en-US" w:eastAsia="zh-CN"/>
        </w:rPr>
        <w:t>5</w:t>
      </w:r>
      <w:r w:rsidRPr="002940CE">
        <w:rPr>
          <w:b/>
          <w:lang w:val="en-US" w:eastAsia="zh-CN"/>
        </w:rPr>
        <w:t xml:space="preserve">: </w:t>
      </w:r>
      <w:r w:rsidR="00B36EC1" w:rsidRPr="002940CE">
        <w:rPr>
          <w:lang w:val="en-US" w:eastAsia="zh-CN"/>
        </w:rPr>
        <w:t>The existing agreement to use SSB based L3-RSRP measurement of the serving cell to evaluate the low mobility criterion is sufficient.</w:t>
      </w:r>
    </w:p>
    <w:p w14:paraId="77434398" w14:textId="77777777" w:rsidR="00C06BBF" w:rsidRPr="002940CE" w:rsidRDefault="00C06BBF" w:rsidP="00CC577E">
      <w:pPr>
        <w:rPr>
          <w:b/>
          <w:u w:val="single"/>
          <w:lang w:val="en-US" w:eastAsia="zh-CN"/>
        </w:rPr>
      </w:pPr>
    </w:p>
    <w:p w14:paraId="5195A62C" w14:textId="630FFBFF" w:rsidR="00B36EC1" w:rsidRPr="002940CE" w:rsidRDefault="00C06BBF" w:rsidP="00CC577E">
      <w:pPr>
        <w:rPr>
          <w:b/>
          <w:u w:val="single"/>
          <w:lang w:val="en-US" w:eastAsia="zh-CN"/>
        </w:rPr>
      </w:pPr>
      <w:r w:rsidRPr="002940CE">
        <w:rPr>
          <w:b/>
          <w:u w:val="single"/>
          <w:lang w:val="en-US" w:eastAsia="zh-CN"/>
        </w:rPr>
        <w:t>Accuracy requirements for low mobility criteria</w:t>
      </w:r>
    </w:p>
    <w:p w14:paraId="42FCF360" w14:textId="4A9FEE3B" w:rsidR="00CC577E" w:rsidRPr="002940CE" w:rsidRDefault="00E406E7" w:rsidP="00CC577E">
      <w:pPr>
        <w:rPr>
          <w:lang w:val="en-US" w:eastAsia="zh-CN"/>
        </w:rPr>
      </w:pPr>
      <w:r w:rsidRPr="002940CE">
        <w:rPr>
          <w:lang w:val="en-US" w:eastAsia="zh-CN"/>
        </w:rPr>
        <w:t xml:space="preserve">It is important that the measurements used for determining the low mobility state of the UE are valid and reliable measurements. The RRM requirements used for evaluating the low mobility criteria shall therefore fulfill the corresponding measurement accuracy requirements which are defined in section 10 of TS 38.133. This way UE can avoid a situation where it mistakenly </w:t>
      </w:r>
      <w:proofErr w:type="gramStart"/>
      <w:r w:rsidRPr="002940CE">
        <w:rPr>
          <w:lang w:val="en-US" w:eastAsia="zh-CN"/>
        </w:rPr>
        <w:t>enters into</w:t>
      </w:r>
      <w:proofErr w:type="gramEnd"/>
      <w:r w:rsidRPr="002940CE">
        <w:rPr>
          <w:lang w:val="en-US" w:eastAsia="zh-CN"/>
        </w:rPr>
        <w:t xml:space="preserve"> a relaxed mode.</w:t>
      </w:r>
    </w:p>
    <w:p w14:paraId="09C80D32" w14:textId="46397031" w:rsidR="00E406E7" w:rsidRPr="002940CE" w:rsidRDefault="00401231" w:rsidP="00401231">
      <w:pPr>
        <w:pStyle w:val="ListParagraph"/>
        <w:numPr>
          <w:ilvl w:val="0"/>
          <w:numId w:val="24"/>
        </w:numPr>
        <w:rPr>
          <w:lang w:val="en-US" w:eastAsia="zh-CN"/>
        </w:rPr>
      </w:pPr>
      <w:r w:rsidRPr="002940CE">
        <w:rPr>
          <w:b/>
          <w:lang w:val="en-US" w:eastAsia="zh-CN"/>
        </w:rPr>
        <w:t>Proposal #</w:t>
      </w:r>
      <w:r w:rsidR="00823A48" w:rsidRPr="002940CE">
        <w:rPr>
          <w:b/>
          <w:lang w:val="en-US" w:eastAsia="zh-CN"/>
        </w:rPr>
        <w:t>6</w:t>
      </w:r>
      <w:r w:rsidRPr="002940CE">
        <w:rPr>
          <w:b/>
          <w:lang w:val="en-US" w:eastAsia="zh-CN"/>
        </w:rPr>
        <w:t xml:space="preserve">: </w:t>
      </w:r>
      <w:r w:rsidR="00CC73D7" w:rsidRPr="002940CE">
        <w:rPr>
          <w:lang w:val="en-US" w:eastAsia="zh-CN"/>
        </w:rPr>
        <w:t>The RRM measurements used for evaluating the low mobility criterion shall fulfill the measurement accuracy requirements.</w:t>
      </w:r>
    </w:p>
    <w:p w14:paraId="754694BA" w14:textId="77777777" w:rsidR="00D3083C" w:rsidRPr="002940CE" w:rsidRDefault="00D3083C" w:rsidP="00E44A93">
      <w:pPr>
        <w:rPr>
          <w:b/>
          <w:u w:val="single"/>
          <w:lang w:val="en-US" w:eastAsia="zh-CN"/>
        </w:rPr>
      </w:pPr>
    </w:p>
    <w:p w14:paraId="5AB5811B" w14:textId="1D843DE1" w:rsidR="00CC73D7" w:rsidRPr="002940CE" w:rsidRDefault="00E44A93" w:rsidP="00E44A93">
      <w:pPr>
        <w:rPr>
          <w:b/>
          <w:u w:val="single"/>
          <w:lang w:val="en-US" w:eastAsia="zh-CN"/>
        </w:rPr>
      </w:pPr>
      <w:r w:rsidRPr="002940CE">
        <w:rPr>
          <w:b/>
          <w:u w:val="single"/>
          <w:lang w:val="en-US" w:eastAsia="zh-CN"/>
        </w:rPr>
        <w:t>Additional factors to consider in low mobility criteria</w:t>
      </w:r>
    </w:p>
    <w:p w14:paraId="0A98F256" w14:textId="5D7C28BE" w:rsidR="00260743" w:rsidRPr="002940CE" w:rsidRDefault="005052B5" w:rsidP="00260743">
      <w:pPr>
        <w:rPr>
          <w:lang w:val="en-US" w:eastAsia="zh-CN"/>
        </w:rPr>
      </w:pPr>
      <w:r w:rsidRPr="002940CE">
        <w:rPr>
          <w:lang w:val="en-US" w:eastAsia="zh-CN"/>
        </w:rPr>
        <w:t xml:space="preserve">RAN4 is currently discussing whether to introduce additional conditions to determine the low mobility state based on following options: </w:t>
      </w:r>
    </w:p>
    <w:tbl>
      <w:tblPr>
        <w:tblStyle w:val="TableGrid"/>
        <w:tblW w:w="0" w:type="auto"/>
        <w:tblLook w:val="04A0" w:firstRow="1" w:lastRow="0" w:firstColumn="1" w:lastColumn="0" w:noHBand="0" w:noVBand="1"/>
      </w:tblPr>
      <w:tblGrid>
        <w:gridCol w:w="9629"/>
      </w:tblGrid>
      <w:tr w:rsidR="00260743" w:rsidRPr="00260743" w14:paraId="7E90180A" w14:textId="77777777" w:rsidTr="005D6155">
        <w:tc>
          <w:tcPr>
            <w:tcW w:w="9629" w:type="dxa"/>
          </w:tcPr>
          <w:p w14:paraId="56FA3EAB" w14:textId="77777777" w:rsidR="00577319" w:rsidRPr="00B82ED6" w:rsidRDefault="00577319" w:rsidP="00577319">
            <w:pPr>
              <w:pStyle w:val="ListParagraph"/>
              <w:numPr>
                <w:ilvl w:val="0"/>
                <w:numId w:val="15"/>
              </w:numPr>
              <w:spacing w:before="100" w:beforeAutospacing="1" w:after="120" w:line="240" w:lineRule="auto"/>
              <w:rPr>
                <w:rFonts w:eastAsia="SimSun"/>
                <w:lang w:val="en-US"/>
              </w:rPr>
            </w:pPr>
            <w:r w:rsidRPr="00B82ED6">
              <w:rPr>
                <w:rFonts w:eastAsia="SimSun"/>
                <w:lang w:val="en-US"/>
              </w:rPr>
              <w:t>Option 1: RAN4 additionally to define a low mobility criterion based on the number of serving beam changes over time (</w:t>
            </w:r>
            <w:proofErr w:type="gramStart"/>
            <w:r w:rsidRPr="00B82ED6">
              <w:rPr>
                <w:rFonts w:eastAsia="SimSun"/>
                <w:lang w:val="en-US"/>
              </w:rPr>
              <w:t>e.g.</w:t>
            </w:r>
            <w:proofErr w:type="gramEnd"/>
            <w:r w:rsidRPr="00B82ED6">
              <w:rPr>
                <w:rFonts w:eastAsia="SimSun"/>
                <w:lang w:val="en-US"/>
              </w:rPr>
              <w:t xml:space="preserve"> TCI state change)</w:t>
            </w:r>
            <w:r w:rsidRPr="00B82ED6">
              <w:rPr>
                <w:lang w:val="en-US"/>
              </w:rPr>
              <w:t xml:space="preserve"> (Nokia)</w:t>
            </w:r>
          </w:p>
          <w:p w14:paraId="5943110B" w14:textId="77777777" w:rsidR="00577319" w:rsidRPr="001748B8" w:rsidRDefault="00577319" w:rsidP="00577319">
            <w:pPr>
              <w:pStyle w:val="ListParagraph"/>
              <w:numPr>
                <w:ilvl w:val="1"/>
                <w:numId w:val="15"/>
              </w:numPr>
              <w:spacing w:before="100" w:beforeAutospacing="1" w:after="120" w:line="240" w:lineRule="auto"/>
              <w:rPr>
                <w:rFonts w:eastAsia="SimSun"/>
              </w:rPr>
            </w:pPr>
            <w:r w:rsidRPr="00B82ED6">
              <w:rPr>
                <w:lang w:val="en-US"/>
              </w:rPr>
              <w:lastRenderedPageBreak/>
              <w:t xml:space="preserve">It is up to network to configure if the low mobility criteria </w:t>
            </w:r>
            <w:proofErr w:type="gramStart"/>
            <w:r w:rsidRPr="00B82ED6">
              <w:rPr>
                <w:lang w:val="en-US"/>
              </w:rPr>
              <w:t>is</w:t>
            </w:r>
            <w:proofErr w:type="gramEnd"/>
            <w:r w:rsidRPr="00B82ED6">
              <w:rPr>
                <w:lang w:val="en-US"/>
              </w:rPr>
              <w:t xml:space="preserve"> based on RSRP variation or TCI changes, or the two in combination. </w:t>
            </w:r>
            <w:r>
              <w:rPr>
                <w:bCs/>
              </w:rPr>
              <w:t>(Nokia)</w:t>
            </w:r>
          </w:p>
          <w:p w14:paraId="7CF1B48D" w14:textId="77777777" w:rsidR="00577319" w:rsidRDefault="00577319" w:rsidP="00577319">
            <w:pPr>
              <w:pStyle w:val="ListParagraph"/>
              <w:numPr>
                <w:ilvl w:val="0"/>
                <w:numId w:val="15"/>
              </w:numPr>
              <w:spacing w:before="100" w:beforeAutospacing="1" w:after="120" w:line="240" w:lineRule="auto"/>
              <w:rPr>
                <w:rFonts w:eastAsia="SimSun"/>
              </w:rPr>
            </w:pPr>
            <w:r w:rsidRPr="00B82ED6">
              <w:rPr>
                <w:lang w:val="en-US"/>
              </w:rPr>
              <w:t>Option 1a: Relaxed mode operation for RLM/BFD is allowed if UE has not done any beam failure detection over last X (</w:t>
            </w:r>
            <w:proofErr w:type="gramStart"/>
            <w:r w:rsidRPr="00B82ED6">
              <w:rPr>
                <w:lang w:val="en-US"/>
              </w:rPr>
              <w:t>e.g.</w:t>
            </w:r>
            <w:proofErr w:type="gramEnd"/>
            <w:r w:rsidRPr="00B82ED6">
              <w:rPr>
                <w:lang w:val="en-US"/>
              </w:rPr>
              <w:t xml:space="preserve"> X=1) evaluation period. </w:t>
            </w:r>
            <w:r>
              <w:t>(Ericsson)</w:t>
            </w:r>
          </w:p>
          <w:p w14:paraId="5FA87218" w14:textId="77777777" w:rsidR="00577319" w:rsidRPr="00B82ED6" w:rsidRDefault="00577319" w:rsidP="00577319">
            <w:pPr>
              <w:pStyle w:val="ListParagraph"/>
              <w:numPr>
                <w:ilvl w:val="0"/>
                <w:numId w:val="15"/>
              </w:numPr>
              <w:spacing w:before="100" w:beforeAutospacing="1" w:after="120" w:line="240" w:lineRule="auto"/>
              <w:rPr>
                <w:rFonts w:eastAsia="SimSun"/>
                <w:lang w:val="en-US"/>
              </w:rPr>
            </w:pPr>
            <w:r w:rsidRPr="00B82ED6">
              <w:rPr>
                <w:rFonts w:eastAsia="SimSun"/>
                <w:lang w:val="en-US"/>
              </w:rPr>
              <w:t>Option 2:</w:t>
            </w:r>
            <w:r w:rsidRPr="00B82ED6">
              <w:rPr>
                <w:lang w:val="en-US"/>
              </w:rPr>
              <w:t xml:space="preserve"> </w:t>
            </w:r>
            <w:r w:rsidRPr="00B82ED6">
              <w:rPr>
                <w:rFonts w:eastAsia="SimSun"/>
                <w:lang w:val="en-US"/>
              </w:rPr>
              <w:t>Use the following low mobility evaluation for BFD: (</w:t>
            </w:r>
            <w:r w:rsidRPr="00B82ED6">
              <w:rPr>
                <w:lang w:val="en-US"/>
              </w:rPr>
              <w:t>Qualcomm</w:t>
            </w:r>
            <w:r w:rsidRPr="00B82ED6">
              <w:rPr>
                <w:rFonts w:eastAsia="SimSun"/>
                <w:lang w:val="en-US"/>
              </w:rPr>
              <w:t>)</w:t>
            </w:r>
          </w:p>
          <w:p w14:paraId="5C2DD9B6" w14:textId="77777777" w:rsidR="00577319" w:rsidRPr="00B82ED6" w:rsidRDefault="00577319" w:rsidP="00577319">
            <w:pPr>
              <w:pStyle w:val="ListParagraph"/>
              <w:numPr>
                <w:ilvl w:val="1"/>
                <w:numId w:val="15"/>
              </w:numPr>
              <w:spacing w:before="100" w:beforeAutospacing="1" w:after="120" w:line="240" w:lineRule="auto"/>
              <w:rPr>
                <w:rFonts w:eastAsia="SimSun"/>
                <w:lang w:val="en-US"/>
              </w:rPr>
            </w:pPr>
            <w:r w:rsidRPr="00B82ED6">
              <w:rPr>
                <w:lang w:val="en-U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6605F089" w14:textId="77777777" w:rsidR="00577319" w:rsidRDefault="00577319" w:rsidP="00577319">
            <w:pPr>
              <w:pStyle w:val="ListParagraph"/>
              <w:numPr>
                <w:ilvl w:val="1"/>
                <w:numId w:val="15"/>
              </w:numPr>
              <w:spacing w:before="100" w:beforeAutospacing="1" w:after="120" w:line="240" w:lineRule="auto"/>
              <w:rPr>
                <w:rFonts w:eastAsia="SimSun"/>
              </w:rPr>
            </w:pPr>
            <w:r w:rsidRPr="00B82ED6">
              <w:rPr>
                <w:rFonts w:eastAsia="SimSun"/>
                <w:lang w:val="en-US"/>
              </w:rPr>
              <w:t xml:space="preserve">Option 2a: Define L1-SINR measurement accuracy requirement for BFD low mobility evaluation purpose. </w:t>
            </w:r>
            <w:r>
              <w:rPr>
                <w:rFonts w:eastAsia="SimSun"/>
              </w:rPr>
              <w:t>(</w:t>
            </w:r>
            <w:r>
              <w:rPr>
                <w:bCs/>
              </w:rPr>
              <w:t>Qualcomm</w:t>
            </w:r>
            <w:r>
              <w:rPr>
                <w:rFonts w:eastAsia="SimSun"/>
              </w:rPr>
              <w:t>)</w:t>
            </w:r>
          </w:p>
          <w:p w14:paraId="2E794D1D" w14:textId="14A69135" w:rsidR="00260743" w:rsidRPr="00260743" w:rsidRDefault="00577319" w:rsidP="005052B5">
            <w:pPr>
              <w:pStyle w:val="ListParagraph"/>
              <w:numPr>
                <w:ilvl w:val="0"/>
                <w:numId w:val="15"/>
              </w:numPr>
              <w:spacing w:before="100" w:beforeAutospacing="1" w:after="120" w:line="240" w:lineRule="auto"/>
              <w:rPr>
                <w:rFonts w:eastAsia="Yu Mincho"/>
                <w:szCs w:val="24"/>
                <w:lang w:eastAsia="zh-CN"/>
              </w:rPr>
            </w:pPr>
            <w:r w:rsidRPr="00B82ED6">
              <w:rPr>
                <w:rFonts w:eastAsia="SimSun"/>
                <w:lang w:val="en-US"/>
              </w:rPr>
              <w:t xml:space="preserve">Option 3: not to define any additional low mobility criteria. </w:t>
            </w:r>
            <w:r w:rsidRPr="00FD647F">
              <w:rPr>
                <w:rFonts w:eastAsia="SimSun"/>
              </w:rPr>
              <w:t>(Huawei, Apple, Intel, vivo, CATT, MTK, Xiaomi, OPPO)</w:t>
            </w:r>
            <w:r w:rsidR="00260743" w:rsidRPr="00260743">
              <w:rPr>
                <w:rFonts w:eastAsia="PMingLiU"/>
                <w:szCs w:val="24"/>
                <w:lang w:eastAsia="zh-TW"/>
              </w:rPr>
              <w:t xml:space="preserve"> </w:t>
            </w:r>
          </w:p>
        </w:tc>
      </w:tr>
    </w:tbl>
    <w:p w14:paraId="78F734E9" w14:textId="77777777" w:rsidR="00260743" w:rsidRPr="00260743" w:rsidRDefault="00260743" w:rsidP="00260743">
      <w:pPr>
        <w:rPr>
          <w:lang w:eastAsia="zh-CN"/>
        </w:rPr>
      </w:pPr>
    </w:p>
    <w:p w14:paraId="6B6DD18B" w14:textId="4FD5ADEC" w:rsidR="001927B5" w:rsidRPr="00B82ED6" w:rsidRDefault="00260743" w:rsidP="00260743">
      <w:pPr>
        <w:rPr>
          <w:lang w:val="en-US" w:eastAsia="zh-CN"/>
        </w:rPr>
      </w:pPr>
      <w:r w:rsidRPr="00B82ED6">
        <w:rPr>
          <w:lang w:val="en-US" w:eastAsia="zh-CN"/>
        </w:rPr>
        <w:t xml:space="preserve">In general, our view is that the previous agreements are sufficient </w:t>
      </w:r>
      <w:r w:rsidR="0071763B" w:rsidRPr="00B82ED6">
        <w:rPr>
          <w:lang w:val="en-US" w:eastAsia="zh-CN"/>
        </w:rPr>
        <w:t>to determine the low mobility state of the UE as part of the criteria to operate in relaxed mode</w:t>
      </w:r>
      <w:r w:rsidR="00681C97" w:rsidRPr="00B82ED6">
        <w:rPr>
          <w:lang w:val="en-US" w:eastAsia="zh-CN"/>
        </w:rPr>
        <w:t xml:space="preserve">, as proposed in option 3. </w:t>
      </w:r>
      <w:r w:rsidR="008A0406" w:rsidRPr="00B82ED6">
        <w:rPr>
          <w:lang w:val="en-US" w:eastAsia="zh-CN"/>
        </w:rPr>
        <w:t xml:space="preserve">However, </w:t>
      </w:r>
      <w:r w:rsidR="001927B5" w:rsidRPr="00B82ED6">
        <w:rPr>
          <w:lang w:val="en-US" w:eastAsia="zh-CN"/>
        </w:rPr>
        <w:t xml:space="preserve">given that the RRM measurements that are used in evaluating the low mobility criteria are subject to measurement bias, additionally </w:t>
      </w:r>
      <w:proofErr w:type="gramStart"/>
      <w:r w:rsidR="0069718F" w:rsidRPr="00B82ED6">
        <w:rPr>
          <w:lang w:val="en-US" w:eastAsia="zh-CN"/>
        </w:rPr>
        <w:t>taking into account</w:t>
      </w:r>
      <w:proofErr w:type="gramEnd"/>
      <w:r w:rsidR="0069718F" w:rsidRPr="00B82ED6">
        <w:rPr>
          <w:lang w:val="en-US" w:eastAsia="zh-CN"/>
        </w:rPr>
        <w:t xml:space="preserve"> the </w:t>
      </w:r>
      <w:r w:rsidR="008A0406" w:rsidRPr="00B82ED6">
        <w:rPr>
          <w:lang w:val="en-US" w:eastAsia="zh-CN"/>
        </w:rPr>
        <w:t xml:space="preserve">beam </w:t>
      </w:r>
      <w:r w:rsidR="0069718F" w:rsidRPr="00B82ED6">
        <w:rPr>
          <w:lang w:val="en-US" w:eastAsia="zh-CN"/>
        </w:rPr>
        <w:t xml:space="preserve">aspects </w:t>
      </w:r>
      <w:r w:rsidR="008A0406" w:rsidRPr="00B82ED6">
        <w:rPr>
          <w:lang w:val="en-US" w:eastAsia="zh-CN"/>
        </w:rPr>
        <w:t xml:space="preserve">as part of the low mobility criteria may further improve the reliability especially in FR2. </w:t>
      </w:r>
      <w:r w:rsidR="0069718F" w:rsidRPr="00B82ED6">
        <w:rPr>
          <w:lang w:val="en-US" w:eastAsia="zh-CN"/>
        </w:rPr>
        <w:t xml:space="preserve">More specifically, </w:t>
      </w:r>
      <w:r w:rsidR="00B1191C" w:rsidRPr="00B82ED6">
        <w:rPr>
          <w:lang w:val="en-US" w:eastAsia="zh-CN"/>
        </w:rPr>
        <w:t xml:space="preserve">relaxed mode of operation can be allowed provided that there </w:t>
      </w:r>
      <w:proofErr w:type="gramStart"/>
      <w:r w:rsidR="00B1191C" w:rsidRPr="00B82ED6">
        <w:rPr>
          <w:lang w:val="en-US" w:eastAsia="zh-CN"/>
        </w:rPr>
        <w:t>has</w:t>
      </w:r>
      <w:proofErr w:type="gramEnd"/>
      <w:r w:rsidR="00B1191C" w:rsidRPr="00B82ED6">
        <w:rPr>
          <w:lang w:val="en-US" w:eastAsia="zh-CN"/>
        </w:rPr>
        <w:t xml:space="preserve"> not been any beam changes over a certain time period, e.g. during last evaluation per</w:t>
      </w:r>
      <w:r w:rsidR="00643745" w:rsidRPr="00B82ED6">
        <w:rPr>
          <w:lang w:val="en-US" w:eastAsia="zh-CN"/>
        </w:rPr>
        <w:t xml:space="preserve">iod. </w:t>
      </w:r>
      <w:r w:rsidR="00BC3926" w:rsidRPr="00B82ED6">
        <w:rPr>
          <w:lang w:val="en-US" w:eastAsia="zh-CN"/>
        </w:rPr>
        <w:t>If any beam changes ha</w:t>
      </w:r>
      <w:r w:rsidR="001927B5" w:rsidRPr="00B82ED6">
        <w:rPr>
          <w:lang w:val="en-US" w:eastAsia="zh-CN"/>
        </w:rPr>
        <w:t>ve</w:t>
      </w:r>
      <w:r w:rsidR="00BC3926" w:rsidRPr="00B82ED6">
        <w:rPr>
          <w:lang w:val="en-US" w:eastAsia="zh-CN"/>
        </w:rPr>
        <w:t xml:space="preserve"> </w:t>
      </w:r>
      <w:proofErr w:type="gramStart"/>
      <w:r w:rsidR="00BC3926" w:rsidRPr="00B82ED6">
        <w:rPr>
          <w:lang w:val="en-US" w:eastAsia="zh-CN"/>
        </w:rPr>
        <w:t>occurred</w:t>
      </w:r>
      <w:proofErr w:type="gramEnd"/>
      <w:r w:rsidR="00BC3926" w:rsidRPr="00B82ED6">
        <w:rPr>
          <w:lang w:val="en-US" w:eastAsia="zh-CN"/>
        </w:rPr>
        <w:t xml:space="preserve"> then this might be an indication that the UE location </w:t>
      </w:r>
      <w:r w:rsidR="001927B5" w:rsidRPr="00B82ED6">
        <w:rPr>
          <w:lang w:val="en-US" w:eastAsia="zh-CN"/>
        </w:rPr>
        <w:t xml:space="preserve">has </w:t>
      </w:r>
      <w:r w:rsidR="00BC3926" w:rsidRPr="00B82ED6">
        <w:rPr>
          <w:lang w:val="en-US" w:eastAsia="zh-CN"/>
        </w:rPr>
        <w:t>changed</w:t>
      </w:r>
      <w:r w:rsidR="001927B5" w:rsidRPr="00B82ED6">
        <w:rPr>
          <w:lang w:val="en-US" w:eastAsia="zh-CN"/>
        </w:rPr>
        <w:t xml:space="preserve"> and therefore the UE should be performing the RLM/BFD following the normal (legacy) mode</w:t>
      </w:r>
      <w:r w:rsidR="00BC3926" w:rsidRPr="00B82ED6">
        <w:rPr>
          <w:lang w:val="en-US" w:eastAsia="zh-CN"/>
        </w:rPr>
        <w:t>.</w:t>
      </w:r>
    </w:p>
    <w:p w14:paraId="4DB6745A" w14:textId="62665EE6" w:rsidR="008A0406" w:rsidRPr="00B82ED6" w:rsidRDefault="00792CF2" w:rsidP="001927B5">
      <w:pPr>
        <w:pStyle w:val="ListParagraph"/>
        <w:numPr>
          <w:ilvl w:val="0"/>
          <w:numId w:val="15"/>
        </w:numPr>
        <w:rPr>
          <w:lang w:val="en-US" w:eastAsia="zh-CN"/>
        </w:rPr>
      </w:pPr>
      <w:r w:rsidRPr="00B82ED6">
        <w:rPr>
          <w:b/>
          <w:lang w:val="en-US" w:eastAsia="zh-CN"/>
        </w:rPr>
        <w:t>Proposal #</w:t>
      </w:r>
      <w:r w:rsidR="00823A48" w:rsidRPr="00B82ED6">
        <w:rPr>
          <w:b/>
          <w:lang w:val="en-US" w:eastAsia="zh-CN"/>
        </w:rPr>
        <w:t>7</w:t>
      </w:r>
      <w:r w:rsidRPr="00B82ED6">
        <w:rPr>
          <w:b/>
          <w:lang w:val="en-US" w:eastAsia="zh-CN"/>
        </w:rPr>
        <w:t xml:space="preserve">: </w:t>
      </w:r>
      <w:r w:rsidR="00AD55B0" w:rsidRPr="001E04A1">
        <w:rPr>
          <w:bCs/>
          <w:lang w:val="en-US" w:eastAsia="zh-CN"/>
        </w:rPr>
        <w:t>The</w:t>
      </w:r>
      <w:r w:rsidR="00893BC5" w:rsidRPr="001E04A1">
        <w:rPr>
          <w:bCs/>
          <w:lang w:val="en-US" w:eastAsia="zh-CN"/>
        </w:rPr>
        <w:t xml:space="preserve"> </w:t>
      </w:r>
      <w:r w:rsidR="006C3F0A" w:rsidRPr="00893BC5">
        <w:rPr>
          <w:bCs/>
          <w:lang w:val="en-US" w:eastAsia="zh-CN"/>
        </w:rPr>
        <w:t>UE</w:t>
      </w:r>
      <w:r w:rsidR="006C3F0A" w:rsidRPr="00B82ED6">
        <w:rPr>
          <w:lang w:val="en-US" w:eastAsia="zh-CN"/>
        </w:rPr>
        <w:t xml:space="preserve"> shall not operate RLM/BFD in relaxed mode if any </w:t>
      </w:r>
      <w:r w:rsidR="00287771">
        <w:rPr>
          <w:lang w:val="en-US" w:eastAsia="zh-CN"/>
        </w:rPr>
        <w:t xml:space="preserve">Rx </w:t>
      </w:r>
      <w:r w:rsidR="006C3F0A" w:rsidRPr="00B82ED6">
        <w:rPr>
          <w:lang w:val="en-US" w:eastAsia="zh-CN"/>
        </w:rPr>
        <w:t xml:space="preserve">beam changes have occurred during the last N evaluation period. </w:t>
      </w:r>
      <w:r w:rsidR="00BC3926" w:rsidRPr="00B82ED6">
        <w:rPr>
          <w:lang w:val="en-US" w:eastAsia="zh-CN"/>
        </w:rPr>
        <w:t xml:space="preserve"> </w:t>
      </w:r>
    </w:p>
    <w:p w14:paraId="2469D046" w14:textId="221F5641" w:rsidR="009033D0" w:rsidRPr="00EB0492" w:rsidRDefault="00CA1BE6" w:rsidP="00D3112F">
      <w:pPr>
        <w:rPr>
          <w:b/>
          <w:u w:val="single"/>
          <w:lang w:val="en-US" w:eastAsia="zh-CN"/>
        </w:rPr>
      </w:pPr>
      <w:r w:rsidRPr="00EB0492">
        <w:rPr>
          <w:b/>
          <w:u w:val="single"/>
          <w:lang w:val="en-US" w:eastAsia="zh-CN"/>
        </w:rPr>
        <w:t>C</w:t>
      </w:r>
      <w:r w:rsidR="00DB2BA9" w:rsidRPr="00EB0492">
        <w:rPr>
          <w:b/>
          <w:u w:val="single"/>
          <w:lang w:val="en-US" w:eastAsia="zh-CN"/>
        </w:rPr>
        <w:t>onfiguration</w:t>
      </w:r>
      <w:r w:rsidRPr="00EB0492">
        <w:rPr>
          <w:b/>
          <w:u w:val="single"/>
          <w:lang w:val="en-US" w:eastAsia="zh-CN"/>
        </w:rPr>
        <w:t xml:space="preserve"> of relaxation criteria</w:t>
      </w:r>
    </w:p>
    <w:p w14:paraId="273CB310" w14:textId="333A1C06" w:rsidR="00CA1BE6" w:rsidRPr="00B82ED6" w:rsidRDefault="002A1369" w:rsidP="00D3112F">
      <w:pPr>
        <w:rPr>
          <w:lang w:val="en-US" w:eastAsia="zh-CN"/>
        </w:rPr>
      </w:pPr>
      <w:r w:rsidRPr="00B82ED6">
        <w:rPr>
          <w:lang w:val="en-US" w:eastAsia="zh-CN"/>
        </w:rPr>
        <w:t xml:space="preserve">Unlike the IDLE/INACTIVE state relaxation criteria which are per-cell, the CONNECTED mode relaxation criteria can be configured per UE. </w:t>
      </w:r>
      <w:r w:rsidR="007D453F" w:rsidRPr="00B82ED6">
        <w:rPr>
          <w:lang w:val="en-US" w:eastAsia="zh-CN"/>
        </w:rPr>
        <w:t>In CONNECTED mode, NW has the possibility to configure the criteria (</w:t>
      </w:r>
      <w:proofErr w:type="gramStart"/>
      <w:r w:rsidR="007D453F" w:rsidRPr="00B82ED6">
        <w:rPr>
          <w:lang w:val="en-US" w:eastAsia="zh-CN"/>
        </w:rPr>
        <w:t>e.g.</w:t>
      </w:r>
      <w:proofErr w:type="gramEnd"/>
      <w:r w:rsidR="007D453F" w:rsidRPr="00B82ED6">
        <w:rPr>
          <w:lang w:val="en-US" w:eastAsia="zh-CN"/>
        </w:rPr>
        <w:t xml:space="preserve"> the thresholds) individually per UE based on different types of information such as reported measurement results</w:t>
      </w:r>
      <w:r w:rsidR="006D57B2" w:rsidRPr="00B82ED6">
        <w:rPr>
          <w:lang w:val="en-US" w:eastAsia="zh-CN"/>
        </w:rPr>
        <w:t xml:space="preserve"> or RedCap-type UE</w:t>
      </w:r>
      <w:r w:rsidR="007D453F" w:rsidRPr="00B82ED6">
        <w:rPr>
          <w:lang w:val="en-US" w:eastAsia="zh-CN"/>
        </w:rPr>
        <w:t xml:space="preserve">. </w:t>
      </w:r>
      <w:r w:rsidR="00B779EC" w:rsidRPr="00B82ED6">
        <w:rPr>
          <w:lang w:val="en-US" w:eastAsia="zh-CN"/>
        </w:rPr>
        <w:t xml:space="preserve">Per-UE based criteria gives more flexibility to the NW and it also ensures that the </w:t>
      </w:r>
      <w:r w:rsidR="00F91FA6" w:rsidRPr="00B82ED6">
        <w:rPr>
          <w:lang w:val="en-US" w:eastAsia="zh-CN"/>
        </w:rPr>
        <w:t>mechanism</w:t>
      </w:r>
      <w:r w:rsidR="00B779EC" w:rsidRPr="00B82ED6">
        <w:rPr>
          <w:lang w:val="en-US" w:eastAsia="zh-CN"/>
        </w:rPr>
        <w:t xml:space="preserve"> can be more reliable as it can be adapted based on individual state of the UE. </w:t>
      </w:r>
      <w:proofErr w:type="gramStart"/>
      <w:r w:rsidR="005B0399" w:rsidRPr="00B82ED6">
        <w:rPr>
          <w:lang w:val="en-US" w:eastAsia="zh-CN"/>
        </w:rPr>
        <w:t>Therefore</w:t>
      </w:r>
      <w:proofErr w:type="gramEnd"/>
      <w:r w:rsidR="005B0399" w:rsidRPr="00B82ED6">
        <w:rPr>
          <w:lang w:val="en-US" w:eastAsia="zh-CN"/>
        </w:rPr>
        <w:t xml:space="preserve"> we propose that both low mobility criteria and good serving cell criteria are configured per UE in CONNECTED mode for relaxed RLM/BFD.</w:t>
      </w:r>
    </w:p>
    <w:p w14:paraId="74E0F7BB" w14:textId="2800B58C" w:rsidR="002A5150" w:rsidRPr="00B82ED6" w:rsidRDefault="00371A4A" w:rsidP="00371A4A">
      <w:pPr>
        <w:pStyle w:val="ListParagraph"/>
        <w:numPr>
          <w:ilvl w:val="0"/>
          <w:numId w:val="15"/>
        </w:numPr>
        <w:rPr>
          <w:lang w:val="en-US" w:eastAsia="zh-CN"/>
        </w:rPr>
      </w:pPr>
      <w:r w:rsidRPr="00B82ED6">
        <w:rPr>
          <w:b/>
          <w:lang w:val="en-US" w:eastAsia="zh-CN"/>
        </w:rPr>
        <w:t>Proposal #</w:t>
      </w:r>
      <w:r w:rsidR="00823A48" w:rsidRPr="00B82ED6">
        <w:rPr>
          <w:b/>
          <w:lang w:val="en-US" w:eastAsia="zh-CN"/>
        </w:rPr>
        <w:t>8</w:t>
      </w:r>
      <w:r w:rsidRPr="00B82ED6">
        <w:rPr>
          <w:b/>
          <w:lang w:val="en-US" w:eastAsia="zh-CN"/>
        </w:rPr>
        <w:t>:</w:t>
      </w:r>
      <w:r w:rsidRPr="00B82ED6">
        <w:rPr>
          <w:lang w:val="en-US" w:eastAsia="zh-CN"/>
        </w:rPr>
        <w:t xml:space="preserve"> </w:t>
      </w:r>
      <w:r w:rsidR="002A5150" w:rsidRPr="00B82ED6">
        <w:rPr>
          <w:rFonts w:eastAsia="SimSun"/>
          <w:lang w:val="en-US"/>
        </w:rPr>
        <w:t>Low mobility criterion is configured on per-UE basis for relaxed RLM/BFD.</w:t>
      </w:r>
    </w:p>
    <w:p w14:paraId="17227DD9" w14:textId="3E418CC8" w:rsidR="002A5150" w:rsidRPr="00B82ED6" w:rsidRDefault="002A5150" w:rsidP="002A5150">
      <w:pPr>
        <w:pStyle w:val="ListParagraph"/>
        <w:numPr>
          <w:ilvl w:val="0"/>
          <w:numId w:val="15"/>
        </w:numPr>
        <w:rPr>
          <w:lang w:val="en-US" w:eastAsia="zh-CN"/>
        </w:rPr>
      </w:pPr>
      <w:r w:rsidRPr="00B82ED6">
        <w:rPr>
          <w:b/>
          <w:lang w:val="en-US" w:eastAsia="zh-CN"/>
        </w:rPr>
        <w:t>Proposal #</w:t>
      </w:r>
      <w:r w:rsidR="00823A48" w:rsidRPr="00B82ED6">
        <w:rPr>
          <w:b/>
          <w:lang w:val="en-US" w:eastAsia="zh-CN"/>
        </w:rPr>
        <w:t>9</w:t>
      </w:r>
      <w:r w:rsidRPr="00B82ED6">
        <w:rPr>
          <w:b/>
          <w:lang w:val="en-US" w:eastAsia="zh-CN"/>
        </w:rPr>
        <w:t>:</w:t>
      </w:r>
      <w:r w:rsidRPr="00B82ED6">
        <w:rPr>
          <w:lang w:val="en-US" w:eastAsia="zh-CN"/>
        </w:rPr>
        <w:t xml:space="preserve"> </w:t>
      </w:r>
      <w:r w:rsidRPr="00B82ED6">
        <w:rPr>
          <w:rFonts w:eastAsia="SimSun"/>
          <w:lang w:val="en-US"/>
        </w:rPr>
        <w:t>Good serving cell quality criterion is configured on per-UE basis for relaxed RLM/BFD</w:t>
      </w:r>
      <w:r w:rsidRPr="00B82ED6">
        <w:rPr>
          <w:rFonts w:eastAsia="SimSun"/>
          <w:u w:val="single"/>
          <w:lang w:val="en-US"/>
        </w:rPr>
        <w:t>.</w:t>
      </w:r>
    </w:p>
    <w:p w14:paraId="6DE358BC" w14:textId="032761BD" w:rsidR="0000489B" w:rsidRPr="0000489B" w:rsidRDefault="0000489B" w:rsidP="0000489B">
      <w:pPr>
        <w:pStyle w:val="Heading2"/>
        <w:overflowPunct/>
        <w:autoSpaceDE/>
        <w:autoSpaceDN/>
        <w:adjustRightInd/>
        <w:spacing w:line="259" w:lineRule="auto"/>
        <w:ind w:left="576" w:hanging="576"/>
        <w:textAlignment w:val="auto"/>
        <w:rPr>
          <w:rFonts w:asciiTheme="minorHAnsi" w:eastAsiaTheme="minorHAnsi" w:hAnsiTheme="minorHAnsi" w:cstheme="minorBidi"/>
          <w:sz w:val="22"/>
          <w:szCs w:val="22"/>
          <w:lang w:val="en-US"/>
        </w:rPr>
      </w:pPr>
      <w:r w:rsidRPr="0000489B">
        <w:rPr>
          <w:rFonts w:asciiTheme="minorHAnsi" w:eastAsiaTheme="minorHAnsi" w:hAnsiTheme="minorHAnsi" w:cstheme="minorBidi"/>
          <w:sz w:val="22"/>
          <w:szCs w:val="22"/>
          <w:lang w:val="en-US"/>
        </w:rPr>
        <w:lastRenderedPageBreak/>
        <w:t>Following agreement was reached regarding the thresholds used in the low mobility criterion</w:t>
      </w:r>
      <w:r w:rsidR="006F3C72">
        <w:rPr>
          <w:rFonts w:asciiTheme="minorHAnsi" w:eastAsiaTheme="minorHAnsi" w:hAnsiTheme="minorHAnsi" w:cstheme="minorBidi"/>
          <w:sz w:val="22"/>
          <w:szCs w:val="22"/>
          <w:lang w:val="en-US"/>
        </w:rPr>
        <w:t xml:space="preserve"> [1]</w:t>
      </w:r>
      <w:r w:rsidRPr="0000489B">
        <w:rPr>
          <w:rFonts w:asciiTheme="minorHAnsi" w:eastAsiaTheme="minorHAnsi" w:hAnsiTheme="minorHAnsi" w:cstheme="minorBidi"/>
          <w:sz w:val="22"/>
          <w:szCs w:val="22"/>
          <w:lang w:val="en-US"/>
        </w:rPr>
        <w:t>:</w:t>
      </w:r>
    </w:p>
    <w:tbl>
      <w:tblPr>
        <w:tblStyle w:val="TableGrid"/>
        <w:tblW w:w="0" w:type="auto"/>
        <w:tblLook w:val="04A0" w:firstRow="1" w:lastRow="0" w:firstColumn="1" w:lastColumn="0" w:noHBand="0" w:noVBand="1"/>
      </w:tblPr>
      <w:tblGrid>
        <w:gridCol w:w="9629"/>
      </w:tblGrid>
      <w:tr w:rsidR="0000489B" w:rsidRPr="00EB0492" w14:paraId="5AB19576" w14:textId="77777777" w:rsidTr="0000489B">
        <w:tc>
          <w:tcPr>
            <w:tcW w:w="9629" w:type="dxa"/>
          </w:tcPr>
          <w:p w14:paraId="6FD6B2AD" w14:textId="77777777" w:rsidR="0000489B" w:rsidRPr="0000489B" w:rsidRDefault="0000489B" w:rsidP="0000489B">
            <w:pPr>
              <w:pStyle w:val="Heading5"/>
              <w:ind w:left="1008" w:hanging="1008"/>
              <w:outlineLvl w:val="4"/>
              <w:rPr>
                <w:rFonts w:ascii="Times New Roman" w:hAnsi="Times New Roman"/>
                <w:b/>
                <w:sz w:val="24"/>
                <w:szCs w:val="24"/>
                <w:u w:val="single"/>
                <w:lang w:val="en-US"/>
              </w:rPr>
            </w:pPr>
            <w:r w:rsidRPr="0000489B">
              <w:rPr>
                <w:rFonts w:ascii="Times New Roman" w:hAnsi="Times New Roman"/>
                <w:b/>
                <w:sz w:val="24"/>
                <w:szCs w:val="24"/>
                <w:u w:val="single"/>
                <w:lang w:val="en-US"/>
              </w:rPr>
              <w:t>Issue 2-1-3: thresholds for R17 low mobility criteria</w:t>
            </w:r>
          </w:p>
          <w:p w14:paraId="1A919388" w14:textId="77777777" w:rsidR="0000489B" w:rsidRPr="00B82ED6" w:rsidRDefault="0000489B" w:rsidP="0000489B">
            <w:pPr>
              <w:spacing w:before="200" w:after="0"/>
              <w:rPr>
                <w:sz w:val="24"/>
                <w:lang w:val="en-US" w:eastAsia="zh-CN"/>
              </w:rPr>
            </w:pPr>
            <w:r w:rsidRPr="00B82ED6">
              <w:rPr>
                <w:sz w:val="24"/>
                <w:lang w:val="en-US" w:eastAsia="zh-CN"/>
              </w:rPr>
              <w:t>Agreement</w:t>
            </w:r>
          </w:p>
          <w:p w14:paraId="5DD58579" w14:textId="77777777" w:rsidR="0000489B" w:rsidRPr="00B82ED6" w:rsidRDefault="0000489B" w:rsidP="0000489B">
            <w:pPr>
              <w:spacing w:before="200" w:after="0"/>
              <w:rPr>
                <w:i/>
                <w:lang w:val="en-US"/>
              </w:rPr>
            </w:pPr>
            <w:r w:rsidRPr="00B82ED6">
              <w:rPr>
                <w:i/>
                <w:highlight w:val="yellow"/>
                <w:lang w:val="en-US"/>
              </w:rPr>
              <w:t xml:space="preserve">For low mobility criterion, the threshold on RSRP variation and the </w:t>
            </w:r>
            <w:proofErr w:type="gramStart"/>
            <w:r w:rsidRPr="00B82ED6">
              <w:rPr>
                <w:i/>
                <w:highlight w:val="yellow"/>
                <w:lang w:val="en-US"/>
              </w:rPr>
              <w:t>time period</w:t>
            </w:r>
            <w:proofErr w:type="gramEnd"/>
            <w:r w:rsidRPr="00B82ED6">
              <w:rPr>
                <w:i/>
                <w:highlight w:val="yellow"/>
                <w:lang w:val="en-US"/>
              </w:rPr>
              <w:t xml:space="preserve"> over which the RSRP variation is evaluated for relaxed RLM/BFD measurement are configured by network.</w:t>
            </w:r>
          </w:p>
          <w:p w14:paraId="3F1D1B6A" w14:textId="253870A0" w:rsidR="0000489B" w:rsidRPr="00B82ED6" w:rsidRDefault="0000489B" w:rsidP="0000489B">
            <w:pPr>
              <w:pStyle w:val="ListParagraph"/>
              <w:numPr>
                <w:ilvl w:val="0"/>
                <w:numId w:val="26"/>
              </w:numPr>
              <w:overflowPunct w:val="0"/>
              <w:autoSpaceDE w:val="0"/>
              <w:autoSpaceDN w:val="0"/>
              <w:adjustRightInd w:val="0"/>
              <w:spacing w:before="200" w:beforeAutospacing="1" w:after="0" w:line="240" w:lineRule="auto"/>
              <w:textAlignment w:val="baseline"/>
              <w:rPr>
                <w:rFonts w:eastAsia="Malgun Gothic"/>
                <w:b/>
                <w:u w:val="single"/>
                <w:shd w:val="pct10" w:color="auto" w:fill="FFFFFF"/>
                <w:lang w:val="en-US" w:eastAsia="ko-KR"/>
              </w:rPr>
            </w:pPr>
            <w:r w:rsidRPr="00B82ED6">
              <w:rPr>
                <w:i/>
                <w:highlight w:val="yellow"/>
                <w:lang w:val="en-US"/>
              </w:rPr>
              <w:t>Thresholds for R16 low mobility criterion and R17 low mobility criterion can be configured separately.</w:t>
            </w:r>
          </w:p>
        </w:tc>
      </w:tr>
    </w:tbl>
    <w:p w14:paraId="76C94B11" w14:textId="31476FFB" w:rsidR="0000489B" w:rsidRPr="00B82ED6" w:rsidRDefault="0000489B" w:rsidP="0000489B">
      <w:pPr>
        <w:rPr>
          <w:highlight w:val="yellow"/>
          <w:lang w:val="en-US"/>
        </w:rPr>
      </w:pPr>
    </w:p>
    <w:p w14:paraId="1C9FBAE4" w14:textId="2D84994D" w:rsidR="00EF0897" w:rsidRPr="00B82ED6" w:rsidRDefault="00EF0897" w:rsidP="0000489B">
      <w:pPr>
        <w:rPr>
          <w:lang w:val="en-US"/>
        </w:rPr>
      </w:pPr>
      <w:r w:rsidRPr="00B82ED6">
        <w:rPr>
          <w:lang w:val="en-US"/>
        </w:rPr>
        <w:t xml:space="preserve">The above agreement means that both Rel-16 and Rel-17 low mobility criterion can be configured separately. The former criterion is referred to the Rel-16 low </w:t>
      </w:r>
      <w:r w:rsidR="00774966" w:rsidRPr="00B82ED6">
        <w:rPr>
          <w:lang w:val="en-US"/>
        </w:rPr>
        <w:t>mobility</w:t>
      </w:r>
      <w:r w:rsidRPr="00B82ED6">
        <w:rPr>
          <w:lang w:val="en-US"/>
        </w:rPr>
        <w:t xml:space="preserve"> criterion introduced as part of Rel-16 UE power saving work item. The latter criterion is not clear, </w:t>
      </w:r>
      <w:proofErr w:type="gramStart"/>
      <w:r w:rsidRPr="00B82ED6">
        <w:rPr>
          <w:lang w:val="en-US"/>
        </w:rPr>
        <w:t>e.g.</w:t>
      </w:r>
      <w:proofErr w:type="gramEnd"/>
      <w:r w:rsidRPr="00B82ED6">
        <w:rPr>
          <w:lang w:val="en-US"/>
        </w:rPr>
        <w:t xml:space="preserve"> </w:t>
      </w:r>
      <w:r w:rsidR="00795EE5" w:rsidRPr="00B82ED6">
        <w:rPr>
          <w:lang w:val="en-US"/>
        </w:rPr>
        <w:t xml:space="preserve">whether it is the </w:t>
      </w:r>
      <w:r w:rsidRPr="00B82ED6">
        <w:rPr>
          <w:lang w:val="en-US"/>
        </w:rPr>
        <w:t>Rel-17 low mobility criterion which is being introduced in RedCap WI</w:t>
      </w:r>
      <w:r w:rsidR="00795EE5" w:rsidRPr="00B82ED6">
        <w:rPr>
          <w:lang w:val="en-US"/>
        </w:rPr>
        <w:t xml:space="preserve"> or whether it is referred to the additional relaxation conditions which are </w:t>
      </w:r>
      <w:r w:rsidR="00774966" w:rsidRPr="00B82ED6">
        <w:rPr>
          <w:lang w:val="en-US"/>
        </w:rPr>
        <w:t>agreed</w:t>
      </w:r>
      <w:r w:rsidR="00795EE5" w:rsidRPr="00B82ED6">
        <w:rPr>
          <w:lang w:val="en-US"/>
        </w:rPr>
        <w:t xml:space="preserve"> in RAN4 as part of Rel-17 UE power saving WI. </w:t>
      </w:r>
      <w:r w:rsidR="00774966" w:rsidRPr="00B82ED6">
        <w:rPr>
          <w:lang w:val="en-US"/>
        </w:rPr>
        <w:t xml:space="preserve">Nevertheless, given that RAN4 has already spent significant time on discussing and agreeing on the low mobility criterion our view is that the low mobility criterion can be defined by RAN4 and RAN2 can be informed to work on the signaling support. </w:t>
      </w:r>
    </w:p>
    <w:p w14:paraId="52F9F5F7" w14:textId="73C2B516" w:rsidR="00774966" w:rsidRPr="00B82ED6" w:rsidRDefault="00774966" w:rsidP="00774966">
      <w:pPr>
        <w:pStyle w:val="ListParagraph"/>
        <w:numPr>
          <w:ilvl w:val="0"/>
          <w:numId w:val="15"/>
        </w:numPr>
        <w:rPr>
          <w:lang w:val="en-US"/>
        </w:rPr>
      </w:pPr>
      <w:r w:rsidRPr="00B82ED6">
        <w:rPr>
          <w:b/>
          <w:lang w:val="en-US"/>
        </w:rPr>
        <w:t>Proposal #</w:t>
      </w:r>
      <w:r w:rsidR="00823A48" w:rsidRPr="00B82ED6">
        <w:rPr>
          <w:b/>
          <w:lang w:val="en-US"/>
        </w:rPr>
        <w:t>10</w:t>
      </w:r>
      <w:r w:rsidRPr="00B82ED6">
        <w:rPr>
          <w:b/>
          <w:lang w:val="en-US"/>
        </w:rPr>
        <w:t xml:space="preserve">: </w:t>
      </w:r>
      <w:r w:rsidR="002257F0" w:rsidRPr="00B82ED6">
        <w:rPr>
          <w:lang w:val="en-US"/>
        </w:rPr>
        <w:t>The low mobility criterion for Rel-17 relaxed RLM/BFD operation is defined by RAN4.</w:t>
      </w:r>
    </w:p>
    <w:p w14:paraId="2D02A45A" w14:textId="77777777" w:rsidR="00B07DA6" w:rsidRPr="00B82ED6" w:rsidRDefault="00B07DA6" w:rsidP="007E3C7F">
      <w:pPr>
        <w:rPr>
          <w:b/>
          <w:u w:val="single"/>
          <w:lang w:val="en-US"/>
        </w:rPr>
      </w:pPr>
    </w:p>
    <w:p w14:paraId="062BB646" w14:textId="502DC39F" w:rsidR="007E3C7F" w:rsidRPr="00B82ED6" w:rsidRDefault="001E762B" w:rsidP="007E3C7F">
      <w:pPr>
        <w:rPr>
          <w:b/>
          <w:u w:val="single"/>
          <w:lang w:val="en-US"/>
        </w:rPr>
      </w:pPr>
      <w:r w:rsidRPr="00B82ED6">
        <w:rPr>
          <w:b/>
          <w:u w:val="single"/>
          <w:lang w:val="en-US"/>
        </w:rPr>
        <w:t>Good serving cell quality criteria</w:t>
      </w:r>
      <w:r w:rsidR="000C7FB8" w:rsidRPr="00B82ED6">
        <w:rPr>
          <w:b/>
          <w:u w:val="single"/>
          <w:lang w:val="en-US"/>
        </w:rPr>
        <w:t xml:space="preserve"> for RLM</w:t>
      </w:r>
      <w:r w:rsidR="004C4985" w:rsidRPr="00B82ED6">
        <w:rPr>
          <w:b/>
          <w:u w:val="single"/>
          <w:lang w:val="en-US"/>
        </w:rPr>
        <w:t xml:space="preserve"> and BFD</w:t>
      </w:r>
    </w:p>
    <w:p w14:paraId="0097BC11" w14:textId="4EEB72F6" w:rsidR="008F7C65" w:rsidRPr="00B82ED6" w:rsidRDefault="008F7C65" w:rsidP="007E3C7F">
      <w:pPr>
        <w:rPr>
          <w:lang w:val="en-US"/>
        </w:rPr>
      </w:pPr>
      <w:r w:rsidRPr="00B82ED6">
        <w:rPr>
          <w:lang w:val="en-US"/>
        </w:rPr>
        <w:t>Following agreement was reached at last meeting [1]:</w:t>
      </w:r>
    </w:p>
    <w:tbl>
      <w:tblPr>
        <w:tblStyle w:val="TableGrid"/>
        <w:tblW w:w="0" w:type="auto"/>
        <w:tblLook w:val="04A0" w:firstRow="1" w:lastRow="0" w:firstColumn="1" w:lastColumn="0" w:noHBand="0" w:noVBand="1"/>
      </w:tblPr>
      <w:tblGrid>
        <w:gridCol w:w="9629"/>
      </w:tblGrid>
      <w:tr w:rsidR="00460CEF" w:rsidRPr="00EB0492" w14:paraId="00ECE9C2" w14:textId="77777777" w:rsidTr="00460CEF">
        <w:tc>
          <w:tcPr>
            <w:tcW w:w="9629" w:type="dxa"/>
          </w:tcPr>
          <w:p w14:paraId="2B4F815A" w14:textId="77777777" w:rsidR="00460CEF" w:rsidRPr="00B82ED6" w:rsidRDefault="00460CEF" w:rsidP="00460CEF">
            <w:pPr>
              <w:spacing w:before="200" w:after="0"/>
              <w:rPr>
                <w:sz w:val="24"/>
                <w:lang w:val="en-US" w:eastAsia="zh-CN"/>
              </w:rPr>
            </w:pPr>
            <w:r w:rsidRPr="00B82ED6">
              <w:rPr>
                <w:sz w:val="24"/>
                <w:lang w:val="en-US" w:eastAsia="zh-CN"/>
              </w:rPr>
              <w:t>Agreement</w:t>
            </w:r>
          </w:p>
          <w:p w14:paraId="242217E3" w14:textId="77777777" w:rsidR="00460CEF" w:rsidRPr="00B82ED6" w:rsidRDefault="00460CEF" w:rsidP="00460CEF">
            <w:pPr>
              <w:overflowPunct w:val="0"/>
              <w:autoSpaceDE w:val="0"/>
              <w:autoSpaceDN w:val="0"/>
              <w:adjustRightInd w:val="0"/>
              <w:spacing w:after="0"/>
              <w:textAlignment w:val="baseline"/>
              <w:rPr>
                <w:rFonts w:eastAsia="Yu Mincho"/>
                <w:i/>
                <w:lang w:val="en-US"/>
              </w:rPr>
            </w:pPr>
            <w:r w:rsidRPr="00B82ED6">
              <w:rPr>
                <w:i/>
                <w:lang w:val="en-US"/>
              </w:rPr>
              <w:t>The good serving cell quality criteria for RLM is based on an offset X dB and Qx, while Qx is derived from PDCCH transmission parameters.</w:t>
            </w:r>
            <w:r w:rsidRPr="00B82ED6">
              <w:rPr>
                <w:lang w:val="en-US"/>
              </w:rPr>
              <w:t xml:space="preserve">  </w:t>
            </w:r>
            <w:r w:rsidRPr="00B82ED6">
              <w:rPr>
                <w:i/>
                <w:lang w:val="en-US"/>
              </w:rPr>
              <w:t xml:space="preserve">  </w:t>
            </w:r>
          </w:p>
          <w:p w14:paraId="4AFB302A" w14:textId="77777777" w:rsidR="00460CEF" w:rsidRPr="00D655F3" w:rsidRDefault="00460CEF" w:rsidP="00460CEF">
            <w:pPr>
              <w:pStyle w:val="ListParagraph"/>
              <w:numPr>
                <w:ilvl w:val="0"/>
                <w:numId w:val="26"/>
              </w:numPr>
              <w:overflowPunct w:val="0"/>
              <w:autoSpaceDE w:val="0"/>
              <w:autoSpaceDN w:val="0"/>
              <w:adjustRightInd w:val="0"/>
              <w:spacing w:before="100" w:beforeAutospacing="1" w:after="0" w:line="240" w:lineRule="auto"/>
              <w:textAlignment w:val="baseline"/>
              <w:rPr>
                <w:i/>
                <w:lang w:eastAsia="zh-CN"/>
              </w:rPr>
            </w:pPr>
            <w:r>
              <w:rPr>
                <w:rFonts w:eastAsia="PMingLiU" w:hint="eastAsia"/>
                <w:i/>
                <w:lang w:eastAsia="zh-TW"/>
              </w:rPr>
              <w:t>Option 1: Qx = Qou</w:t>
            </w:r>
            <w:r>
              <w:rPr>
                <w:rFonts w:eastAsia="PMingLiU"/>
                <w:i/>
                <w:lang w:eastAsia="zh-TW"/>
              </w:rPr>
              <w:t>t.</w:t>
            </w:r>
          </w:p>
          <w:p w14:paraId="217386CA" w14:textId="77777777" w:rsidR="00460CEF" w:rsidRPr="00B82ED6" w:rsidRDefault="00460CEF" w:rsidP="00460CEF">
            <w:pPr>
              <w:pStyle w:val="ListParagraph"/>
              <w:numPr>
                <w:ilvl w:val="1"/>
                <w:numId w:val="26"/>
              </w:numPr>
              <w:overflowPunct w:val="0"/>
              <w:autoSpaceDE w:val="0"/>
              <w:autoSpaceDN w:val="0"/>
              <w:adjustRightInd w:val="0"/>
              <w:spacing w:before="100" w:beforeAutospacing="1" w:after="0" w:line="240" w:lineRule="auto"/>
              <w:textAlignment w:val="baseline"/>
              <w:rPr>
                <w:i/>
                <w:lang w:val="en-US" w:eastAsia="zh-CN"/>
              </w:rPr>
            </w:pPr>
            <w:r w:rsidRPr="00B82ED6">
              <w:rPr>
                <w:rFonts w:eastAsia="PMingLiU"/>
                <w:i/>
                <w:lang w:val="en-US" w:eastAsia="zh-TW"/>
              </w:rPr>
              <w:t xml:space="preserve">Note: Larger value of X can be considered. </w:t>
            </w:r>
          </w:p>
          <w:p w14:paraId="6806AA74" w14:textId="77777777" w:rsidR="00460CEF" w:rsidRPr="00B82ED6" w:rsidRDefault="00460CEF" w:rsidP="00460CEF">
            <w:pPr>
              <w:pStyle w:val="ListParagraph"/>
              <w:numPr>
                <w:ilvl w:val="1"/>
                <w:numId w:val="26"/>
              </w:numPr>
              <w:overflowPunct w:val="0"/>
              <w:autoSpaceDE w:val="0"/>
              <w:autoSpaceDN w:val="0"/>
              <w:adjustRightInd w:val="0"/>
              <w:spacing w:before="100" w:beforeAutospacing="1" w:after="0" w:line="240" w:lineRule="auto"/>
              <w:textAlignment w:val="baseline"/>
              <w:rPr>
                <w:i/>
                <w:lang w:val="en-US" w:eastAsia="zh-CN"/>
              </w:rPr>
            </w:pPr>
            <w:r w:rsidRPr="00B82ED6">
              <w:rPr>
                <w:rFonts w:eastAsia="PMingLiU"/>
                <w:i/>
                <w:lang w:val="en-US" w:eastAsia="zh-TW"/>
              </w:rPr>
              <w:t>Note: Companies are encouraged to provide the range/value of offset X.</w:t>
            </w:r>
          </w:p>
          <w:p w14:paraId="62C61162" w14:textId="77777777" w:rsidR="00460CEF" w:rsidRPr="00FD647F" w:rsidRDefault="00460CEF" w:rsidP="00460CEF">
            <w:pPr>
              <w:pStyle w:val="ListParagraph"/>
              <w:numPr>
                <w:ilvl w:val="0"/>
                <w:numId w:val="26"/>
              </w:numPr>
              <w:overflowPunct w:val="0"/>
              <w:autoSpaceDE w:val="0"/>
              <w:autoSpaceDN w:val="0"/>
              <w:adjustRightInd w:val="0"/>
              <w:spacing w:before="100" w:beforeAutospacing="1" w:after="0" w:line="240" w:lineRule="auto"/>
              <w:textAlignment w:val="baseline"/>
              <w:rPr>
                <w:i/>
                <w:lang w:eastAsia="zh-CN"/>
              </w:rPr>
            </w:pPr>
            <w:r>
              <w:rPr>
                <w:rFonts w:eastAsia="PMingLiU"/>
                <w:i/>
                <w:lang w:eastAsia="zh-TW"/>
              </w:rPr>
              <w:t>Option 2: Qx = Qin</w:t>
            </w:r>
          </w:p>
          <w:p w14:paraId="04671067" w14:textId="37AE6AD4" w:rsidR="00460CEF" w:rsidRPr="00B82ED6" w:rsidRDefault="00460CEF" w:rsidP="008501E5">
            <w:pPr>
              <w:pStyle w:val="ListParagraph"/>
              <w:numPr>
                <w:ilvl w:val="1"/>
                <w:numId w:val="26"/>
              </w:numPr>
              <w:overflowPunct w:val="0"/>
              <w:autoSpaceDE w:val="0"/>
              <w:autoSpaceDN w:val="0"/>
              <w:adjustRightInd w:val="0"/>
              <w:spacing w:before="100" w:beforeAutospacing="1" w:after="0" w:line="240" w:lineRule="auto"/>
              <w:textAlignment w:val="baseline"/>
              <w:rPr>
                <w:i/>
                <w:lang w:val="en-US" w:eastAsia="zh-CN"/>
              </w:rPr>
            </w:pPr>
            <w:r w:rsidRPr="00B82ED6">
              <w:rPr>
                <w:rFonts w:eastAsia="PMingLiU"/>
                <w:i/>
                <w:lang w:val="en-US" w:eastAsia="zh-TW"/>
              </w:rPr>
              <w:t xml:space="preserve">Option 2a: Qx = Qin, while set offset as X = 0 dB. </w:t>
            </w:r>
          </w:p>
        </w:tc>
      </w:tr>
    </w:tbl>
    <w:p w14:paraId="39A61E49" w14:textId="0F5F2B61" w:rsidR="00460CEF" w:rsidRPr="00B82ED6" w:rsidRDefault="00460CEF" w:rsidP="007E3C7F">
      <w:pPr>
        <w:rPr>
          <w:lang w:val="en-US"/>
        </w:rPr>
      </w:pPr>
    </w:p>
    <w:p w14:paraId="70D41AF1" w14:textId="7A1FC530" w:rsidR="00823B4E" w:rsidRPr="00B82ED6" w:rsidRDefault="004C4985" w:rsidP="004C4985">
      <w:pPr>
        <w:rPr>
          <w:lang w:val="en-US" w:eastAsia="zh-CN"/>
        </w:rPr>
      </w:pPr>
      <w:r w:rsidRPr="00B82ED6">
        <w:rPr>
          <w:lang w:val="en-US" w:eastAsia="zh-CN"/>
        </w:rPr>
        <w:t>The serving cell quality threshold used for allowing the relaxed RLM/BFD can be expressed as function of RLM OOS threshold or BFD threshold because the estimated SINR is subject to UE implementations. By using an offset with respect existing RLM/BFD threshold, the same good serving cell criterion can be used for all UEs regardless of implementations. For example, the UE is allowed to relax when the network has determined the UE to be in low mobility conditions and when estimated radio link quality is above Q</w:t>
      </w:r>
      <w:r w:rsidRPr="00B82ED6">
        <w:rPr>
          <w:vertAlign w:val="subscript"/>
          <w:lang w:val="en-US" w:eastAsia="zh-CN"/>
        </w:rPr>
        <w:t>out</w:t>
      </w:r>
      <w:r w:rsidRPr="00B82ED6">
        <w:rPr>
          <w:lang w:val="en-US" w:eastAsia="zh-CN"/>
        </w:rPr>
        <w:t xml:space="preserve"> + X (dB) and </w:t>
      </w:r>
      <w:proofErr w:type="gramStart"/>
      <w:r w:rsidRPr="00B82ED6">
        <w:rPr>
          <w:lang w:val="en-US" w:eastAsia="zh-CN"/>
        </w:rPr>
        <w:t>Q</w:t>
      </w:r>
      <w:r w:rsidRPr="00B82ED6">
        <w:rPr>
          <w:vertAlign w:val="subscript"/>
          <w:lang w:val="en-US" w:eastAsia="zh-CN"/>
        </w:rPr>
        <w:t>out,LR</w:t>
      </w:r>
      <w:proofErr w:type="gramEnd"/>
      <w:r w:rsidRPr="00B82ED6">
        <w:rPr>
          <w:lang w:val="en-US" w:eastAsia="zh-CN"/>
        </w:rPr>
        <w:t xml:space="preserve"> + Y (dB) for RLM and BFD respectively. Values of X and Y can be further discussed and agreed in RAN4. </w:t>
      </w:r>
      <w:r w:rsidR="00BE50DF" w:rsidRPr="00B82ED6">
        <w:rPr>
          <w:lang w:val="en-US" w:eastAsia="zh-CN"/>
        </w:rPr>
        <w:t>Our view is that these offsets are predefined in the specification and it simpli</w:t>
      </w:r>
      <w:r w:rsidR="000B76D2" w:rsidRPr="00B82ED6">
        <w:rPr>
          <w:lang w:val="en-US" w:eastAsia="zh-CN"/>
        </w:rPr>
        <w:t xml:space="preserve">fies </w:t>
      </w:r>
      <w:r w:rsidR="00BE50DF" w:rsidRPr="00B82ED6">
        <w:rPr>
          <w:lang w:val="en-US" w:eastAsia="zh-CN"/>
        </w:rPr>
        <w:t xml:space="preserve">the work both in RAN2 and RAN4, however the values might be different for RLM and BFD since they are triggered at different stages. </w:t>
      </w:r>
      <w:r w:rsidR="000744AE" w:rsidRPr="00B82ED6">
        <w:rPr>
          <w:lang w:val="en-US" w:eastAsia="zh-CN"/>
        </w:rPr>
        <w:t xml:space="preserve">In existing </w:t>
      </w:r>
      <w:r w:rsidR="006D57B2" w:rsidRPr="00B82ED6">
        <w:rPr>
          <w:lang w:val="en-US" w:eastAsia="zh-CN"/>
        </w:rPr>
        <w:t xml:space="preserve">performance </w:t>
      </w:r>
      <w:r w:rsidR="000744AE" w:rsidRPr="00B82ED6">
        <w:rPr>
          <w:lang w:val="en-US" w:eastAsia="zh-CN"/>
        </w:rPr>
        <w:t>requirements</w:t>
      </w:r>
      <w:r w:rsidR="006D57B2" w:rsidRPr="00B82ED6">
        <w:rPr>
          <w:lang w:val="en-US" w:eastAsia="zh-CN"/>
        </w:rPr>
        <w:t>,</w:t>
      </w:r>
      <w:r w:rsidR="000744AE" w:rsidRPr="00B82ED6">
        <w:rPr>
          <w:lang w:val="en-US" w:eastAsia="zh-CN"/>
        </w:rPr>
        <w:t xml:space="preserve"> </w:t>
      </w:r>
      <w:r w:rsidR="006D57B2" w:rsidRPr="00B82ED6">
        <w:rPr>
          <w:lang w:val="en-US" w:eastAsia="zh-CN"/>
        </w:rPr>
        <w:t xml:space="preserve">it is designed </w:t>
      </w:r>
      <w:r w:rsidR="00C3019E" w:rsidRPr="00B82ED6">
        <w:rPr>
          <w:lang w:val="en-US" w:eastAsia="zh-CN"/>
        </w:rPr>
        <w:t xml:space="preserve">Qout is triggered at -10 dB and BFD at </w:t>
      </w:r>
      <w:r w:rsidR="00C3019E" w:rsidRPr="00B82ED6">
        <w:rPr>
          <w:lang w:val="en-US" w:eastAsia="zh-CN"/>
        </w:rPr>
        <w:lastRenderedPageBreak/>
        <w:t>-7 dB, a reasonable value for X and Y can be X=15 dB and Y=12 dB respectivel</w:t>
      </w:r>
      <w:r w:rsidR="006D57B2" w:rsidRPr="00B82ED6">
        <w:rPr>
          <w:lang w:val="en-US" w:eastAsia="zh-CN"/>
        </w:rPr>
        <w:t xml:space="preserve">y, considering the difference between Qout and Qin around 10dB and additional margin. </w:t>
      </w:r>
    </w:p>
    <w:p w14:paraId="24A4E720" w14:textId="5D9323DF" w:rsidR="004C4985" w:rsidRPr="00B82ED6" w:rsidRDefault="004C4985" w:rsidP="004C4985">
      <w:pPr>
        <w:rPr>
          <w:lang w:val="en-US" w:eastAsia="zh-CN"/>
        </w:rPr>
      </w:pPr>
      <w:proofErr w:type="gramStart"/>
      <w:r w:rsidRPr="00B82ED6">
        <w:rPr>
          <w:lang w:val="en-US" w:eastAsia="zh-CN"/>
        </w:rPr>
        <w:t>Therefore</w:t>
      </w:r>
      <w:proofErr w:type="gramEnd"/>
      <w:r w:rsidRPr="00B82ED6">
        <w:rPr>
          <w:lang w:val="en-US" w:eastAsia="zh-CN"/>
        </w:rPr>
        <w:t xml:space="preserve"> we make following proposals:</w:t>
      </w:r>
    </w:p>
    <w:p w14:paraId="119A550B" w14:textId="0FAA046E" w:rsidR="00B51070" w:rsidRPr="00B82ED6" w:rsidRDefault="00B51070" w:rsidP="00B51070">
      <w:pPr>
        <w:pStyle w:val="ListParagraph"/>
        <w:numPr>
          <w:ilvl w:val="0"/>
          <w:numId w:val="15"/>
        </w:numPr>
        <w:rPr>
          <w:lang w:val="en-US" w:eastAsia="zh-CN"/>
        </w:rPr>
      </w:pPr>
      <w:r w:rsidRPr="00B82ED6">
        <w:rPr>
          <w:b/>
          <w:bCs/>
          <w:lang w:val="en-US" w:eastAsia="zh-CN"/>
        </w:rPr>
        <w:t>Proposal #</w:t>
      </w:r>
      <w:r w:rsidR="00823A48" w:rsidRPr="00B82ED6">
        <w:rPr>
          <w:b/>
          <w:bCs/>
          <w:lang w:val="en-US" w:eastAsia="zh-CN"/>
        </w:rPr>
        <w:t>11</w:t>
      </w:r>
      <w:r w:rsidRPr="00B82ED6">
        <w:rPr>
          <w:b/>
          <w:bCs/>
          <w:lang w:val="en-US" w:eastAsia="zh-CN"/>
        </w:rPr>
        <w:t xml:space="preserve">: </w:t>
      </w:r>
      <w:r w:rsidRPr="00B82ED6">
        <w:rPr>
          <w:lang w:val="en-US" w:eastAsia="zh-CN"/>
        </w:rPr>
        <w:t xml:space="preserve">Offsets X and Y used in good serving cell quality for </w:t>
      </w:r>
      <w:proofErr w:type="gramStart"/>
      <w:r w:rsidRPr="00B82ED6">
        <w:rPr>
          <w:lang w:val="en-US" w:eastAsia="zh-CN"/>
        </w:rPr>
        <w:t>RLM</w:t>
      </w:r>
      <w:proofErr w:type="gramEnd"/>
      <w:r w:rsidRPr="00B82ED6">
        <w:rPr>
          <w:lang w:val="en-US" w:eastAsia="zh-CN"/>
        </w:rPr>
        <w:t xml:space="preserve"> and BFD are predefined.</w:t>
      </w:r>
    </w:p>
    <w:p w14:paraId="5DF94EA8" w14:textId="77777777" w:rsidR="000236E7" w:rsidRPr="00B82ED6" w:rsidRDefault="000236E7" w:rsidP="008501E5">
      <w:pPr>
        <w:pStyle w:val="ListParagraph"/>
        <w:ind w:left="786"/>
        <w:rPr>
          <w:lang w:val="en-US" w:eastAsia="zh-CN"/>
        </w:rPr>
      </w:pPr>
    </w:p>
    <w:p w14:paraId="6A6AF20B" w14:textId="0878B81F" w:rsidR="00B148A7" w:rsidRPr="00B82ED6" w:rsidRDefault="00B148A7" w:rsidP="00B148A7">
      <w:pPr>
        <w:pStyle w:val="ListParagraph"/>
        <w:numPr>
          <w:ilvl w:val="0"/>
          <w:numId w:val="15"/>
        </w:numPr>
        <w:rPr>
          <w:lang w:val="en-US" w:eastAsia="zh-CN"/>
        </w:rPr>
      </w:pPr>
      <w:r w:rsidRPr="00B82ED6">
        <w:rPr>
          <w:b/>
          <w:bCs/>
          <w:lang w:val="en-US" w:eastAsia="zh-CN"/>
        </w:rPr>
        <w:t>Proposal #</w:t>
      </w:r>
      <w:r w:rsidR="00823A48" w:rsidRPr="00B82ED6">
        <w:rPr>
          <w:b/>
          <w:bCs/>
          <w:lang w:val="en-US" w:eastAsia="zh-CN"/>
        </w:rPr>
        <w:t>12</w:t>
      </w:r>
      <w:r w:rsidRPr="00B82ED6">
        <w:rPr>
          <w:b/>
          <w:bCs/>
          <w:lang w:val="en-US" w:eastAsia="zh-CN"/>
        </w:rPr>
        <w:t xml:space="preserve">: </w:t>
      </w:r>
      <w:r w:rsidRPr="00B82ED6">
        <w:rPr>
          <w:lang w:val="en-US" w:eastAsia="zh-CN"/>
        </w:rPr>
        <w:t xml:space="preserve">Offsets X and Y used in good serving cell quality for </w:t>
      </w:r>
      <w:proofErr w:type="gramStart"/>
      <w:r w:rsidRPr="00B82ED6">
        <w:rPr>
          <w:lang w:val="en-US" w:eastAsia="zh-CN"/>
        </w:rPr>
        <w:t>RLM</w:t>
      </w:r>
      <w:proofErr w:type="gramEnd"/>
      <w:r w:rsidRPr="00B82ED6">
        <w:rPr>
          <w:lang w:val="en-US" w:eastAsia="zh-CN"/>
        </w:rPr>
        <w:t xml:space="preserve"> and BFD are different.</w:t>
      </w:r>
    </w:p>
    <w:p w14:paraId="0D791715" w14:textId="77777777" w:rsidR="00546004" w:rsidRPr="00B82ED6" w:rsidRDefault="00546004" w:rsidP="008501E5">
      <w:pPr>
        <w:pStyle w:val="ListParagraph"/>
        <w:rPr>
          <w:highlight w:val="yellow"/>
          <w:lang w:val="en-US" w:eastAsia="zh-CN"/>
        </w:rPr>
      </w:pPr>
    </w:p>
    <w:p w14:paraId="736EA6BB" w14:textId="1A3C2DAB" w:rsidR="00546004" w:rsidRPr="00B82ED6" w:rsidRDefault="00546004" w:rsidP="00546004">
      <w:pPr>
        <w:pStyle w:val="ListParagraph"/>
        <w:numPr>
          <w:ilvl w:val="0"/>
          <w:numId w:val="15"/>
        </w:numPr>
        <w:rPr>
          <w:lang w:val="en-US" w:eastAsia="zh-CN"/>
        </w:rPr>
      </w:pPr>
      <w:r w:rsidRPr="00B82ED6">
        <w:rPr>
          <w:b/>
          <w:bCs/>
          <w:lang w:val="en-US" w:eastAsia="zh-CN"/>
        </w:rPr>
        <w:t>Proposal #</w:t>
      </w:r>
      <w:r w:rsidR="00823A48" w:rsidRPr="00B82ED6">
        <w:rPr>
          <w:b/>
          <w:bCs/>
          <w:lang w:val="en-US" w:eastAsia="zh-CN"/>
        </w:rPr>
        <w:t>13</w:t>
      </w:r>
      <w:r w:rsidRPr="00B82ED6">
        <w:rPr>
          <w:b/>
          <w:bCs/>
          <w:lang w:val="en-US" w:eastAsia="zh-CN"/>
        </w:rPr>
        <w:t xml:space="preserve">: </w:t>
      </w:r>
      <w:r w:rsidRPr="00B82ED6">
        <w:rPr>
          <w:lang w:val="en-US" w:eastAsia="zh-CN"/>
        </w:rPr>
        <w:t xml:space="preserve">The good serving cell quality for RLM is based on </w:t>
      </w:r>
      <w:r w:rsidRPr="00B82ED6">
        <w:rPr>
          <w:rFonts w:eastAsia="PMingLiU" w:hint="eastAsia"/>
          <w:lang w:val="en-US" w:eastAsia="zh-TW"/>
        </w:rPr>
        <w:t>Qx = Qou</w:t>
      </w:r>
      <w:r w:rsidRPr="00B82ED6">
        <w:rPr>
          <w:rFonts w:eastAsia="PMingLiU"/>
          <w:lang w:val="en-US" w:eastAsia="zh-TW"/>
        </w:rPr>
        <w:t xml:space="preserve">t, where </w:t>
      </w:r>
      <w:r w:rsidRPr="00B82ED6">
        <w:rPr>
          <w:lang w:val="en-US" w:eastAsia="zh-CN"/>
        </w:rPr>
        <w:t xml:space="preserve">X = 15 dB. </w:t>
      </w:r>
    </w:p>
    <w:p w14:paraId="76FF3EA1" w14:textId="77777777" w:rsidR="00546004" w:rsidRPr="00B82ED6" w:rsidRDefault="00546004" w:rsidP="00546004">
      <w:pPr>
        <w:pStyle w:val="ListParagraph"/>
        <w:ind w:left="786"/>
        <w:rPr>
          <w:lang w:val="en-US" w:eastAsia="zh-CN"/>
        </w:rPr>
      </w:pPr>
    </w:p>
    <w:p w14:paraId="39129981" w14:textId="11B0B9A3" w:rsidR="00546004" w:rsidRPr="00B82ED6" w:rsidRDefault="00546004" w:rsidP="00546004">
      <w:pPr>
        <w:pStyle w:val="ListParagraph"/>
        <w:numPr>
          <w:ilvl w:val="0"/>
          <w:numId w:val="15"/>
        </w:numPr>
        <w:rPr>
          <w:lang w:val="en-US" w:eastAsia="zh-CN"/>
        </w:rPr>
      </w:pPr>
      <w:r w:rsidRPr="00B82ED6">
        <w:rPr>
          <w:b/>
          <w:bCs/>
          <w:lang w:val="en-US" w:eastAsia="zh-CN"/>
        </w:rPr>
        <w:t>Proposal #</w:t>
      </w:r>
      <w:r w:rsidR="00823A48" w:rsidRPr="00B82ED6">
        <w:rPr>
          <w:b/>
          <w:bCs/>
          <w:lang w:val="en-US" w:eastAsia="zh-CN"/>
        </w:rPr>
        <w:t>14</w:t>
      </w:r>
      <w:r w:rsidRPr="00B82ED6">
        <w:rPr>
          <w:b/>
          <w:bCs/>
          <w:lang w:val="en-US" w:eastAsia="zh-CN"/>
        </w:rPr>
        <w:t xml:space="preserve">: </w:t>
      </w:r>
      <w:r w:rsidRPr="00B82ED6">
        <w:rPr>
          <w:lang w:val="en-US" w:eastAsia="zh-CN"/>
        </w:rPr>
        <w:t xml:space="preserve">The good serving cell quality for BFD is based on </w:t>
      </w:r>
      <w:r w:rsidRPr="00B82ED6">
        <w:rPr>
          <w:lang w:val="en-US"/>
        </w:rPr>
        <w:t xml:space="preserve">radio link quality &gt; Qout_LR + Y (dB), Y </w:t>
      </w:r>
      <w:r w:rsidRPr="00B82ED6">
        <w:rPr>
          <w:lang w:val="en-US" w:eastAsia="zh-CN"/>
        </w:rPr>
        <w:t>= 12 dB</w:t>
      </w:r>
      <w:r w:rsidR="007674F6" w:rsidRPr="00B82ED6">
        <w:rPr>
          <w:lang w:val="en-US" w:eastAsia="zh-CN"/>
        </w:rPr>
        <w:t>.</w:t>
      </w:r>
    </w:p>
    <w:p w14:paraId="6CB2411E" w14:textId="77777777" w:rsidR="00546004" w:rsidRPr="00B82ED6" w:rsidRDefault="00546004" w:rsidP="008501E5">
      <w:pPr>
        <w:pStyle w:val="ListParagraph"/>
        <w:ind w:left="786"/>
        <w:rPr>
          <w:highlight w:val="yellow"/>
          <w:lang w:val="en-US" w:eastAsia="zh-CN"/>
        </w:rPr>
      </w:pPr>
    </w:p>
    <w:p w14:paraId="510FDFFC" w14:textId="77777777" w:rsidR="004C4985" w:rsidRPr="00B82ED6" w:rsidRDefault="004C4985" w:rsidP="007E3C7F">
      <w:pPr>
        <w:rPr>
          <w:lang w:val="en-US"/>
        </w:rPr>
      </w:pPr>
    </w:p>
    <w:p w14:paraId="229F28CA" w14:textId="77777777" w:rsidR="00E1430E" w:rsidRPr="00B82ED6" w:rsidRDefault="00E1430E" w:rsidP="00E1430E">
      <w:pPr>
        <w:rPr>
          <w:b/>
          <w:bCs/>
          <w:u w:val="single"/>
          <w:lang w:val="en-US" w:eastAsia="zh-CN"/>
        </w:rPr>
      </w:pPr>
      <w:r w:rsidRPr="00B82ED6">
        <w:rPr>
          <w:b/>
          <w:bCs/>
          <w:u w:val="single"/>
          <w:lang w:val="en-US" w:eastAsia="zh-CN"/>
        </w:rPr>
        <w:t>Additional exiting relaxation criteria</w:t>
      </w:r>
    </w:p>
    <w:p w14:paraId="4EEC9E74" w14:textId="77777777" w:rsidR="00E1430E" w:rsidRPr="008501E5" w:rsidRDefault="00E1430E" w:rsidP="00E1430E">
      <w:pPr>
        <w:rPr>
          <w:lang w:eastAsia="zh-CN"/>
        </w:rPr>
      </w:pPr>
      <w:r w:rsidRPr="00B82ED6">
        <w:rPr>
          <w:lang w:val="en-US" w:eastAsia="zh-CN"/>
        </w:rPr>
        <w:t xml:space="preserve">RAN4 has previously discussed and agreed on numerous exiting criteria for relaxed RLM. </w:t>
      </w:r>
      <w:r w:rsidRPr="008501E5">
        <w:rPr>
          <w:lang w:eastAsia="zh-CN"/>
        </w:rPr>
        <w:t>See the following agreement from RAN4#98-e-Bis meeting:</w:t>
      </w:r>
    </w:p>
    <w:tbl>
      <w:tblPr>
        <w:tblStyle w:val="TableGrid"/>
        <w:tblW w:w="0" w:type="auto"/>
        <w:tblLook w:val="04A0" w:firstRow="1" w:lastRow="0" w:firstColumn="1" w:lastColumn="0" w:noHBand="0" w:noVBand="1"/>
      </w:tblPr>
      <w:tblGrid>
        <w:gridCol w:w="9629"/>
      </w:tblGrid>
      <w:tr w:rsidR="00E1430E" w:rsidRPr="00EB0492" w14:paraId="7F71886B" w14:textId="77777777" w:rsidTr="00157453">
        <w:tc>
          <w:tcPr>
            <w:tcW w:w="9629" w:type="dxa"/>
          </w:tcPr>
          <w:p w14:paraId="6687B682" w14:textId="77777777" w:rsidR="00E1430E" w:rsidRPr="00B82ED6" w:rsidRDefault="00E1430E" w:rsidP="00157453">
            <w:pPr>
              <w:pStyle w:val="ListParagraph"/>
              <w:numPr>
                <w:ilvl w:val="1"/>
                <w:numId w:val="15"/>
              </w:numPr>
              <w:spacing w:after="120"/>
              <w:rPr>
                <w:rFonts w:eastAsia="SimSun"/>
                <w:i/>
                <w:szCs w:val="24"/>
                <w:lang w:val="en-US" w:eastAsia="zh-CN"/>
              </w:rPr>
            </w:pPr>
            <w:r w:rsidRPr="00B82ED6">
              <w:rPr>
                <w:rFonts w:eastAsia="SimSun"/>
                <w:i/>
                <w:szCs w:val="24"/>
                <w:lang w:val="en-US" w:eastAsia="zh-CN"/>
              </w:rPr>
              <w:t>The UE while performing relaxed RLM upon detecting certain number of out-of-sync indications or upon triggering T310 or upon observed link quality degradation or mobility state change reverts to the normal RLM operation (</w:t>
            </w:r>
            <w:proofErr w:type="gramStart"/>
            <w:r w:rsidRPr="00B82ED6">
              <w:rPr>
                <w:rFonts w:eastAsia="SimSun"/>
                <w:i/>
                <w:szCs w:val="24"/>
                <w:lang w:val="en-US" w:eastAsia="zh-CN"/>
              </w:rPr>
              <w:t>i.e.</w:t>
            </w:r>
            <w:proofErr w:type="gramEnd"/>
            <w:r w:rsidRPr="00B82ED6">
              <w:rPr>
                <w:rFonts w:eastAsia="SimSun"/>
                <w:i/>
                <w:szCs w:val="24"/>
                <w:lang w:val="en-US" w:eastAsia="zh-CN"/>
              </w:rPr>
              <w:t xml:space="preserve"> without relaxation).</w:t>
            </w:r>
          </w:p>
        </w:tc>
      </w:tr>
    </w:tbl>
    <w:p w14:paraId="418B5FFD" w14:textId="77777777" w:rsidR="00E1430E" w:rsidRPr="00B82ED6" w:rsidRDefault="00E1430E" w:rsidP="00E1430E">
      <w:pPr>
        <w:rPr>
          <w:lang w:val="en-US" w:eastAsia="zh-CN"/>
        </w:rPr>
      </w:pPr>
    </w:p>
    <w:p w14:paraId="1AEE5523" w14:textId="77777777" w:rsidR="00E1430E" w:rsidRPr="00B82ED6" w:rsidRDefault="00E1430E" w:rsidP="00E1430E">
      <w:pPr>
        <w:rPr>
          <w:lang w:val="en-US" w:eastAsia="zh-CN"/>
        </w:rPr>
      </w:pPr>
      <w:r w:rsidRPr="00B82ED6">
        <w:rPr>
          <w:lang w:val="en-US" w:eastAsia="zh-CN"/>
        </w:rPr>
        <w:t>Additional agreement was reached in RAN4-99-e-Bis meeting:</w:t>
      </w:r>
    </w:p>
    <w:tbl>
      <w:tblPr>
        <w:tblStyle w:val="TableGrid"/>
        <w:tblW w:w="0" w:type="auto"/>
        <w:tblLook w:val="04A0" w:firstRow="1" w:lastRow="0" w:firstColumn="1" w:lastColumn="0" w:noHBand="0" w:noVBand="1"/>
      </w:tblPr>
      <w:tblGrid>
        <w:gridCol w:w="9629"/>
      </w:tblGrid>
      <w:tr w:rsidR="00E1430E" w:rsidRPr="00EB0492" w14:paraId="2BF4D84C" w14:textId="77777777" w:rsidTr="00157453">
        <w:tc>
          <w:tcPr>
            <w:tcW w:w="9629" w:type="dxa"/>
          </w:tcPr>
          <w:p w14:paraId="4444EC97" w14:textId="77777777" w:rsidR="00E1430E" w:rsidRPr="00B82ED6" w:rsidRDefault="00E1430E" w:rsidP="00157453">
            <w:pPr>
              <w:numPr>
                <w:ilvl w:val="1"/>
                <w:numId w:val="15"/>
              </w:numPr>
              <w:spacing w:after="120"/>
              <w:rPr>
                <w:i/>
                <w:szCs w:val="24"/>
                <w:lang w:val="en-US" w:eastAsia="zh-CN"/>
              </w:rPr>
            </w:pPr>
            <w:r w:rsidRPr="00B82ED6">
              <w:rPr>
                <w:i/>
                <w:szCs w:val="24"/>
                <w:lang w:val="en-US" w:eastAsia="zh-CN"/>
              </w:rPr>
              <w:t>If the UE fulfills any of serving cell quality exit condition or low mobility exit condition, or DRX cycle length is NOT allowed for relaxation, UE will exit relaxation mode.</w:t>
            </w:r>
          </w:p>
          <w:p w14:paraId="233544A2" w14:textId="77777777" w:rsidR="00E1430E" w:rsidRPr="00B82ED6" w:rsidRDefault="00E1430E" w:rsidP="00157453">
            <w:pPr>
              <w:numPr>
                <w:ilvl w:val="2"/>
                <w:numId w:val="15"/>
              </w:numPr>
              <w:spacing w:after="120"/>
              <w:rPr>
                <w:i/>
                <w:szCs w:val="24"/>
                <w:lang w:val="en-US" w:eastAsia="zh-CN"/>
              </w:rPr>
            </w:pPr>
            <w:r w:rsidRPr="00B82ED6">
              <w:rPr>
                <w:i/>
                <w:szCs w:val="24"/>
                <w:lang w:val="en-US" w:eastAsia="zh-CN"/>
              </w:rPr>
              <w:t>Note1: Whether the exit condition for serving cell quality is explicitly specified or not is up to issue 2-3-2.</w:t>
            </w:r>
          </w:p>
          <w:p w14:paraId="4D96C448" w14:textId="77777777" w:rsidR="00E1430E" w:rsidRPr="00B82ED6" w:rsidRDefault="00E1430E" w:rsidP="00157453">
            <w:pPr>
              <w:numPr>
                <w:ilvl w:val="2"/>
                <w:numId w:val="15"/>
              </w:numPr>
              <w:spacing w:after="120"/>
              <w:rPr>
                <w:i/>
                <w:szCs w:val="24"/>
                <w:lang w:val="en-US" w:eastAsia="zh-CN"/>
              </w:rPr>
            </w:pPr>
            <w:r w:rsidRPr="00B82ED6">
              <w:rPr>
                <w:i/>
                <w:szCs w:val="24"/>
                <w:lang w:val="en-US" w:eastAsia="zh-CN"/>
              </w:rPr>
              <w:t>Note2: FFS the details of the exit condition of low mobility’</w:t>
            </w:r>
          </w:p>
        </w:tc>
      </w:tr>
    </w:tbl>
    <w:p w14:paraId="6B1AA2CA" w14:textId="77777777" w:rsidR="00E1430E" w:rsidRPr="00B82ED6" w:rsidRDefault="00E1430E" w:rsidP="00E1430E">
      <w:pPr>
        <w:rPr>
          <w:lang w:val="en-US" w:eastAsia="zh-CN"/>
        </w:rPr>
      </w:pPr>
    </w:p>
    <w:p w14:paraId="77E40EA6" w14:textId="77777777" w:rsidR="00E1430E" w:rsidRPr="00B82ED6" w:rsidRDefault="00E1430E" w:rsidP="00E1430E">
      <w:pPr>
        <w:rPr>
          <w:lang w:val="en-US" w:eastAsia="zh-CN"/>
        </w:rPr>
      </w:pPr>
      <w:r w:rsidRPr="00B82ED6">
        <w:rPr>
          <w:lang w:val="en-US" w:eastAsia="zh-CN"/>
        </w:rPr>
        <w:t>Following additional criteria are being discussed for exiting the relaxed RLM [1]:</w:t>
      </w:r>
    </w:p>
    <w:tbl>
      <w:tblPr>
        <w:tblStyle w:val="TableGrid"/>
        <w:tblW w:w="0" w:type="auto"/>
        <w:tblLook w:val="04A0" w:firstRow="1" w:lastRow="0" w:firstColumn="1" w:lastColumn="0" w:noHBand="0" w:noVBand="1"/>
      </w:tblPr>
      <w:tblGrid>
        <w:gridCol w:w="9629"/>
      </w:tblGrid>
      <w:tr w:rsidR="00E1430E" w:rsidRPr="00EB0492" w14:paraId="6CF1C916" w14:textId="77777777" w:rsidTr="00157453">
        <w:tc>
          <w:tcPr>
            <w:tcW w:w="9629" w:type="dxa"/>
          </w:tcPr>
          <w:p w14:paraId="7E66815D" w14:textId="77777777" w:rsidR="00E1430E" w:rsidRPr="001B6EE5" w:rsidRDefault="00E1430E" w:rsidP="00E1430E">
            <w:pPr>
              <w:spacing w:after="120"/>
              <w:rPr>
                <w:rFonts w:eastAsia="PMingLiU"/>
                <w:bCs/>
                <w:color w:val="000000"/>
                <w:lang w:eastAsia="zh-TW"/>
              </w:rPr>
            </w:pPr>
            <w:r>
              <w:t>Proposals</w:t>
            </w:r>
          </w:p>
          <w:p w14:paraId="3D7DB682" w14:textId="77777777" w:rsidR="00E1430E" w:rsidRPr="00B82ED6" w:rsidRDefault="00E1430E" w:rsidP="00E1430E">
            <w:pPr>
              <w:numPr>
                <w:ilvl w:val="0"/>
                <w:numId w:val="15"/>
              </w:numPr>
              <w:spacing w:before="100" w:beforeAutospacing="1" w:after="0" w:line="256" w:lineRule="auto"/>
              <w:textAlignment w:val="center"/>
              <w:rPr>
                <w:lang w:val="en-US"/>
              </w:rPr>
            </w:pPr>
            <w:r w:rsidRPr="00B82ED6">
              <w:rPr>
                <w:rFonts w:eastAsia="PMingLiU"/>
                <w:lang w:val="en-US" w:eastAsia="zh-TW"/>
              </w:rPr>
              <w:t xml:space="preserve">Option 1: No additional criteria are needed, previous agreement from 98-e-bis and 99-e-bis are sufficient. </w:t>
            </w:r>
            <w:r w:rsidRPr="00B82ED6">
              <w:rPr>
                <w:bCs/>
                <w:lang w:val="en-US"/>
              </w:rPr>
              <w:t xml:space="preserve"> </w:t>
            </w:r>
          </w:p>
          <w:p w14:paraId="1ACF7E75" w14:textId="77777777" w:rsidR="00E1430E" w:rsidRPr="00B82ED6" w:rsidRDefault="00E1430E" w:rsidP="00E1430E">
            <w:pPr>
              <w:numPr>
                <w:ilvl w:val="0"/>
                <w:numId w:val="15"/>
              </w:numPr>
              <w:spacing w:before="100" w:beforeAutospacing="1" w:after="0" w:line="256" w:lineRule="auto"/>
              <w:textAlignment w:val="center"/>
              <w:rPr>
                <w:lang w:val="en-US"/>
              </w:rPr>
            </w:pPr>
            <w:r w:rsidRPr="00B82ED6">
              <w:rPr>
                <w:lang w:val="en-US"/>
              </w:rPr>
              <w:t xml:space="preserve">Option 2: Set exit threshold as entering threshold with a hysteresis value. </w:t>
            </w:r>
          </w:p>
          <w:p w14:paraId="25331131" w14:textId="77777777" w:rsidR="00E1430E" w:rsidRPr="00B82ED6" w:rsidRDefault="00E1430E" w:rsidP="00E1430E">
            <w:pPr>
              <w:numPr>
                <w:ilvl w:val="1"/>
                <w:numId w:val="15"/>
              </w:numPr>
              <w:spacing w:before="100" w:beforeAutospacing="1" w:after="0" w:line="256" w:lineRule="auto"/>
              <w:textAlignment w:val="center"/>
              <w:rPr>
                <w:lang w:val="en-US"/>
              </w:rPr>
            </w:pPr>
            <w:r w:rsidRPr="00B82ED6">
              <w:rPr>
                <w:lang w:val="en-US"/>
              </w:rPr>
              <w:t xml:space="preserve">FFS the exit threshold is configurable. </w:t>
            </w:r>
          </w:p>
          <w:p w14:paraId="3327519A" w14:textId="77777777" w:rsidR="00E1430E" w:rsidRPr="00B82ED6" w:rsidRDefault="00E1430E" w:rsidP="00E1430E">
            <w:pPr>
              <w:numPr>
                <w:ilvl w:val="0"/>
                <w:numId w:val="15"/>
              </w:numPr>
              <w:spacing w:before="100" w:beforeAutospacing="1" w:after="0" w:line="256" w:lineRule="auto"/>
              <w:textAlignment w:val="center"/>
              <w:rPr>
                <w:lang w:val="en-US"/>
              </w:rPr>
            </w:pPr>
            <w:r w:rsidRPr="00B82ED6">
              <w:rPr>
                <w:lang w:val="en-US"/>
              </w:rPr>
              <w:t>Option 3: Use Q</w:t>
            </w:r>
            <w:r w:rsidRPr="00B82ED6">
              <w:rPr>
                <w:vertAlign w:val="subscript"/>
                <w:lang w:val="en-US"/>
              </w:rPr>
              <w:t>out</w:t>
            </w:r>
            <w:r w:rsidRPr="00B82ED6">
              <w:rPr>
                <w:lang w:val="en-US"/>
              </w:rPr>
              <w:t xml:space="preserve"> as exit threshold </w:t>
            </w:r>
            <w:proofErr w:type="gramStart"/>
            <w:r w:rsidRPr="00B82ED6">
              <w:rPr>
                <w:lang w:val="en-US"/>
              </w:rPr>
              <w:t>i.e.</w:t>
            </w:r>
            <w:proofErr w:type="gramEnd"/>
            <w:r w:rsidRPr="00B82ED6">
              <w:rPr>
                <w:lang w:val="en-US"/>
              </w:rPr>
              <w:t xml:space="preserve"> the UE will exit from relaxation mode when OOS is detected. </w:t>
            </w:r>
          </w:p>
          <w:p w14:paraId="5FDAEE38" w14:textId="40C91CE6" w:rsidR="00E1430E" w:rsidRPr="00B82ED6" w:rsidRDefault="00E1430E" w:rsidP="008501E5">
            <w:pPr>
              <w:spacing w:before="100" w:after="0"/>
              <w:textAlignment w:val="center"/>
              <w:rPr>
                <w:rFonts w:eastAsia="Yu Mincho"/>
                <w:szCs w:val="24"/>
                <w:highlight w:val="yellow"/>
                <w:lang w:val="en-US" w:eastAsia="zh-CN"/>
              </w:rPr>
            </w:pPr>
          </w:p>
        </w:tc>
      </w:tr>
    </w:tbl>
    <w:p w14:paraId="12BC3CAB" w14:textId="77777777" w:rsidR="00E1430E" w:rsidRPr="00B82ED6" w:rsidRDefault="00E1430E" w:rsidP="00E1430E">
      <w:pPr>
        <w:rPr>
          <w:lang w:val="en-US" w:eastAsia="zh-CN"/>
        </w:rPr>
      </w:pPr>
    </w:p>
    <w:p w14:paraId="5A702058" w14:textId="0AFFDBDC" w:rsidR="00E1430E" w:rsidRPr="00B82ED6" w:rsidRDefault="00E1430E" w:rsidP="00E1430E">
      <w:pPr>
        <w:rPr>
          <w:lang w:val="en-US" w:eastAsia="zh-CN"/>
        </w:rPr>
      </w:pPr>
      <w:r w:rsidRPr="00B82ED6">
        <w:rPr>
          <w:lang w:val="en-US" w:eastAsia="zh-CN"/>
        </w:rPr>
        <w:t xml:space="preserve">In general, our view is that the previous agreements are sufficient to ensure that UE operates relaxed RLM only when the UE is operating in good serving cell conditions. </w:t>
      </w:r>
      <w:proofErr w:type="gramStart"/>
      <w:r w:rsidRPr="00B82ED6">
        <w:rPr>
          <w:lang w:val="en-US" w:eastAsia="zh-CN"/>
        </w:rPr>
        <w:t>Thus</w:t>
      </w:r>
      <w:proofErr w:type="gramEnd"/>
      <w:r w:rsidRPr="00B82ED6">
        <w:rPr>
          <w:lang w:val="en-US" w:eastAsia="zh-CN"/>
        </w:rPr>
        <w:t xml:space="preserve"> we support option 1. Our view is that option 3 is already part of the good serving cell quality where an offset is applied with respect to the current RLM thresholds. We don’t see any need to further optimize the exiting criteria. </w:t>
      </w:r>
    </w:p>
    <w:p w14:paraId="1A95C0F7" w14:textId="43CE64C0" w:rsidR="00E1430E" w:rsidRPr="00B82ED6" w:rsidRDefault="00E1430E" w:rsidP="00E1430E">
      <w:pPr>
        <w:pStyle w:val="ListParagraph"/>
        <w:numPr>
          <w:ilvl w:val="0"/>
          <w:numId w:val="15"/>
        </w:numPr>
        <w:rPr>
          <w:lang w:val="en-US" w:eastAsia="zh-CN"/>
        </w:rPr>
      </w:pPr>
      <w:r w:rsidRPr="00B82ED6">
        <w:rPr>
          <w:b/>
          <w:bCs/>
          <w:lang w:val="en-US" w:eastAsia="zh-CN"/>
        </w:rPr>
        <w:t xml:space="preserve">Proposal </w:t>
      </w:r>
      <w:r w:rsidR="00823A48" w:rsidRPr="00B82ED6">
        <w:rPr>
          <w:b/>
          <w:bCs/>
          <w:lang w:val="en-US" w:eastAsia="zh-CN"/>
        </w:rPr>
        <w:t>15</w:t>
      </w:r>
      <w:r w:rsidRPr="00B82ED6">
        <w:rPr>
          <w:b/>
          <w:bCs/>
          <w:lang w:val="en-US" w:eastAsia="zh-CN"/>
        </w:rPr>
        <w:t xml:space="preserve">: </w:t>
      </w:r>
      <w:r w:rsidRPr="00B82ED6">
        <w:rPr>
          <w:rFonts w:eastAsia="PMingLiU"/>
          <w:szCs w:val="24"/>
          <w:lang w:val="en-US" w:eastAsia="zh-TW"/>
        </w:rPr>
        <w:t>No additional exiting criteria are needed, previous agreements from 98-e-bis and 99-e-bis are sufficient.</w:t>
      </w:r>
    </w:p>
    <w:p w14:paraId="3A161D24" w14:textId="77777777" w:rsidR="00BB3916" w:rsidRPr="00B82ED6" w:rsidRDefault="00BB3916" w:rsidP="008501E5">
      <w:pPr>
        <w:pStyle w:val="ListParagraph"/>
        <w:ind w:left="786"/>
        <w:rPr>
          <w:lang w:val="en-US" w:eastAsia="zh-CN"/>
        </w:rPr>
      </w:pPr>
    </w:p>
    <w:p w14:paraId="26434552" w14:textId="77777777" w:rsidR="004B24DD" w:rsidRPr="00EB0492" w:rsidRDefault="00BB3916" w:rsidP="007C7B03">
      <w:pPr>
        <w:rPr>
          <w:b/>
          <w:bCs/>
          <w:u w:val="single"/>
          <w:lang w:val="en-US"/>
        </w:rPr>
      </w:pPr>
      <w:r w:rsidRPr="00EB0492">
        <w:rPr>
          <w:b/>
          <w:bCs/>
          <w:u w:val="single"/>
          <w:lang w:val="en-US"/>
        </w:rPr>
        <w:t>During Relaxation mode</w:t>
      </w:r>
    </w:p>
    <w:p w14:paraId="1F1E2D41" w14:textId="16BE86BA" w:rsidR="007C7B03" w:rsidRPr="00B82ED6" w:rsidRDefault="007C7B03" w:rsidP="007C7B03">
      <w:pPr>
        <w:rPr>
          <w:lang w:val="en-US" w:eastAsia="zh-CN"/>
        </w:rPr>
      </w:pPr>
      <w:r w:rsidRPr="00B82ED6">
        <w:rPr>
          <w:lang w:val="en-US" w:eastAsia="zh-CN"/>
        </w:rPr>
        <w:t xml:space="preserve">It is observed that for certain configurations of reference signal periodicity and short DRX cycle length, the upper bound derived from </w:t>
      </w:r>
      <w:r w:rsidRPr="00B82ED6">
        <w:rPr>
          <w:lang w:val="en-US" w:eastAsia="ja-JP"/>
        </w:rPr>
        <w:t xml:space="preserve">(Ceil([Y] x P x N) x </w:t>
      </w:r>
      <w:proofErr w:type="gramStart"/>
      <w:r w:rsidRPr="00B82ED6">
        <w:rPr>
          <w:lang w:val="en-US" w:eastAsia="ja-JP"/>
        </w:rPr>
        <w:t>Max(</w:t>
      </w:r>
      <w:proofErr w:type="gramEnd"/>
      <w:r w:rsidRPr="00B82ED6">
        <w:rPr>
          <w:lang w:val="en-US" w:eastAsia="ja-JP"/>
        </w:rPr>
        <w:t>T</w:t>
      </w:r>
      <w:r w:rsidRPr="00B82ED6">
        <w:rPr>
          <w:vertAlign w:val="subscript"/>
          <w:lang w:val="en-US" w:eastAsia="ja-JP"/>
        </w:rPr>
        <w:t>DRX</w:t>
      </w:r>
      <w:r w:rsidRPr="00B82ED6">
        <w:rPr>
          <w:lang w:val="en-US" w:eastAsia="ja-JP"/>
        </w:rPr>
        <w:t>, T</w:t>
      </w:r>
      <w:r w:rsidRPr="00B82ED6">
        <w:rPr>
          <w:vertAlign w:val="subscript"/>
          <w:lang w:val="en-US" w:eastAsia="ja-JP"/>
        </w:rPr>
        <w:t>RLM-RS/BFD-RS</w:t>
      </w:r>
      <w:r w:rsidRPr="00B82ED6">
        <w:rPr>
          <w:lang w:val="en-US" w:eastAsia="ja-JP"/>
        </w:rPr>
        <w:t>)))</w:t>
      </w:r>
      <w:r w:rsidRPr="00B82ED6">
        <w:rPr>
          <w:sz w:val="18"/>
          <w:szCs w:val="18"/>
          <w:lang w:val="en-US" w:eastAsia="zh-CN"/>
        </w:rPr>
        <w:t xml:space="preserve"> </w:t>
      </w:r>
      <w:r w:rsidRPr="00B82ED6">
        <w:rPr>
          <w:lang w:val="en-US" w:eastAsia="zh-CN"/>
        </w:rPr>
        <w:t>becomes smaller than the lower bound which is 200 ms.</w:t>
      </w:r>
      <w:r w:rsidRPr="00B82ED6">
        <w:rPr>
          <w:sz w:val="18"/>
          <w:szCs w:val="18"/>
          <w:lang w:val="en-US" w:eastAsia="zh-CN"/>
        </w:rPr>
        <w:t xml:space="preserve"> </w:t>
      </w:r>
      <w:r w:rsidRPr="00B82ED6">
        <w:rPr>
          <w:lang w:val="en-US" w:eastAsia="zh-CN"/>
        </w:rPr>
        <w:t xml:space="preserve">One specific configuration that results in upper bound lower than 200 ms comprises CSI-RS periodicity of 5 ms and short DRX cycle length of 5 ms, which was pointed by certain companies at last meeting. </w:t>
      </w:r>
      <w:proofErr w:type="gramStart"/>
      <w:r w:rsidRPr="00B82ED6">
        <w:rPr>
          <w:lang w:val="en-US" w:eastAsia="zh-CN"/>
        </w:rPr>
        <w:t>Therefore</w:t>
      </w:r>
      <w:proofErr w:type="gramEnd"/>
      <w:r w:rsidRPr="00B82ED6">
        <w:rPr>
          <w:lang w:val="en-US" w:eastAsia="zh-CN"/>
        </w:rPr>
        <w:t xml:space="preserve"> our view is that the scaling factor needs to be applied also for the lower bound in the formula for relaxed evaluation period.</w:t>
      </w:r>
    </w:p>
    <w:p w14:paraId="63BAD374" w14:textId="594A0F10" w:rsidR="007C7B03" w:rsidRPr="00B82ED6" w:rsidRDefault="007C7B03" w:rsidP="007C7B03">
      <w:pPr>
        <w:pStyle w:val="ListParagraph"/>
        <w:numPr>
          <w:ilvl w:val="0"/>
          <w:numId w:val="15"/>
        </w:numPr>
        <w:rPr>
          <w:lang w:val="en-US" w:eastAsia="zh-CN"/>
        </w:rPr>
      </w:pPr>
      <w:r w:rsidRPr="00B82ED6">
        <w:rPr>
          <w:b/>
          <w:bCs/>
          <w:lang w:val="en-US" w:eastAsia="zh-CN"/>
        </w:rPr>
        <w:t xml:space="preserve">Proposal </w:t>
      </w:r>
      <w:r w:rsidR="004B24DD" w:rsidRPr="00B82ED6">
        <w:rPr>
          <w:b/>
          <w:bCs/>
          <w:lang w:val="en-US" w:eastAsia="zh-CN"/>
        </w:rPr>
        <w:t>#</w:t>
      </w:r>
      <w:r w:rsidR="00823A48" w:rsidRPr="00B82ED6">
        <w:rPr>
          <w:b/>
          <w:bCs/>
          <w:lang w:val="en-US" w:eastAsia="zh-CN"/>
        </w:rPr>
        <w:t>16</w:t>
      </w:r>
      <w:r w:rsidRPr="00B82ED6">
        <w:rPr>
          <w:b/>
          <w:bCs/>
          <w:lang w:val="en-US" w:eastAsia="zh-CN"/>
        </w:rPr>
        <w:t xml:space="preserve">: </w:t>
      </w:r>
      <w:r w:rsidRPr="00B82ED6">
        <w:rPr>
          <w:lang w:val="en-US" w:eastAsia="zh-CN"/>
        </w:rPr>
        <w:t>Relaxation factor is applied to the whole T</w:t>
      </w:r>
      <w:r w:rsidRPr="00B82ED6">
        <w:rPr>
          <w:vertAlign w:val="subscript"/>
          <w:lang w:val="en-US" w:eastAsia="zh-CN"/>
        </w:rPr>
        <w:t>Evaluate</w:t>
      </w:r>
      <w:r w:rsidRPr="00B82ED6">
        <w:rPr>
          <w:lang w:val="en-US" w:eastAsia="zh-CN"/>
        </w:rPr>
        <w:t xml:space="preserve"> including the lower bound. </w:t>
      </w:r>
    </w:p>
    <w:p w14:paraId="5835B2EE" w14:textId="77777777" w:rsidR="007C7B03" w:rsidRPr="00B82ED6" w:rsidRDefault="007C7B03" w:rsidP="007E3C7F">
      <w:pPr>
        <w:rPr>
          <w:b/>
          <w:bCs/>
          <w:u w:val="single"/>
          <w:lang w:val="en-US"/>
        </w:rPr>
      </w:pPr>
    </w:p>
    <w:p w14:paraId="2FD64ECD" w14:textId="692BC754" w:rsidR="00921AFF" w:rsidRPr="00B82ED6" w:rsidRDefault="00921AFF" w:rsidP="00921AFF">
      <w:pPr>
        <w:rPr>
          <w:lang w:val="en-US" w:eastAsia="zh-CN"/>
        </w:rPr>
      </w:pPr>
      <w:r w:rsidRPr="00B82ED6">
        <w:rPr>
          <w:lang w:val="en-US" w:eastAsia="zh-CN"/>
        </w:rPr>
        <w:t xml:space="preserve">Regarding the relaxation factor discussions, we support </w:t>
      </w:r>
      <w:r w:rsidR="007C780D" w:rsidRPr="00B82ED6">
        <w:rPr>
          <w:lang w:val="en-US" w:eastAsia="zh-CN"/>
        </w:rPr>
        <w:t xml:space="preserve">following that </w:t>
      </w:r>
      <w:r w:rsidRPr="00B82ED6">
        <w:rPr>
          <w:lang w:val="en-US" w:eastAsia="zh-CN"/>
        </w:rPr>
        <w:t>depends on the max (T</w:t>
      </w:r>
      <w:r w:rsidRPr="00B82ED6">
        <w:rPr>
          <w:vertAlign w:val="subscript"/>
          <w:lang w:val="en-US" w:eastAsia="zh-CN"/>
        </w:rPr>
        <w:t>DRX</w:t>
      </w:r>
      <w:r w:rsidRPr="00B82ED6">
        <w:rPr>
          <w:lang w:val="en-US" w:eastAsia="zh-CN"/>
        </w:rPr>
        <w:t xml:space="preserve"> and T</w:t>
      </w:r>
      <w:r w:rsidRPr="00B82ED6">
        <w:rPr>
          <w:vertAlign w:val="subscript"/>
          <w:lang w:val="en-US" w:eastAsia="zh-CN"/>
        </w:rPr>
        <w:t>SSB</w:t>
      </w:r>
      <w:r w:rsidRPr="00B82ED6">
        <w:rPr>
          <w:lang w:val="en-US" w:eastAsia="zh-CN"/>
        </w:rPr>
        <w:t>) as follows:</w:t>
      </w:r>
    </w:p>
    <w:p w14:paraId="4B99D7FA" w14:textId="77777777" w:rsidR="00921AFF" w:rsidRPr="00B82ED6" w:rsidRDefault="00921AFF" w:rsidP="00921AFF">
      <w:pPr>
        <w:pStyle w:val="ListParagraph"/>
        <w:numPr>
          <w:ilvl w:val="3"/>
          <w:numId w:val="19"/>
        </w:numPr>
        <w:overflowPunct w:val="0"/>
        <w:autoSpaceDE w:val="0"/>
        <w:autoSpaceDN w:val="0"/>
        <w:adjustRightInd w:val="0"/>
        <w:spacing w:after="120"/>
        <w:textAlignment w:val="baseline"/>
        <w:rPr>
          <w:lang w:val="en-US" w:eastAsia="zh-CN"/>
        </w:rPr>
      </w:pPr>
      <w:r w:rsidRPr="00B82ED6">
        <w:rPr>
          <w:lang w:val="en-US" w:eastAsia="zh-CN"/>
        </w:rPr>
        <w:t>K=1 for 80 ms &lt; MAX(</w:t>
      </w:r>
      <w:proofErr w:type="gramStart"/>
      <w:r w:rsidRPr="00B82ED6">
        <w:rPr>
          <w:lang w:val="en-US" w:eastAsia="zh-CN"/>
        </w:rPr>
        <w:t>T</w:t>
      </w:r>
      <w:r w:rsidRPr="00B82ED6">
        <w:rPr>
          <w:vertAlign w:val="subscript"/>
          <w:lang w:val="en-US" w:eastAsia="zh-CN"/>
        </w:rPr>
        <w:t>DRX</w:t>
      </w:r>
      <w:r w:rsidRPr="00B82ED6">
        <w:rPr>
          <w:lang w:val="en-US" w:eastAsia="zh-CN"/>
        </w:rPr>
        <w:t>,T</w:t>
      </w:r>
      <w:r w:rsidRPr="00B82ED6">
        <w:rPr>
          <w:vertAlign w:val="subscript"/>
          <w:lang w:val="en-US" w:eastAsia="zh-CN"/>
        </w:rPr>
        <w:t>SSB</w:t>
      </w:r>
      <w:proofErr w:type="gramEnd"/>
      <w:r w:rsidRPr="00B82ED6">
        <w:rPr>
          <w:lang w:val="en-US" w:eastAsia="zh-CN"/>
        </w:rPr>
        <w:t xml:space="preserve">) ≤ 160 ms </w:t>
      </w:r>
    </w:p>
    <w:p w14:paraId="67FF72ED" w14:textId="4F8ACF82" w:rsidR="00921AFF" w:rsidRPr="00B82ED6" w:rsidRDefault="00921AFF" w:rsidP="00921AFF">
      <w:pPr>
        <w:pStyle w:val="ListParagraph"/>
        <w:numPr>
          <w:ilvl w:val="3"/>
          <w:numId w:val="19"/>
        </w:numPr>
        <w:overflowPunct w:val="0"/>
        <w:autoSpaceDE w:val="0"/>
        <w:autoSpaceDN w:val="0"/>
        <w:adjustRightInd w:val="0"/>
        <w:spacing w:after="120"/>
        <w:textAlignment w:val="baseline"/>
        <w:rPr>
          <w:lang w:val="en-US" w:eastAsia="zh-CN"/>
        </w:rPr>
      </w:pPr>
      <w:r w:rsidRPr="00B82ED6">
        <w:rPr>
          <w:lang w:val="en-US" w:eastAsia="zh-CN"/>
        </w:rPr>
        <w:t xml:space="preserve">K=4 for </w:t>
      </w:r>
      <w:proofErr w:type="gramStart"/>
      <w:r w:rsidRPr="00B82ED6">
        <w:rPr>
          <w:lang w:val="en-US" w:eastAsia="zh-CN"/>
        </w:rPr>
        <w:t>MAX(</w:t>
      </w:r>
      <w:proofErr w:type="gramEnd"/>
      <w:r w:rsidRPr="00B82ED6">
        <w:rPr>
          <w:lang w:val="en-US" w:eastAsia="zh-CN"/>
        </w:rPr>
        <w:t>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80 ms</w:t>
      </w:r>
    </w:p>
    <w:p w14:paraId="31E6422A" w14:textId="77777777" w:rsidR="007C780D" w:rsidRPr="00B82ED6" w:rsidRDefault="007C780D" w:rsidP="008501E5">
      <w:pPr>
        <w:overflowPunct w:val="0"/>
        <w:autoSpaceDE w:val="0"/>
        <w:autoSpaceDN w:val="0"/>
        <w:adjustRightInd w:val="0"/>
        <w:spacing w:after="120"/>
        <w:textAlignment w:val="baseline"/>
        <w:rPr>
          <w:lang w:val="en-US" w:eastAsia="zh-CN"/>
        </w:rPr>
      </w:pPr>
    </w:p>
    <w:p w14:paraId="4DE8D785" w14:textId="7A6567A6" w:rsidR="00921AFF" w:rsidRPr="00B82ED6" w:rsidRDefault="00921AFF" w:rsidP="00921AFF">
      <w:pPr>
        <w:rPr>
          <w:lang w:val="en-US" w:eastAsia="zh-CN"/>
        </w:rPr>
      </w:pPr>
      <w:r w:rsidRPr="00B82ED6">
        <w:rPr>
          <w:lang w:val="en-US" w:eastAsia="zh-CN"/>
        </w:rPr>
        <w:t>The motivation is that when T</w:t>
      </w:r>
      <w:r w:rsidRPr="00B82ED6">
        <w:rPr>
          <w:vertAlign w:val="subscript"/>
          <w:lang w:val="en-US" w:eastAsia="zh-CN"/>
        </w:rPr>
        <w:t>SSB</w:t>
      </w:r>
      <w:r w:rsidRPr="00B82ED6">
        <w:rPr>
          <w:lang w:val="en-US" w:eastAsia="zh-CN"/>
        </w:rPr>
        <w:t xml:space="preserve"> is greater than 80 ms (</w:t>
      </w:r>
      <w:proofErr w:type="gramStart"/>
      <w:r w:rsidRPr="00B82ED6">
        <w:rPr>
          <w:lang w:val="en-US" w:eastAsia="zh-CN"/>
        </w:rPr>
        <w:t>e.g.</w:t>
      </w:r>
      <w:proofErr w:type="gramEnd"/>
      <w:r w:rsidRPr="00B82ED6">
        <w:rPr>
          <w:lang w:val="en-US" w:eastAsia="zh-CN"/>
        </w:rPr>
        <w:t xml:space="preserve"> 160 ms), the UE may not wake up in between two SSB occasions even if DRX cycle length is shorter than 160 ms. Since RAN4 has already agreed that the relaxed requirements apply only for DRX cycle length </w:t>
      </w:r>
      <w:r w:rsidRPr="00B82ED6">
        <w:rPr>
          <w:rFonts w:cstheme="minorHAnsi"/>
          <w:lang w:val="en-US" w:eastAsia="zh-CN"/>
        </w:rPr>
        <w:t>≤</w:t>
      </w:r>
      <w:r w:rsidRPr="00B82ED6">
        <w:rPr>
          <w:lang w:val="en-US" w:eastAsia="zh-CN"/>
        </w:rPr>
        <w:t xml:space="preserve"> 80 ms, scaling factor is set to 1 when 80 ms &lt; MAX(</w:t>
      </w:r>
      <w:proofErr w:type="gramStart"/>
      <w:r w:rsidRPr="00B82ED6">
        <w:rPr>
          <w:lang w:val="en-US" w:eastAsia="zh-CN"/>
        </w:rPr>
        <w:t>T</w:t>
      </w:r>
      <w:r w:rsidRPr="00B82ED6">
        <w:rPr>
          <w:vertAlign w:val="subscript"/>
          <w:lang w:val="en-US" w:eastAsia="zh-CN"/>
        </w:rPr>
        <w:t>DRX</w:t>
      </w:r>
      <w:r w:rsidRPr="00B82ED6">
        <w:rPr>
          <w:lang w:val="en-US" w:eastAsia="zh-CN"/>
        </w:rPr>
        <w:t>,T</w:t>
      </w:r>
      <w:r w:rsidRPr="00B82ED6">
        <w:rPr>
          <w:vertAlign w:val="subscript"/>
          <w:lang w:val="en-US" w:eastAsia="zh-CN"/>
        </w:rPr>
        <w:t>SSB</w:t>
      </w:r>
      <w:proofErr w:type="gramEnd"/>
      <w:r w:rsidRPr="00B82ED6">
        <w:rPr>
          <w:lang w:val="en-US" w:eastAsia="zh-CN"/>
        </w:rPr>
        <w:t xml:space="preserve">) ≤ 160 ms. </w:t>
      </w:r>
      <w:r w:rsidR="003713A8" w:rsidRPr="00B82ED6">
        <w:rPr>
          <w:lang w:val="en-US" w:eastAsia="zh-CN"/>
        </w:rPr>
        <w:t>For other cases (</w:t>
      </w:r>
      <w:proofErr w:type="gramStart"/>
      <w:r w:rsidR="003713A8" w:rsidRPr="00B82ED6">
        <w:rPr>
          <w:lang w:val="en-US" w:eastAsia="zh-CN"/>
        </w:rPr>
        <w:t>i.e.</w:t>
      </w:r>
      <w:proofErr w:type="gramEnd"/>
      <w:r w:rsidR="003713A8" w:rsidRPr="00B82ED6">
        <w:rPr>
          <w:lang w:val="en-US" w:eastAsia="zh-CN"/>
        </w:rPr>
        <w:t xml:space="preserve"> when DRX </w:t>
      </w:r>
      <w:r w:rsidR="003713A8" w:rsidRPr="00B82ED6">
        <w:rPr>
          <w:rFonts w:cstheme="minorHAnsi"/>
          <w:lang w:val="en-US" w:eastAsia="zh-CN"/>
        </w:rPr>
        <w:t>≤</w:t>
      </w:r>
      <w:r w:rsidR="003713A8" w:rsidRPr="00B82ED6">
        <w:rPr>
          <w:lang w:val="en-US" w:eastAsia="zh-CN"/>
        </w:rPr>
        <w:t xml:space="preserve"> 80ms)</w:t>
      </w:r>
      <w:r w:rsidRPr="00B82ED6">
        <w:rPr>
          <w:lang w:val="en-US" w:eastAsia="zh-CN"/>
        </w:rPr>
        <w:t xml:space="preserve">, the current requirements can be relaxed by a factor of 4. </w:t>
      </w:r>
    </w:p>
    <w:p w14:paraId="78A0F8F5" w14:textId="77777777" w:rsidR="00921AFF" w:rsidRPr="00B82ED6" w:rsidRDefault="00921AFF" w:rsidP="00921AFF">
      <w:pPr>
        <w:rPr>
          <w:lang w:val="en-US" w:eastAsia="zh-CN"/>
        </w:rPr>
      </w:pPr>
    </w:p>
    <w:p w14:paraId="4FD7FACE" w14:textId="77777777" w:rsidR="006B37AC" w:rsidRPr="00B82ED6" w:rsidRDefault="00921AFF" w:rsidP="00921AFF">
      <w:pPr>
        <w:rPr>
          <w:lang w:val="en-US"/>
        </w:rPr>
      </w:pPr>
      <w:r w:rsidRPr="00B82ED6">
        <w:rPr>
          <w:lang w:val="en-US"/>
        </w:rPr>
        <w:t xml:space="preserve">Given the differences in measurement assumptions between FR1 and FR2, it is reasonable to assume different scaling factors for FR1 and FR2. For example, in the legacy requirements the beam seeping factor N is only applied to SSB based procedures in FR2 (N=8) while no sweeping is assumed in FR1 (N=1). Following a similar approach our view is that relaxation factor in general can be slightly lower for FR2 compared to FR1. In addition, it was observed in earlier discussions that SSB based measurements are more subjective to bias than CSI-RS based measurement in FR2. </w:t>
      </w:r>
      <w:proofErr w:type="gramStart"/>
      <w:r w:rsidRPr="00B82ED6">
        <w:rPr>
          <w:lang w:val="en-US"/>
        </w:rPr>
        <w:t>Therefore</w:t>
      </w:r>
      <w:proofErr w:type="gramEnd"/>
      <w:r w:rsidRPr="00B82ED6">
        <w:rPr>
          <w:lang w:val="en-US"/>
        </w:rPr>
        <w:t xml:space="preserve"> </w:t>
      </w:r>
      <w:r w:rsidR="006B37AC" w:rsidRPr="00B82ED6">
        <w:rPr>
          <w:lang w:val="en-US"/>
        </w:rPr>
        <w:t>we support following proposal from the discussions at last meeting:</w:t>
      </w:r>
    </w:p>
    <w:p w14:paraId="24BC9B25" w14:textId="77777777" w:rsidR="006B37AC" w:rsidRPr="00B82ED6" w:rsidRDefault="006B37AC" w:rsidP="00921AFF">
      <w:pPr>
        <w:rPr>
          <w:lang w:val="en-US"/>
        </w:rPr>
      </w:pPr>
    </w:p>
    <w:p w14:paraId="70BDCD89" w14:textId="2FDCAA24" w:rsidR="00921AFF" w:rsidRPr="008501E5" w:rsidRDefault="00921AFF" w:rsidP="00921AFF">
      <w:pPr>
        <w:pStyle w:val="ListParagraph"/>
        <w:numPr>
          <w:ilvl w:val="0"/>
          <w:numId w:val="5"/>
        </w:numPr>
        <w:rPr>
          <w:lang w:val="en-GB" w:eastAsia="zh-CN"/>
        </w:rPr>
      </w:pPr>
      <w:r w:rsidRPr="008501E5">
        <w:rPr>
          <w:b/>
          <w:bCs/>
          <w:lang w:val="en-GB" w:eastAsia="zh-CN"/>
        </w:rPr>
        <w:t>Proposal #</w:t>
      </w:r>
      <w:r w:rsidR="00823A48" w:rsidRPr="008501E5">
        <w:rPr>
          <w:b/>
          <w:bCs/>
          <w:lang w:val="en-GB" w:eastAsia="zh-CN"/>
        </w:rPr>
        <w:t>1</w:t>
      </w:r>
      <w:r w:rsidR="00823A48">
        <w:rPr>
          <w:b/>
          <w:bCs/>
          <w:lang w:val="en-GB" w:eastAsia="zh-CN"/>
        </w:rPr>
        <w:t>7</w:t>
      </w:r>
      <w:r w:rsidRPr="008501E5">
        <w:rPr>
          <w:b/>
          <w:bCs/>
          <w:lang w:val="en-GB" w:eastAsia="zh-CN"/>
        </w:rPr>
        <w:t xml:space="preserve">: </w:t>
      </w:r>
      <w:r w:rsidRPr="008501E5">
        <w:rPr>
          <w:lang w:val="en-GB" w:eastAsia="zh-CN"/>
        </w:rPr>
        <w:t xml:space="preserve">Relaxation factors are different for </w:t>
      </w:r>
      <w:r w:rsidR="00E841FE" w:rsidRPr="008501E5">
        <w:rPr>
          <w:lang w:val="en-GB" w:eastAsia="zh-CN"/>
        </w:rPr>
        <w:t>FR2</w:t>
      </w:r>
      <w:r w:rsidR="00DB1374">
        <w:rPr>
          <w:lang w:val="en-GB" w:eastAsia="zh-CN"/>
        </w:rPr>
        <w:t>, and</w:t>
      </w:r>
      <w:r w:rsidR="00E841FE" w:rsidRPr="008501E5">
        <w:rPr>
          <w:lang w:val="en-GB" w:eastAsia="zh-CN"/>
        </w:rPr>
        <w:t xml:space="preserve"> </w:t>
      </w:r>
      <w:r w:rsidR="00DB1374">
        <w:rPr>
          <w:lang w:val="en-GB" w:eastAsia="zh-CN"/>
        </w:rPr>
        <w:t>those are</w:t>
      </w:r>
      <w:r w:rsidR="00DB1374" w:rsidRPr="008501E5">
        <w:rPr>
          <w:lang w:val="en-GB" w:eastAsia="zh-CN"/>
        </w:rPr>
        <w:t xml:space="preserve"> </w:t>
      </w:r>
      <w:r w:rsidR="00E841FE" w:rsidRPr="008501E5">
        <w:rPr>
          <w:lang w:val="en-GB" w:eastAsia="zh-CN"/>
        </w:rPr>
        <w:t>smaller than FR1</w:t>
      </w:r>
      <w:r w:rsidRPr="008501E5">
        <w:rPr>
          <w:lang w:val="en-GB" w:eastAsia="zh-CN"/>
        </w:rPr>
        <w:t>.</w:t>
      </w:r>
    </w:p>
    <w:p w14:paraId="3C82F642" w14:textId="5FF528D0" w:rsidR="00921AFF" w:rsidRPr="008501E5" w:rsidRDefault="00921AFF" w:rsidP="00921AFF">
      <w:pPr>
        <w:pStyle w:val="ListParagraph"/>
        <w:numPr>
          <w:ilvl w:val="0"/>
          <w:numId w:val="5"/>
        </w:numPr>
        <w:rPr>
          <w:lang w:val="en-GB" w:eastAsia="zh-CN"/>
        </w:rPr>
      </w:pPr>
      <w:r w:rsidRPr="008501E5">
        <w:rPr>
          <w:b/>
          <w:bCs/>
          <w:lang w:val="en-GB" w:eastAsia="zh-CN"/>
        </w:rPr>
        <w:t>Proposal #</w:t>
      </w:r>
      <w:r w:rsidR="00823A48" w:rsidRPr="008501E5">
        <w:rPr>
          <w:b/>
          <w:bCs/>
          <w:lang w:val="en-GB" w:eastAsia="zh-CN"/>
        </w:rPr>
        <w:t>1</w:t>
      </w:r>
      <w:r w:rsidR="00823A48">
        <w:rPr>
          <w:b/>
          <w:bCs/>
          <w:lang w:val="en-GB" w:eastAsia="zh-CN"/>
        </w:rPr>
        <w:t>8</w:t>
      </w:r>
      <w:r w:rsidRPr="008501E5">
        <w:rPr>
          <w:b/>
          <w:bCs/>
          <w:lang w:val="en-GB" w:eastAsia="zh-CN"/>
        </w:rPr>
        <w:t>:</w:t>
      </w:r>
      <w:r w:rsidRPr="008501E5">
        <w:rPr>
          <w:lang w:val="en-GB" w:eastAsia="zh-CN"/>
        </w:rPr>
        <w:t xml:space="preserve"> Relaxation factors </w:t>
      </w:r>
      <w:r w:rsidR="00152579" w:rsidRPr="008501E5">
        <w:rPr>
          <w:lang w:val="en-GB" w:eastAsia="zh-CN"/>
        </w:rPr>
        <w:t xml:space="preserve">can be </w:t>
      </w:r>
      <w:r w:rsidRPr="008501E5">
        <w:rPr>
          <w:lang w:val="en-GB" w:eastAsia="zh-CN"/>
        </w:rPr>
        <w:t xml:space="preserve">different for SSB based and CSI-RS based relaxation in FR2. </w:t>
      </w:r>
    </w:p>
    <w:p w14:paraId="072E14A0" w14:textId="77777777" w:rsidR="00921AFF" w:rsidRPr="008501E5" w:rsidRDefault="00921AFF" w:rsidP="00921AFF">
      <w:pPr>
        <w:rPr>
          <w:lang w:val="en-GB" w:eastAsia="zh-CN"/>
        </w:rPr>
      </w:pPr>
    </w:p>
    <w:p w14:paraId="0DD9FF04" w14:textId="5B2B945E" w:rsidR="00921AFF" w:rsidRPr="00B82ED6" w:rsidRDefault="00921AFF" w:rsidP="00921AFF">
      <w:pPr>
        <w:pStyle w:val="ListParagraph"/>
        <w:numPr>
          <w:ilvl w:val="0"/>
          <w:numId w:val="15"/>
        </w:numPr>
        <w:rPr>
          <w:lang w:val="en-US" w:eastAsia="zh-CN"/>
        </w:rPr>
      </w:pPr>
      <w:r w:rsidRPr="00B82ED6">
        <w:rPr>
          <w:b/>
          <w:bCs/>
          <w:lang w:val="en-US" w:eastAsia="zh-CN"/>
        </w:rPr>
        <w:t xml:space="preserve">Proposal </w:t>
      </w:r>
      <w:r w:rsidR="00823A48" w:rsidRPr="00B82ED6">
        <w:rPr>
          <w:b/>
          <w:bCs/>
          <w:lang w:val="en-US" w:eastAsia="zh-CN"/>
        </w:rPr>
        <w:t>#19</w:t>
      </w:r>
      <w:r w:rsidRPr="00B82ED6">
        <w:rPr>
          <w:b/>
          <w:bCs/>
          <w:lang w:val="en-US" w:eastAsia="zh-CN"/>
        </w:rPr>
        <w:t xml:space="preserve">: </w:t>
      </w:r>
      <w:r w:rsidRPr="00B82ED6">
        <w:rPr>
          <w:lang w:val="en-US" w:eastAsia="zh-CN"/>
        </w:rPr>
        <w:t>The scaling factor is agreed as follows for FR1:</w:t>
      </w:r>
    </w:p>
    <w:p w14:paraId="7F18FB77" w14:textId="77777777" w:rsidR="00921AFF" w:rsidRPr="00B82ED6" w:rsidRDefault="00921AFF" w:rsidP="00921AFF">
      <w:pPr>
        <w:pStyle w:val="ListParagraph"/>
        <w:numPr>
          <w:ilvl w:val="3"/>
          <w:numId w:val="15"/>
        </w:numPr>
        <w:overflowPunct w:val="0"/>
        <w:autoSpaceDE w:val="0"/>
        <w:autoSpaceDN w:val="0"/>
        <w:adjustRightInd w:val="0"/>
        <w:spacing w:after="120"/>
        <w:textAlignment w:val="baseline"/>
        <w:rPr>
          <w:lang w:val="en-US" w:eastAsia="zh-CN"/>
        </w:rPr>
      </w:pPr>
      <w:r w:rsidRPr="00B82ED6">
        <w:rPr>
          <w:lang w:val="en-US" w:eastAsia="zh-CN"/>
        </w:rPr>
        <w:t>K=1 for 80 ms &lt; MAX(</w:t>
      </w:r>
      <w:proofErr w:type="gramStart"/>
      <w:r w:rsidRPr="00B82ED6">
        <w:rPr>
          <w:lang w:val="en-US" w:eastAsia="zh-CN"/>
        </w:rPr>
        <w:t>T</w:t>
      </w:r>
      <w:r w:rsidRPr="00B82ED6">
        <w:rPr>
          <w:vertAlign w:val="subscript"/>
          <w:lang w:val="en-US" w:eastAsia="zh-CN"/>
        </w:rPr>
        <w:t>DRX</w:t>
      </w:r>
      <w:r w:rsidRPr="00B82ED6">
        <w:rPr>
          <w:lang w:val="en-US" w:eastAsia="zh-CN"/>
        </w:rPr>
        <w:t>,T</w:t>
      </w:r>
      <w:r w:rsidRPr="00B82ED6">
        <w:rPr>
          <w:vertAlign w:val="subscript"/>
          <w:lang w:val="en-US" w:eastAsia="zh-CN"/>
        </w:rPr>
        <w:t>SSB</w:t>
      </w:r>
      <w:proofErr w:type="gramEnd"/>
      <w:r w:rsidRPr="00B82ED6">
        <w:rPr>
          <w:lang w:val="en-US" w:eastAsia="zh-CN"/>
        </w:rPr>
        <w:t xml:space="preserve">) ≤ 160 ms </w:t>
      </w:r>
    </w:p>
    <w:p w14:paraId="7C73FB37" w14:textId="77777777" w:rsidR="00921AFF" w:rsidRPr="00B82ED6" w:rsidRDefault="00921AFF" w:rsidP="00921AFF">
      <w:pPr>
        <w:pStyle w:val="ListParagraph"/>
        <w:numPr>
          <w:ilvl w:val="3"/>
          <w:numId w:val="15"/>
        </w:numPr>
        <w:overflowPunct w:val="0"/>
        <w:autoSpaceDE w:val="0"/>
        <w:autoSpaceDN w:val="0"/>
        <w:adjustRightInd w:val="0"/>
        <w:spacing w:after="120"/>
        <w:textAlignment w:val="baseline"/>
        <w:rPr>
          <w:lang w:val="en-US" w:eastAsia="zh-CN"/>
        </w:rPr>
      </w:pPr>
      <w:r w:rsidRPr="00B82ED6">
        <w:rPr>
          <w:lang w:val="en-US" w:eastAsia="zh-CN"/>
        </w:rPr>
        <w:t xml:space="preserve">K=4 for </w:t>
      </w:r>
      <w:proofErr w:type="gramStart"/>
      <w:r w:rsidRPr="00B82ED6">
        <w:rPr>
          <w:lang w:val="en-US" w:eastAsia="zh-CN"/>
        </w:rPr>
        <w:t>MAX(</w:t>
      </w:r>
      <w:proofErr w:type="gramEnd"/>
      <w:r w:rsidRPr="00B82ED6">
        <w:rPr>
          <w:lang w:val="en-US" w:eastAsia="zh-CN"/>
        </w:rPr>
        <w:t>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80 ms</w:t>
      </w:r>
    </w:p>
    <w:p w14:paraId="087957E8" w14:textId="31E7CE10" w:rsidR="00921AFF" w:rsidRPr="00B82ED6" w:rsidRDefault="00921AFF" w:rsidP="00921AFF">
      <w:pPr>
        <w:pStyle w:val="ListParagraph"/>
        <w:numPr>
          <w:ilvl w:val="0"/>
          <w:numId w:val="15"/>
        </w:numPr>
        <w:rPr>
          <w:lang w:val="en-US" w:eastAsia="zh-CN"/>
        </w:rPr>
      </w:pPr>
      <w:r w:rsidRPr="00B82ED6">
        <w:rPr>
          <w:b/>
          <w:bCs/>
          <w:lang w:val="en-US" w:eastAsia="zh-CN"/>
        </w:rPr>
        <w:t xml:space="preserve">Proposal </w:t>
      </w:r>
      <w:r w:rsidR="00823A48" w:rsidRPr="00B82ED6">
        <w:rPr>
          <w:b/>
          <w:bCs/>
          <w:lang w:val="en-US" w:eastAsia="zh-CN"/>
        </w:rPr>
        <w:t>#20</w:t>
      </w:r>
      <w:r w:rsidRPr="00B82ED6">
        <w:rPr>
          <w:b/>
          <w:bCs/>
          <w:lang w:val="en-US" w:eastAsia="zh-CN"/>
        </w:rPr>
        <w:t xml:space="preserve">: </w:t>
      </w:r>
      <w:r w:rsidRPr="00B82ED6">
        <w:rPr>
          <w:lang w:val="en-US" w:eastAsia="zh-CN"/>
        </w:rPr>
        <w:t>The scaling factor is agreed as follows for FR2:</w:t>
      </w:r>
    </w:p>
    <w:p w14:paraId="322E1A8D" w14:textId="77777777" w:rsidR="00921AFF" w:rsidRPr="00B82ED6" w:rsidRDefault="00921AFF" w:rsidP="00921AFF">
      <w:pPr>
        <w:pStyle w:val="ListParagraph"/>
        <w:numPr>
          <w:ilvl w:val="3"/>
          <w:numId w:val="15"/>
        </w:numPr>
        <w:overflowPunct w:val="0"/>
        <w:autoSpaceDE w:val="0"/>
        <w:autoSpaceDN w:val="0"/>
        <w:adjustRightInd w:val="0"/>
        <w:spacing w:after="120"/>
        <w:textAlignment w:val="baseline"/>
        <w:rPr>
          <w:lang w:val="en-US" w:eastAsia="zh-CN"/>
        </w:rPr>
      </w:pPr>
      <w:r w:rsidRPr="00B82ED6">
        <w:rPr>
          <w:lang w:val="en-US" w:eastAsia="zh-CN"/>
        </w:rPr>
        <w:t>K=1 for 80 ms &lt; MAX(</w:t>
      </w:r>
      <w:proofErr w:type="gramStart"/>
      <w:r w:rsidRPr="00B82ED6">
        <w:rPr>
          <w:lang w:val="en-US" w:eastAsia="zh-CN"/>
        </w:rPr>
        <w:t>T</w:t>
      </w:r>
      <w:r w:rsidRPr="00B82ED6">
        <w:rPr>
          <w:vertAlign w:val="subscript"/>
          <w:lang w:val="en-US" w:eastAsia="zh-CN"/>
        </w:rPr>
        <w:t>DRX</w:t>
      </w:r>
      <w:r w:rsidRPr="00B82ED6">
        <w:rPr>
          <w:lang w:val="en-US" w:eastAsia="zh-CN"/>
        </w:rPr>
        <w:t>,T</w:t>
      </w:r>
      <w:r w:rsidRPr="00B82ED6">
        <w:rPr>
          <w:vertAlign w:val="subscript"/>
          <w:lang w:val="en-US" w:eastAsia="zh-CN"/>
        </w:rPr>
        <w:t>SSB</w:t>
      </w:r>
      <w:proofErr w:type="gramEnd"/>
      <w:r w:rsidRPr="00B82ED6">
        <w:rPr>
          <w:lang w:val="en-US" w:eastAsia="zh-CN"/>
        </w:rPr>
        <w:t xml:space="preserve">) ≤ 160 ms </w:t>
      </w:r>
    </w:p>
    <w:p w14:paraId="2DBD60B3" w14:textId="77777777" w:rsidR="00921AFF" w:rsidRPr="00B82ED6" w:rsidRDefault="00921AFF" w:rsidP="00921AFF">
      <w:pPr>
        <w:pStyle w:val="ListParagraph"/>
        <w:numPr>
          <w:ilvl w:val="3"/>
          <w:numId w:val="15"/>
        </w:numPr>
        <w:overflowPunct w:val="0"/>
        <w:autoSpaceDE w:val="0"/>
        <w:autoSpaceDN w:val="0"/>
        <w:adjustRightInd w:val="0"/>
        <w:spacing w:after="120"/>
        <w:textAlignment w:val="baseline"/>
        <w:rPr>
          <w:lang w:val="en-US" w:eastAsia="zh-CN"/>
        </w:rPr>
      </w:pPr>
      <w:r w:rsidRPr="00B82ED6">
        <w:rPr>
          <w:lang w:val="en-US" w:eastAsia="zh-CN"/>
        </w:rPr>
        <w:t xml:space="preserve">K=1.5 for </w:t>
      </w:r>
      <w:proofErr w:type="gramStart"/>
      <w:r w:rsidRPr="00B82ED6">
        <w:rPr>
          <w:lang w:val="en-US" w:eastAsia="zh-CN"/>
        </w:rPr>
        <w:t>MAX(</w:t>
      </w:r>
      <w:proofErr w:type="gramEnd"/>
      <w:r w:rsidRPr="00B82ED6">
        <w:rPr>
          <w:lang w:val="en-US" w:eastAsia="zh-CN"/>
        </w:rPr>
        <w:t>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60 ms for SSB based relaxation.</w:t>
      </w:r>
    </w:p>
    <w:p w14:paraId="553385D2" w14:textId="77777777" w:rsidR="00921AFF" w:rsidRPr="00B82ED6" w:rsidRDefault="00921AFF" w:rsidP="00921AFF">
      <w:pPr>
        <w:pStyle w:val="ListParagraph"/>
        <w:numPr>
          <w:ilvl w:val="3"/>
          <w:numId w:val="15"/>
        </w:numPr>
        <w:overflowPunct w:val="0"/>
        <w:autoSpaceDE w:val="0"/>
        <w:autoSpaceDN w:val="0"/>
        <w:adjustRightInd w:val="0"/>
        <w:spacing w:after="120"/>
        <w:textAlignment w:val="baseline"/>
        <w:rPr>
          <w:lang w:val="en-US" w:eastAsia="zh-CN"/>
        </w:rPr>
      </w:pPr>
      <w:r w:rsidRPr="00B82ED6">
        <w:rPr>
          <w:lang w:val="en-US" w:eastAsia="zh-CN"/>
        </w:rPr>
        <w:t xml:space="preserve">K=2 for </w:t>
      </w:r>
      <w:proofErr w:type="gramStart"/>
      <w:r w:rsidRPr="00B82ED6">
        <w:rPr>
          <w:lang w:val="en-US" w:eastAsia="zh-CN"/>
        </w:rPr>
        <w:t>MAX(</w:t>
      </w:r>
      <w:proofErr w:type="gramEnd"/>
      <w:r w:rsidRPr="00B82ED6">
        <w:rPr>
          <w:lang w:val="en-US" w:eastAsia="zh-CN"/>
        </w:rPr>
        <w:t>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80 ms for CSI-RS based relaxation.</w:t>
      </w:r>
    </w:p>
    <w:p w14:paraId="641FB7AD" w14:textId="77777777" w:rsidR="00921AFF" w:rsidRPr="00B82ED6" w:rsidRDefault="00921AFF" w:rsidP="00721BF4">
      <w:pPr>
        <w:rPr>
          <w:b/>
          <w:u w:val="single"/>
          <w:lang w:val="en-US"/>
        </w:rPr>
      </w:pPr>
    </w:p>
    <w:p w14:paraId="0713E32C" w14:textId="77777777" w:rsidR="00F038D9" w:rsidRPr="008501E5" w:rsidRDefault="00F038D9" w:rsidP="00F038D9">
      <w:pPr>
        <w:rPr>
          <w:b/>
          <w:bCs/>
          <w:u w:val="single"/>
          <w:lang w:val="en-GB" w:eastAsia="zh-CN"/>
        </w:rPr>
      </w:pPr>
      <w:r w:rsidRPr="008501E5">
        <w:rPr>
          <w:b/>
          <w:bCs/>
          <w:u w:val="single"/>
          <w:lang w:val="en-GB" w:eastAsia="zh-CN"/>
        </w:rPr>
        <w:t>OOS indication during relaxation mode</w:t>
      </w:r>
    </w:p>
    <w:p w14:paraId="20FED2F2" w14:textId="47212238" w:rsidR="00F038D9" w:rsidRPr="008501E5" w:rsidRDefault="00F038D9" w:rsidP="00F038D9">
      <w:r w:rsidRPr="00B82ED6">
        <w:rPr>
          <w:lang w:val="en-US" w:eastAsia="zh-CN"/>
        </w:rPr>
        <w:t xml:space="preserve">Different options are being discussed related to whether the UE shall send out-of-sync indications while operating in relaxed mode. Our view is that the legacy behavior shall apply, </w:t>
      </w:r>
      <w:proofErr w:type="gramStart"/>
      <w:r w:rsidRPr="00B82ED6">
        <w:rPr>
          <w:lang w:val="en-US" w:eastAsia="zh-CN"/>
        </w:rPr>
        <w:t>i.e.</w:t>
      </w:r>
      <w:proofErr w:type="gramEnd"/>
      <w:r w:rsidRPr="00B82ED6">
        <w:rPr>
          <w:lang w:val="en-US" w:eastAsia="zh-CN"/>
        </w:rPr>
        <w:t xml:space="preserve"> </w:t>
      </w:r>
      <w:r w:rsidRPr="00B82ED6">
        <w:rPr>
          <w:lang w:val="en-US"/>
        </w:rPr>
        <w:t xml:space="preserve">the UE shall continue to evaluate the serving cell quality and send out-of-sync indications when the measured SINR becomes worse than Qout threshold and follow the associated procedures (including N310 counters). This means the relaxation is introduced only in form of extended evaluation period while all other UE behaviors remain the same. </w:t>
      </w:r>
      <w:r w:rsidRPr="008501E5">
        <w:t>Therefore we support option 1.</w:t>
      </w:r>
    </w:p>
    <w:p w14:paraId="6AEF5E16" w14:textId="24D91594" w:rsidR="00F038D9" w:rsidRPr="00B82ED6" w:rsidRDefault="00F038D9" w:rsidP="00F038D9">
      <w:pPr>
        <w:pStyle w:val="ListParagraph"/>
        <w:numPr>
          <w:ilvl w:val="0"/>
          <w:numId w:val="15"/>
        </w:numPr>
        <w:rPr>
          <w:b/>
          <w:bCs/>
          <w:lang w:val="en-US" w:eastAsia="zh-CN"/>
        </w:rPr>
      </w:pPr>
      <w:r w:rsidRPr="00B82ED6">
        <w:rPr>
          <w:b/>
          <w:bCs/>
          <w:lang w:val="en-US" w:eastAsia="zh-CN"/>
        </w:rPr>
        <w:t xml:space="preserve">Proposal </w:t>
      </w:r>
      <w:r w:rsidR="00823A48" w:rsidRPr="00B82ED6">
        <w:rPr>
          <w:b/>
          <w:bCs/>
          <w:lang w:val="en-US" w:eastAsia="zh-CN"/>
        </w:rPr>
        <w:t>#21</w:t>
      </w:r>
      <w:r w:rsidRPr="00B82ED6">
        <w:rPr>
          <w:b/>
          <w:bCs/>
          <w:lang w:val="en-US" w:eastAsia="zh-CN"/>
        </w:rPr>
        <w:t xml:space="preserve">: </w:t>
      </w:r>
      <w:r w:rsidRPr="00B82ED6">
        <w:rPr>
          <w:lang w:val="en-US" w:eastAsia="zh-CN"/>
        </w:rPr>
        <w:t>The legacy behavior for evaluating the serving cell quality and sending out-of-sync indication shall apply also during the relaxed mode.</w:t>
      </w:r>
      <w:r w:rsidRPr="00B82ED6">
        <w:rPr>
          <w:b/>
          <w:bCs/>
          <w:lang w:val="en-US" w:eastAsia="zh-CN"/>
        </w:rPr>
        <w:t xml:space="preserve"> </w:t>
      </w:r>
    </w:p>
    <w:p w14:paraId="65D8A220" w14:textId="77777777" w:rsidR="00F46B09" w:rsidRPr="00B82ED6" w:rsidRDefault="00F46B09" w:rsidP="008501E5">
      <w:pPr>
        <w:pStyle w:val="ListParagraph"/>
        <w:ind w:left="786"/>
        <w:rPr>
          <w:b/>
          <w:bCs/>
          <w:lang w:val="en-US" w:eastAsia="zh-CN"/>
        </w:rPr>
      </w:pPr>
    </w:p>
    <w:p w14:paraId="08965FCE" w14:textId="77777777" w:rsidR="00F46B09" w:rsidRPr="008501E5" w:rsidRDefault="00F46B09" w:rsidP="008501E5">
      <w:pPr>
        <w:rPr>
          <w:b/>
          <w:bCs/>
          <w:u w:val="single"/>
          <w:lang w:val="en-GB" w:eastAsia="zh-CN"/>
        </w:rPr>
      </w:pPr>
      <w:r w:rsidRPr="008501E5">
        <w:rPr>
          <w:b/>
          <w:bCs/>
          <w:u w:val="single"/>
          <w:lang w:val="en-GB" w:eastAsia="zh-CN"/>
        </w:rPr>
        <w:t>Relaxation criteria for multiple RLM-RS/BFD-RS</w:t>
      </w:r>
    </w:p>
    <w:p w14:paraId="15222AF8" w14:textId="77777777" w:rsidR="00F46B09" w:rsidRPr="00B82ED6" w:rsidRDefault="00F46B09" w:rsidP="00F46B09">
      <w:pPr>
        <w:rPr>
          <w:lang w:val="en-US"/>
        </w:rPr>
      </w:pPr>
      <w:r w:rsidRPr="00B82ED6">
        <w:rPr>
          <w:lang w:val="en-US"/>
        </w:rPr>
        <w:t>There is another related open issue as follows:</w:t>
      </w:r>
    </w:p>
    <w:tbl>
      <w:tblPr>
        <w:tblStyle w:val="TableGrid"/>
        <w:tblW w:w="0" w:type="auto"/>
        <w:tblLook w:val="04A0" w:firstRow="1" w:lastRow="0" w:firstColumn="1" w:lastColumn="0" w:noHBand="0" w:noVBand="1"/>
      </w:tblPr>
      <w:tblGrid>
        <w:gridCol w:w="9629"/>
      </w:tblGrid>
      <w:tr w:rsidR="00F46B09" w:rsidRPr="00EB0492" w14:paraId="734FC98F" w14:textId="77777777" w:rsidTr="00157453">
        <w:tc>
          <w:tcPr>
            <w:tcW w:w="9629" w:type="dxa"/>
          </w:tcPr>
          <w:p w14:paraId="4CC5C7F3" w14:textId="77777777" w:rsidR="00F46B09" w:rsidRPr="00B76527" w:rsidRDefault="00F46B09" w:rsidP="00F46B09">
            <w:pPr>
              <w:spacing w:after="120"/>
            </w:pPr>
            <w:r>
              <w:t>Proposals</w:t>
            </w:r>
          </w:p>
          <w:p w14:paraId="5A948680" w14:textId="77777777" w:rsidR="00F46B09" w:rsidRPr="00B76527" w:rsidRDefault="00F46B09" w:rsidP="00F46B09">
            <w:pPr>
              <w:numPr>
                <w:ilvl w:val="0"/>
                <w:numId w:val="10"/>
              </w:numPr>
              <w:tabs>
                <w:tab w:val="left" w:pos="1440"/>
              </w:tabs>
              <w:spacing w:before="100" w:beforeAutospacing="1" w:after="180" w:line="256" w:lineRule="auto"/>
              <w:rPr>
                <w:rFonts w:eastAsia="PMingLiU"/>
                <w:lang w:eastAsia="zh-TW"/>
              </w:rPr>
            </w:pPr>
            <w:r w:rsidRPr="00B82ED6">
              <w:rPr>
                <w:rFonts w:eastAsia="PMingLiU"/>
                <w:lang w:val="en-US" w:eastAsia="zh-TW"/>
              </w:rPr>
              <w:t xml:space="preserve">Option 1: Entering power saving mode when at least one of the configured resources are better than the entering threshold. </w:t>
            </w:r>
            <w:r w:rsidRPr="00B76527">
              <w:rPr>
                <w:rFonts w:eastAsia="PMingLiU"/>
                <w:lang w:eastAsia="zh-TW"/>
              </w:rPr>
              <w:t>(Qualcomm, MTK, Xiaomi, Oppo)</w:t>
            </w:r>
          </w:p>
          <w:p w14:paraId="0EF8B272" w14:textId="77777777" w:rsidR="00F46B09" w:rsidRPr="00B76527" w:rsidRDefault="00F46B09" w:rsidP="00F46B09">
            <w:pPr>
              <w:numPr>
                <w:ilvl w:val="0"/>
                <w:numId w:val="10"/>
              </w:numPr>
              <w:tabs>
                <w:tab w:val="left" w:pos="1440"/>
              </w:tabs>
              <w:spacing w:before="100" w:beforeAutospacing="1" w:after="180" w:line="256" w:lineRule="auto"/>
              <w:rPr>
                <w:rFonts w:eastAsia="PMingLiU"/>
                <w:lang w:eastAsia="zh-TW"/>
              </w:rPr>
            </w:pPr>
            <w:r w:rsidRPr="00B76527">
              <w:rPr>
                <w:rFonts w:eastAsia="PMingLiU"/>
                <w:lang w:eastAsia="zh-TW"/>
              </w:rPr>
              <w:t>Option 2 (CMCC, Ericsson)</w:t>
            </w:r>
          </w:p>
          <w:p w14:paraId="75E28000" w14:textId="77777777" w:rsidR="00F46B09" w:rsidRPr="00B82ED6" w:rsidRDefault="00F46B09" w:rsidP="00F46B09">
            <w:pPr>
              <w:pStyle w:val="ListParagraph"/>
              <w:numPr>
                <w:ilvl w:val="1"/>
                <w:numId w:val="10"/>
              </w:numPr>
              <w:spacing w:before="100" w:beforeAutospacing="1" w:after="0" w:line="240" w:lineRule="auto"/>
              <w:ind w:left="1440" w:hanging="360"/>
              <w:rPr>
                <w:lang w:val="en-US"/>
              </w:rPr>
            </w:pPr>
            <w:r w:rsidRPr="00B82ED6">
              <w:rPr>
                <w:lang w:val="en-US"/>
              </w:rPr>
              <w:t xml:space="preserve">The UE </w:t>
            </w:r>
            <w:proofErr w:type="gramStart"/>
            <w:r w:rsidRPr="00B82ED6">
              <w:rPr>
                <w:lang w:val="en-US"/>
              </w:rPr>
              <w:t>is allowed to</w:t>
            </w:r>
            <w:proofErr w:type="gramEnd"/>
            <w:r w:rsidRPr="00B82ED6">
              <w:rPr>
                <w:lang w:val="en-US"/>
              </w:rPr>
              <w:t xml:space="preserve"> operate RLM/BFD in relaxed mode for a certain cell (SpCell or SCell) when the radio link quality is better than the threshold (Qout + X1) for all RLM-RS resource. </w:t>
            </w:r>
          </w:p>
          <w:p w14:paraId="0D556FDF" w14:textId="77777777" w:rsidR="00F46B09" w:rsidRPr="00B82ED6" w:rsidRDefault="00F46B09" w:rsidP="00F46B09">
            <w:pPr>
              <w:pStyle w:val="ListParagraph"/>
              <w:numPr>
                <w:ilvl w:val="1"/>
                <w:numId w:val="10"/>
              </w:numPr>
              <w:spacing w:before="100" w:beforeAutospacing="1" w:after="0" w:line="240" w:lineRule="auto"/>
              <w:ind w:left="1440" w:hanging="360"/>
              <w:rPr>
                <w:lang w:val="en-US"/>
              </w:rPr>
            </w:pPr>
            <w:proofErr w:type="gramStart"/>
            <w:r w:rsidRPr="00B82ED6">
              <w:rPr>
                <w:lang w:val="en-US"/>
              </w:rPr>
              <w:t>The</w:t>
            </w:r>
            <w:proofErr w:type="gramEnd"/>
            <w:r w:rsidRPr="00B82ED6">
              <w:rPr>
                <w:lang w:val="en-US"/>
              </w:rPr>
              <w:t xml:space="preserve"> shall exit the relaxed mode when the radio link quality is worse than the threshold (Qout + X2) for any the RLM-RS resources. </w:t>
            </w:r>
          </w:p>
          <w:p w14:paraId="21B178D5" w14:textId="77777777" w:rsidR="00F46B09" w:rsidRPr="00B82ED6" w:rsidRDefault="00F46B09" w:rsidP="00F46B09">
            <w:pPr>
              <w:pStyle w:val="ListParagraph"/>
              <w:numPr>
                <w:ilvl w:val="1"/>
                <w:numId w:val="10"/>
              </w:numPr>
              <w:spacing w:before="100" w:beforeAutospacing="1" w:after="0" w:line="240" w:lineRule="auto"/>
              <w:ind w:left="1440" w:hanging="360"/>
              <w:rPr>
                <w:b/>
                <w:bCs/>
                <w:lang w:val="en-US"/>
              </w:rPr>
            </w:pPr>
            <w:r w:rsidRPr="00B82ED6">
              <w:rPr>
                <w:lang w:val="en-US"/>
              </w:rPr>
              <w:t>The values of X1, X2 are FFS.</w:t>
            </w:r>
          </w:p>
          <w:p w14:paraId="30754D69" w14:textId="77777777" w:rsidR="00F46B09" w:rsidRPr="00B76527" w:rsidRDefault="00F46B09" w:rsidP="00F46B09">
            <w:pPr>
              <w:pStyle w:val="ListParagraph"/>
              <w:numPr>
                <w:ilvl w:val="0"/>
                <w:numId w:val="10"/>
              </w:numPr>
              <w:tabs>
                <w:tab w:val="left" w:pos="1440"/>
              </w:tabs>
              <w:autoSpaceDN w:val="0"/>
              <w:spacing w:before="100" w:beforeAutospacing="1" w:after="120" w:line="256" w:lineRule="auto"/>
              <w:rPr>
                <w:rFonts w:eastAsia="SimSun"/>
              </w:rPr>
            </w:pPr>
            <w:r w:rsidRPr="00B82ED6">
              <w:rPr>
                <w:rFonts w:eastAsia="SimSun"/>
                <w:lang w:val="en-US"/>
              </w:rPr>
              <w:t xml:space="preserve">Option 3: The UE behaviour on checking the entering/exiting condition of cell quality criterion regarding multiple RLM-RSs/BFD-RSs is not specified. </w:t>
            </w:r>
            <w:r w:rsidRPr="00B76527">
              <w:rPr>
                <w:rFonts w:eastAsia="SimSun"/>
              </w:rPr>
              <w:t>(vivo, MTK)</w:t>
            </w:r>
          </w:p>
          <w:p w14:paraId="1F277A4E" w14:textId="77777777" w:rsidR="00F46B09" w:rsidRPr="00B82ED6" w:rsidRDefault="00F46B09" w:rsidP="00F46B09">
            <w:pPr>
              <w:pStyle w:val="ListParagraph"/>
              <w:numPr>
                <w:ilvl w:val="0"/>
                <w:numId w:val="10"/>
              </w:numPr>
              <w:tabs>
                <w:tab w:val="left" w:pos="1440"/>
              </w:tabs>
              <w:autoSpaceDN w:val="0"/>
              <w:spacing w:before="100" w:beforeAutospacing="1" w:after="120" w:line="256" w:lineRule="auto"/>
              <w:rPr>
                <w:rFonts w:eastAsia="SimSun"/>
                <w:lang w:val="en-US"/>
              </w:rPr>
            </w:pPr>
            <w:r w:rsidRPr="00B82ED6">
              <w:rPr>
                <w:rFonts w:eastAsia="SimSun"/>
                <w:lang w:val="en-US"/>
              </w:rPr>
              <w:t xml:space="preserve">Option 4: relaxation is </w:t>
            </w:r>
            <w:r w:rsidRPr="00B82ED6">
              <w:rPr>
                <w:rFonts w:eastAsia="SimSun"/>
                <w:sz w:val="24"/>
                <w:lang w:val="en-US"/>
              </w:rPr>
              <w:t>based on per-</w:t>
            </w:r>
            <w:r w:rsidRPr="00B82ED6">
              <w:rPr>
                <w:rFonts w:eastAsia="SimSun"/>
                <w:lang w:val="en-US"/>
              </w:rPr>
              <w:t>RS basis (Nokia)</w:t>
            </w:r>
          </w:p>
          <w:p w14:paraId="2A5AAA9B" w14:textId="432A6732" w:rsidR="00F46B09" w:rsidRPr="00B82ED6" w:rsidRDefault="00F46B09" w:rsidP="008501E5">
            <w:pPr>
              <w:rPr>
                <w:lang w:val="en-US"/>
              </w:rPr>
            </w:pPr>
          </w:p>
        </w:tc>
      </w:tr>
    </w:tbl>
    <w:p w14:paraId="56F45734" w14:textId="77777777" w:rsidR="00F46B09" w:rsidRPr="00B82ED6" w:rsidRDefault="00F46B09" w:rsidP="00F46B09">
      <w:pPr>
        <w:rPr>
          <w:lang w:val="en-US"/>
        </w:rPr>
      </w:pPr>
    </w:p>
    <w:p w14:paraId="76C2413A" w14:textId="0AE40144" w:rsidR="00F46B09" w:rsidRDefault="00F46B09" w:rsidP="00F46B09">
      <w:r w:rsidRPr="00B82ED6">
        <w:rPr>
          <w:lang w:val="en-US"/>
        </w:rPr>
        <w:lastRenderedPageBreak/>
        <w:t xml:space="preserve">This issue is related to the good serving cell quality issue, </w:t>
      </w:r>
      <w:proofErr w:type="gramStart"/>
      <w:r w:rsidRPr="00B82ED6">
        <w:rPr>
          <w:lang w:val="en-US"/>
        </w:rPr>
        <w:t>i.e.</w:t>
      </w:r>
      <w:proofErr w:type="gramEnd"/>
      <w:r w:rsidRPr="00B82ED6">
        <w:rPr>
          <w:lang w:val="en-US"/>
        </w:rPr>
        <w:t xml:space="preserve"> it determines when the UE can enter the relaxed RLM/BFD operation. </w:t>
      </w:r>
      <w:r w:rsidR="00360105" w:rsidRPr="00B82ED6">
        <w:rPr>
          <w:lang w:val="en-US"/>
        </w:rPr>
        <w:t xml:space="preserve">The concern we have with option 1 is that the conditions to enter the relaxed mode are quite relaxed and it may result in that UE mistakenly enters the relaxed mode. Our view, on the other hand, is that the entering conditions should </w:t>
      </w:r>
      <w:r w:rsidRPr="00B82ED6">
        <w:rPr>
          <w:lang w:val="en-US"/>
        </w:rPr>
        <w:t xml:space="preserve">be stricter than the exiting conditions to avoid that UE mistakenly enters the relaxation state and to not compromise on the performance. </w:t>
      </w:r>
      <w:r w:rsidRPr="008E0864">
        <w:t xml:space="preserve">Therefore we support option 2. </w:t>
      </w:r>
    </w:p>
    <w:p w14:paraId="4E6AEBA9" w14:textId="50ADCFA9" w:rsidR="00F46B09" w:rsidRPr="008E0864" w:rsidRDefault="00F46B09" w:rsidP="00F46B09">
      <w:pPr>
        <w:pStyle w:val="ListParagraph"/>
        <w:numPr>
          <w:ilvl w:val="0"/>
          <w:numId w:val="6"/>
        </w:numPr>
      </w:pPr>
      <w:r w:rsidRPr="008E0864">
        <w:rPr>
          <w:b/>
          <w:bCs/>
        </w:rPr>
        <w:t>Proposal #</w:t>
      </w:r>
      <w:r w:rsidR="00823A48">
        <w:rPr>
          <w:b/>
          <w:bCs/>
        </w:rPr>
        <w:t>22</w:t>
      </w:r>
      <w:r w:rsidRPr="008E0864">
        <w:rPr>
          <w:b/>
          <w:bCs/>
        </w:rPr>
        <w:t xml:space="preserve">: </w:t>
      </w:r>
    </w:p>
    <w:p w14:paraId="76DF960C" w14:textId="77777777" w:rsidR="00F46B09" w:rsidRPr="00B82ED6" w:rsidRDefault="00F46B09" w:rsidP="00F46B09">
      <w:pPr>
        <w:pStyle w:val="ListParagraph"/>
        <w:numPr>
          <w:ilvl w:val="1"/>
          <w:numId w:val="6"/>
        </w:numPr>
        <w:rPr>
          <w:lang w:val="en-US"/>
        </w:rPr>
      </w:pPr>
      <w:r w:rsidRPr="00B82ED6">
        <w:rPr>
          <w:lang w:val="en-US"/>
        </w:rPr>
        <w:t xml:space="preserve">The UE </w:t>
      </w:r>
      <w:proofErr w:type="gramStart"/>
      <w:r w:rsidRPr="00B82ED6">
        <w:rPr>
          <w:lang w:val="en-US"/>
        </w:rPr>
        <w:t>is allowed to</w:t>
      </w:r>
      <w:proofErr w:type="gramEnd"/>
      <w:r w:rsidRPr="00B82ED6">
        <w:rPr>
          <w:lang w:val="en-US"/>
        </w:rPr>
        <w:t xml:space="preserve"> operate RLM/BFD in relaxed mode for a certain cell (SpCell or SCell) when the </w:t>
      </w:r>
      <w:r w:rsidRPr="008E0864">
        <w:rPr>
          <w:lang w:val="en-GB"/>
        </w:rPr>
        <w:t xml:space="preserve">radio link quality is better than the threshold (Qout + X1) for all RLM-RS resource. </w:t>
      </w:r>
    </w:p>
    <w:p w14:paraId="765BC454" w14:textId="243EB680" w:rsidR="00360105" w:rsidRPr="002940CE" w:rsidRDefault="00F46B09" w:rsidP="00F46B09">
      <w:pPr>
        <w:numPr>
          <w:ilvl w:val="1"/>
          <w:numId w:val="6"/>
        </w:numPr>
        <w:rPr>
          <w:lang w:val="en-US"/>
        </w:rPr>
      </w:pPr>
      <w:r w:rsidRPr="008E0864">
        <w:rPr>
          <w:lang w:val="en-GB"/>
        </w:rPr>
        <w:t xml:space="preserve">The </w:t>
      </w:r>
      <w:r w:rsidR="00B82ED6">
        <w:rPr>
          <w:lang w:val="en-GB"/>
        </w:rPr>
        <w:t xml:space="preserve">UE </w:t>
      </w:r>
      <w:r w:rsidRPr="008E0864">
        <w:rPr>
          <w:lang w:val="en-GB"/>
        </w:rPr>
        <w:t xml:space="preserve">shall exit the relaxed mode when the radio link quality is worse than the threshold (Qout + X2) for any the RLM-RS resources. </w:t>
      </w:r>
    </w:p>
    <w:p w14:paraId="70AE23BB" w14:textId="1ED54243" w:rsidR="00F46B09" w:rsidRPr="002940CE" w:rsidRDefault="00F46B09" w:rsidP="008501E5">
      <w:pPr>
        <w:numPr>
          <w:ilvl w:val="1"/>
          <w:numId w:val="6"/>
        </w:numPr>
        <w:rPr>
          <w:lang w:val="en-US"/>
        </w:rPr>
      </w:pPr>
      <w:r w:rsidRPr="00360105">
        <w:rPr>
          <w:lang w:val="en-GB"/>
        </w:rPr>
        <w:t xml:space="preserve">The values of X1, X2 </w:t>
      </w:r>
      <w:r w:rsidR="00360105" w:rsidRPr="00360105">
        <w:rPr>
          <w:lang w:val="en-GB"/>
        </w:rPr>
        <w:t xml:space="preserve">can be same </w:t>
      </w:r>
      <w:r w:rsidR="00360105" w:rsidRPr="00DA5562">
        <w:rPr>
          <w:lang w:val="en-GB"/>
        </w:rPr>
        <w:t>as those discussed for good serving cell quality.</w:t>
      </w:r>
    </w:p>
    <w:p w14:paraId="32ED3574" w14:textId="77777777" w:rsidR="00F46B09" w:rsidRPr="002940CE" w:rsidRDefault="00F46B09" w:rsidP="007E3C7F">
      <w:pPr>
        <w:rPr>
          <w:lang w:val="en-US"/>
        </w:rPr>
      </w:pPr>
    </w:p>
    <w:p w14:paraId="71869A16" w14:textId="2A68EFAF"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472BB64F" w:rsidR="000D0A7D" w:rsidRPr="008501E5" w:rsidRDefault="00A83DED" w:rsidP="00BF6D96">
      <w:r w:rsidRPr="002940CE">
        <w:rPr>
          <w:lang w:val="en-US"/>
        </w:rPr>
        <w:t xml:space="preserve">In this contribution we have </w:t>
      </w:r>
      <w:r w:rsidR="005A13EE" w:rsidRPr="002940CE">
        <w:rPr>
          <w:lang w:val="en-US"/>
        </w:rPr>
        <w:t xml:space="preserve">provided our initial view on relaxed radio link monitoring and beam management requirements. </w:t>
      </w:r>
      <w:r w:rsidR="005A13EE" w:rsidRPr="008501E5">
        <w:t>Based on the discussions, we have made following proposals:</w:t>
      </w:r>
    </w:p>
    <w:p w14:paraId="478D229D"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#1: </w:t>
      </w:r>
      <w:r w:rsidRPr="002940CE">
        <w:rPr>
          <w:lang w:val="en-US" w:eastAsia="zh-CN"/>
        </w:rPr>
        <w:t>UE capability from Rel-16 low mobility criterion is reused for low mobility criterion in Rel-17 UE power saving requirements.</w:t>
      </w:r>
    </w:p>
    <w:p w14:paraId="1CAE681E"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#2: </w:t>
      </w:r>
      <w:r w:rsidRPr="002940CE">
        <w:rPr>
          <w:lang w:val="en-US" w:eastAsia="zh-CN"/>
        </w:rPr>
        <w:t xml:space="preserve">Good serving cell quality criterion, which is used for determining whether to apply relaxed RLM/BFD, is not mandatory to be configured by the NW. </w:t>
      </w:r>
    </w:p>
    <w:p w14:paraId="0D76207A"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#3: </w:t>
      </w:r>
      <w:r w:rsidRPr="002940CE">
        <w:rPr>
          <w:lang w:val="en-US" w:eastAsia="zh-CN"/>
        </w:rPr>
        <w:t>Allow an explicit indication from NW to UE to relax the RLM/FD measurements irrespective of the relaxation criteria configuration.</w:t>
      </w:r>
      <w:r w:rsidRPr="002940CE">
        <w:rPr>
          <w:b/>
          <w:lang w:val="en-US" w:eastAsia="zh-CN"/>
        </w:rPr>
        <w:t xml:space="preserve"> </w:t>
      </w:r>
      <w:r w:rsidRPr="002940CE">
        <w:rPr>
          <w:b/>
          <w:lang w:val="en-US" w:eastAsia="zh-CN"/>
        </w:rPr>
        <w:br/>
      </w:r>
    </w:p>
    <w:p w14:paraId="07C89907"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#4: </w:t>
      </w:r>
      <w:r w:rsidRPr="002940CE">
        <w:rPr>
          <w:lang w:val="en-US" w:eastAsia="zh-CN"/>
        </w:rPr>
        <w:t xml:space="preserve">The benefit of having an explicit indication to indicate the good serving cell quality shall be evaluated needs more discussions. </w:t>
      </w:r>
      <w:r w:rsidRPr="002940CE">
        <w:rPr>
          <w:b/>
          <w:lang w:val="en-US" w:eastAsia="zh-CN"/>
        </w:rPr>
        <w:t xml:space="preserve"> </w:t>
      </w:r>
    </w:p>
    <w:p w14:paraId="56632E17"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#5: </w:t>
      </w:r>
      <w:r w:rsidRPr="002940CE">
        <w:rPr>
          <w:lang w:val="en-US" w:eastAsia="zh-CN"/>
        </w:rPr>
        <w:t>The existing agreement to use SSB based L3-RSRP measurement of the serving cell to evaluate the low mobility criterion is sufficient.</w:t>
      </w:r>
    </w:p>
    <w:p w14:paraId="3C0B7398" w14:textId="77777777" w:rsidR="004B24DD" w:rsidRPr="002940CE" w:rsidRDefault="004B24DD" w:rsidP="004B24DD">
      <w:pPr>
        <w:pStyle w:val="ListParagraph"/>
        <w:numPr>
          <w:ilvl w:val="0"/>
          <w:numId w:val="24"/>
        </w:numPr>
        <w:rPr>
          <w:lang w:val="en-US" w:eastAsia="zh-CN"/>
        </w:rPr>
      </w:pPr>
      <w:r w:rsidRPr="002940CE">
        <w:rPr>
          <w:b/>
          <w:lang w:val="en-US" w:eastAsia="zh-CN"/>
        </w:rPr>
        <w:t xml:space="preserve">Proposal #6: </w:t>
      </w:r>
      <w:r w:rsidRPr="002940CE">
        <w:rPr>
          <w:lang w:val="en-US" w:eastAsia="zh-CN"/>
        </w:rPr>
        <w:t>The RRM measurements used for evaluating the low mobility criterion shall fulfill the measurement accuracy requirements.</w:t>
      </w:r>
    </w:p>
    <w:p w14:paraId="68638E59" w14:textId="77777777" w:rsidR="00287771" w:rsidRPr="00B82ED6" w:rsidRDefault="00287771" w:rsidP="00287771">
      <w:pPr>
        <w:pStyle w:val="ListParagraph"/>
        <w:numPr>
          <w:ilvl w:val="0"/>
          <w:numId w:val="24"/>
        </w:numPr>
        <w:rPr>
          <w:lang w:val="en-US" w:eastAsia="zh-CN"/>
        </w:rPr>
      </w:pPr>
      <w:r w:rsidRPr="00B82ED6">
        <w:rPr>
          <w:b/>
          <w:lang w:val="en-US" w:eastAsia="zh-CN"/>
        </w:rPr>
        <w:t xml:space="preserve">Proposal #7: </w:t>
      </w:r>
      <w:r w:rsidRPr="001E04A1">
        <w:rPr>
          <w:bCs/>
          <w:lang w:val="en-US" w:eastAsia="zh-CN"/>
        </w:rPr>
        <w:t xml:space="preserve">The </w:t>
      </w:r>
      <w:r w:rsidRPr="00893BC5">
        <w:rPr>
          <w:bCs/>
          <w:lang w:val="en-US" w:eastAsia="zh-CN"/>
        </w:rPr>
        <w:t>UE</w:t>
      </w:r>
      <w:r w:rsidRPr="00B82ED6">
        <w:rPr>
          <w:lang w:val="en-US" w:eastAsia="zh-CN"/>
        </w:rPr>
        <w:t xml:space="preserve"> shall not operate RLM/BFD in relaxed mode if any </w:t>
      </w:r>
      <w:r>
        <w:rPr>
          <w:lang w:val="en-US" w:eastAsia="zh-CN"/>
        </w:rPr>
        <w:t xml:space="preserve">Rx </w:t>
      </w:r>
      <w:r w:rsidRPr="00B82ED6">
        <w:rPr>
          <w:lang w:val="en-US" w:eastAsia="zh-CN"/>
        </w:rPr>
        <w:t xml:space="preserve">beam changes have occurred during the last N evaluation period.  </w:t>
      </w:r>
    </w:p>
    <w:p w14:paraId="5F92F9B2" w14:textId="77777777" w:rsidR="004B24DD" w:rsidRPr="002940CE" w:rsidRDefault="004B24DD" w:rsidP="004B24DD">
      <w:pPr>
        <w:pStyle w:val="ListParagraph"/>
        <w:numPr>
          <w:ilvl w:val="0"/>
          <w:numId w:val="24"/>
        </w:numPr>
        <w:rPr>
          <w:lang w:val="en-US" w:eastAsia="zh-CN"/>
        </w:rPr>
      </w:pPr>
      <w:r w:rsidRPr="002940CE">
        <w:rPr>
          <w:b/>
          <w:lang w:val="en-US" w:eastAsia="zh-CN"/>
        </w:rPr>
        <w:t>Proposal #8:</w:t>
      </w:r>
      <w:r w:rsidRPr="002940CE">
        <w:rPr>
          <w:lang w:val="en-US" w:eastAsia="zh-CN"/>
        </w:rPr>
        <w:t xml:space="preserve"> </w:t>
      </w:r>
      <w:r w:rsidRPr="002940CE">
        <w:rPr>
          <w:rFonts w:eastAsia="SimSun"/>
          <w:lang w:val="en-US"/>
        </w:rPr>
        <w:t>Low mobility criterion is configured on per-UE basis for relaxed RLM/BFD.</w:t>
      </w:r>
    </w:p>
    <w:p w14:paraId="2481F85C" w14:textId="77777777" w:rsidR="004B24DD" w:rsidRPr="002940CE" w:rsidRDefault="004B24DD" w:rsidP="004B24DD">
      <w:pPr>
        <w:pStyle w:val="ListParagraph"/>
        <w:numPr>
          <w:ilvl w:val="0"/>
          <w:numId w:val="24"/>
        </w:numPr>
        <w:rPr>
          <w:lang w:val="en-US" w:eastAsia="zh-CN"/>
        </w:rPr>
      </w:pPr>
      <w:r w:rsidRPr="002940CE">
        <w:rPr>
          <w:b/>
          <w:lang w:val="en-US" w:eastAsia="zh-CN"/>
        </w:rPr>
        <w:t>Proposal #9:</w:t>
      </w:r>
      <w:r w:rsidRPr="002940CE">
        <w:rPr>
          <w:lang w:val="en-US" w:eastAsia="zh-CN"/>
        </w:rPr>
        <w:t xml:space="preserve"> </w:t>
      </w:r>
      <w:r w:rsidRPr="002940CE">
        <w:rPr>
          <w:rFonts w:eastAsia="SimSun"/>
          <w:lang w:val="en-US"/>
        </w:rPr>
        <w:t>Good serving cell quality criterion is configured on per-UE basis for relaxed RLM/BFD</w:t>
      </w:r>
      <w:r w:rsidRPr="002940CE">
        <w:rPr>
          <w:rFonts w:eastAsia="SimSun"/>
          <w:u w:val="single"/>
          <w:lang w:val="en-US"/>
        </w:rPr>
        <w:t>.</w:t>
      </w:r>
    </w:p>
    <w:p w14:paraId="0942E2C1" w14:textId="77777777" w:rsidR="004B24DD" w:rsidRPr="002940CE" w:rsidRDefault="004B24DD" w:rsidP="004B24DD">
      <w:pPr>
        <w:pStyle w:val="ListParagraph"/>
        <w:numPr>
          <w:ilvl w:val="0"/>
          <w:numId w:val="24"/>
        </w:numPr>
        <w:rPr>
          <w:lang w:val="en-US"/>
        </w:rPr>
      </w:pPr>
      <w:r w:rsidRPr="002940CE">
        <w:rPr>
          <w:b/>
          <w:lang w:val="en-US"/>
        </w:rPr>
        <w:t xml:space="preserve">Proposal #10: </w:t>
      </w:r>
      <w:r w:rsidRPr="002940CE">
        <w:rPr>
          <w:lang w:val="en-US"/>
        </w:rPr>
        <w:t>The low mobility criterion for Rel-17 relaxed RLM/BFD operation is defined by RAN4.</w:t>
      </w:r>
    </w:p>
    <w:p w14:paraId="58269BB1" w14:textId="77777777" w:rsidR="004B24DD" w:rsidRPr="002940CE" w:rsidRDefault="004B24DD" w:rsidP="004B24DD">
      <w:pPr>
        <w:pStyle w:val="ListParagraph"/>
        <w:numPr>
          <w:ilvl w:val="0"/>
          <w:numId w:val="24"/>
        </w:numPr>
        <w:rPr>
          <w:lang w:val="en-US" w:eastAsia="zh-CN"/>
        </w:rPr>
      </w:pPr>
      <w:r w:rsidRPr="002940CE">
        <w:rPr>
          <w:b/>
          <w:bCs/>
          <w:lang w:val="en-US" w:eastAsia="zh-CN"/>
        </w:rPr>
        <w:t xml:space="preserve">Proposal #11: </w:t>
      </w:r>
      <w:r w:rsidRPr="002940CE">
        <w:rPr>
          <w:lang w:val="en-US" w:eastAsia="zh-CN"/>
        </w:rPr>
        <w:t xml:space="preserve">Offsets X and Y used in good serving cell quality for </w:t>
      </w:r>
      <w:proofErr w:type="gramStart"/>
      <w:r w:rsidRPr="002940CE">
        <w:rPr>
          <w:lang w:val="en-US" w:eastAsia="zh-CN"/>
        </w:rPr>
        <w:t>RLM</w:t>
      </w:r>
      <w:proofErr w:type="gramEnd"/>
      <w:r w:rsidRPr="002940CE">
        <w:rPr>
          <w:lang w:val="en-US" w:eastAsia="zh-CN"/>
        </w:rPr>
        <w:t xml:space="preserve"> and BFD are predefined.</w:t>
      </w:r>
    </w:p>
    <w:p w14:paraId="5C2FB00A" w14:textId="77777777" w:rsidR="004B24DD" w:rsidRPr="002940CE" w:rsidRDefault="004B24DD" w:rsidP="004B24DD">
      <w:pPr>
        <w:pStyle w:val="ListParagraph"/>
        <w:ind w:left="786"/>
        <w:rPr>
          <w:lang w:val="en-US" w:eastAsia="zh-CN"/>
        </w:rPr>
      </w:pPr>
    </w:p>
    <w:p w14:paraId="2C814833" w14:textId="77777777" w:rsidR="004B24DD" w:rsidRPr="002940CE" w:rsidRDefault="004B24DD" w:rsidP="004B24DD">
      <w:pPr>
        <w:pStyle w:val="ListParagraph"/>
        <w:numPr>
          <w:ilvl w:val="0"/>
          <w:numId w:val="24"/>
        </w:numPr>
        <w:rPr>
          <w:lang w:val="en-US" w:eastAsia="zh-CN"/>
        </w:rPr>
      </w:pPr>
      <w:r w:rsidRPr="002940CE">
        <w:rPr>
          <w:b/>
          <w:bCs/>
          <w:lang w:val="en-US" w:eastAsia="zh-CN"/>
        </w:rPr>
        <w:lastRenderedPageBreak/>
        <w:t xml:space="preserve">Proposal #12: </w:t>
      </w:r>
      <w:r w:rsidRPr="002940CE">
        <w:rPr>
          <w:lang w:val="en-US" w:eastAsia="zh-CN"/>
        </w:rPr>
        <w:t xml:space="preserve">Offsets X and Y used in good serving cell quality for </w:t>
      </w:r>
      <w:proofErr w:type="gramStart"/>
      <w:r w:rsidRPr="002940CE">
        <w:rPr>
          <w:lang w:val="en-US" w:eastAsia="zh-CN"/>
        </w:rPr>
        <w:t>RLM</w:t>
      </w:r>
      <w:proofErr w:type="gramEnd"/>
      <w:r w:rsidRPr="002940CE">
        <w:rPr>
          <w:lang w:val="en-US" w:eastAsia="zh-CN"/>
        </w:rPr>
        <w:t xml:space="preserve"> and BFD are different.</w:t>
      </w:r>
    </w:p>
    <w:p w14:paraId="76BB9AD3" w14:textId="77777777" w:rsidR="004B24DD" w:rsidRPr="002940CE" w:rsidRDefault="004B24DD" w:rsidP="004B24DD">
      <w:pPr>
        <w:pStyle w:val="ListParagraph"/>
        <w:rPr>
          <w:highlight w:val="yellow"/>
          <w:lang w:val="en-US" w:eastAsia="zh-CN"/>
        </w:rPr>
      </w:pPr>
    </w:p>
    <w:p w14:paraId="162F89BD" w14:textId="77777777" w:rsidR="004B24DD" w:rsidRPr="002940CE" w:rsidRDefault="004B24DD" w:rsidP="004B24DD">
      <w:pPr>
        <w:pStyle w:val="ListParagraph"/>
        <w:numPr>
          <w:ilvl w:val="0"/>
          <w:numId w:val="24"/>
        </w:numPr>
        <w:rPr>
          <w:lang w:val="en-US" w:eastAsia="zh-CN"/>
        </w:rPr>
      </w:pPr>
      <w:r w:rsidRPr="002940CE">
        <w:rPr>
          <w:b/>
          <w:bCs/>
          <w:lang w:val="en-US" w:eastAsia="zh-CN"/>
        </w:rPr>
        <w:t xml:space="preserve">Proposal #13: </w:t>
      </w:r>
      <w:r w:rsidRPr="002940CE">
        <w:rPr>
          <w:lang w:val="en-US" w:eastAsia="zh-CN"/>
        </w:rPr>
        <w:t xml:space="preserve">The good serving cell quality for RLM is based on </w:t>
      </w:r>
      <w:r w:rsidRPr="002940CE">
        <w:rPr>
          <w:rFonts w:eastAsia="PMingLiU" w:hint="eastAsia"/>
          <w:lang w:val="en-US" w:eastAsia="zh-TW"/>
        </w:rPr>
        <w:t>Qx = Qou</w:t>
      </w:r>
      <w:r w:rsidRPr="002940CE">
        <w:rPr>
          <w:rFonts w:eastAsia="PMingLiU"/>
          <w:lang w:val="en-US" w:eastAsia="zh-TW"/>
        </w:rPr>
        <w:t xml:space="preserve">t, where </w:t>
      </w:r>
      <w:r w:rsidRPr="002940CE">
        <w:rPr>
          <w:lang w:val="en-US" w:eastAsia="zh-CN"/>
        </w:rPr>
        <w:t xml:space="preserve">X = 15 dB. </w:t>
      </w:r>
    </w:p>
    <w:p w14:paraId="38C3DF84" w14:textId="77777777" w:rsidR="004B24DD" w:rsidRPr="002940CE" w:rsidRDefault="004B24DD" w:rsidP="004B24DD">
      <w:pPr>
        <w:pStyle w:val="ListParagraph"/>
        <w:ind w:left="786"/>
        <w:rPr>
          <w:lang w:val="en-US" w:eastAsia="zh-CN"/>
        </w:rPr>
      </w:pPr>
    </w:p>
    <w:p w14:paraId="4D62AC36" w14:textId="77777777" w:rsidR="004B24DD" w:rsidRPr="002940CE" w:rsidRDefault="004B24DD" w:rsidP="004B24DD">
      <w:pPr>
        <w:pStyle w:val="ListParagraph"/>
        <w:numPr>
          <w:ilvl w:val="0"/>
          <w:numId w:val="24"/>
        </w:numPr>
        <w:rPr>
          <w:lang w:val="en-US" w:eastAsia="zh-CN"/>
        </w:rPr>
      </w:pPr>
      <w:r w:rsidRPr="002940CE">
        <w:rPr>
          <w:b/>
          <w:bCs/>
          <w:lang w:val="en-US" w:eastAsia="zh-CN"/>
        </w:rPr>
        <w:t xml:space="preserve">Proposal #14: </w:t>
      </w:r>
      <w:r w:rsidRPr="002940CE">
        <w:rPr>
          <w:lang w:val="en-US" w:eastAsia="zh-CN"/>
        </w:rPr>
        <w:t xml:space="preserve">The good serving cell quality for BFD is based on </w:t>
      </w:r>
      <w:r w:rsidRPr="002940CE">
        <w:rPr>
          <w:lang w:val="en-US"/>
        </w:rPr>
        <w:t xml:space="preserve">radio link quality &gt; Qout_LR + Y (dB), Y </w:t>
      </w:r>
      <w:r w:rsidRPr="002940CE">
        <w:rPr>
          <w:lang w:val="en-US" w:eastAsia="zh-CN"/>
        </w:rPr>
        <w:t>= 12 dB.</w:t>
      </w:r>
    </w:p>
    <w:p w14:paraId="153DCF09" w14:textId="4BE07D43" w:rsidR="004B24DD" w:rsidRPr="002940CE" w:rsidRDefault="004B24DD" w:rsidP="004B24DD">
      <w:pPr>
        <w:pStyle w:val="ListParagraph"/>
        <w:numPr>
          <w:ilvl w:val="0"/>
          <w:numId w:val="15"/>
        </w:numPr>
        <w:rPr>
          <w:lang w:val="en-US" w:eastAsia="zh-CN"/>
        </w:rPr>
      </w:pPr>
      <w:r w:rsidRPr="002940CE">
        <w:rPr>
          <w:b/>
          <w:bCs/>
          <w:lang w:val="en-US" w:eastAsia="zh-CN"/>
        </w:rPr>
        <w:t xml:space="preserve">Proposal #15: </w:t>
      </w:r>
      <w:r w:rsidRPr="002940CE">
        <w:rPr>
          <w:rFonts w:eastAsia="PMingLiU"/>
          <w:szCs w:val="24"/>
          <w:lang w:val="en-US" w:eastAsia="zh-TW"/>
        </w:rPr>
        <w:t>No additional exiting criteria are needed, previous agreements from 98-e-bis and 99-e-bis are sufficient.</w:t>
      </w:r>
    </w:p>
    <w:p w14:paraId="744666BE" w14:textId="77777777" w:rsidR="004B24DD" w:rsidRPr="002940CE" w:rsidRDefault="004B24DD" w:rsidP="004B24DD">
      <w:pPr>
        <w:pStyle w:val="ListParagraph"/>
        <w:numPr>
          <w:ilvl w:val="0"/>
          <w:numId w:val="15"/>
        </w:numPr>
        <w:rPr>
          <w:lang w:val="en-US" w:eastAsia="zh-CN"/>
        </w:rPr>
      </w:pPr>
      <w:r w:rsidRPr="002940CE">
        <w:rPr>
          <w:b/>
          <w:bCs/>
          <w:lang w:val="en-US" w:eastAsia="zh-CN"/>
        </w:rPr>
        <w:t xml:space="preserve">Proposal #16: </w:t>
      </w:r>
      <w:r w:rsidRPr="002940CE">
        <w:rPr>
          <w:lang w:val="en-US" w:eastAsia="zh-CN"/>
        </w:rPr>
        <w:t>Relaxation factor is applied to the whole T</w:t>
      </w:r>
      <w:r w:rsidRPr="002940CE">
        <w:rPr>
          <w:vertAlign w:val="subscript"/>
          <w:lang w:val="en-US" w:eastAsia="zh-CN"/>
        </w:rPr>
        <w:t>Evaluate</w:t>
      </w:r>
      <w:r w:rsidRPr="002940CE">
        <w:rPr>
          <w:lang w:val="en-US" w:eastAsia="zh-CN"/>
        </w:rPr>
        <w:t xml:space="preserve"> including the lower bound. </w:t>
      </w:r>
    </w:p>
    <w:p w14:paraId="2A1F695E" w14:textId="77777777" w:rsidR="004B24DD" w:rsidRPr="002940CE" w:rsidRDefault="004B24DD" w:rsidP="004B24DD">
      <w:pPr>
        <w:rPr>
          <w:lang w:val="en-US"/>
        </w:rPr>
      </w:pPr>
    </w:p>
    <w:p w14:paraId="1219F96B" w14:textId="77777777" w:rsidR="004B24DD" w:rsidRPr="008501E5" w:rsidRDefault="004B24DD" w:rsidP="004B24DD">
      <w:pPr>
        <w:pStyle w:val="ListParagraph"/>
        <w:numPr>
          <w:ilvl w:val="0"/>
          <w:numId w:val="5"/>
        </w:numPr>
        <w:rPr>
          <w:lang w:val="en-GB" w:eastAsia="zh-CN"/>
        </w:rPr>
      </w:pPr>
      <w:r w:rsidRPr="008501E5">
        <w:rPr>
          <w:b/>
          <w:bCs/>
          <w:lang w:val="en-GB" w:eastAsia="zh-CN"/>
        </w:rPr>
        <w:t>Proposal #1</w:t>
      </w:r>
      <w:r>
        <w:rPr>
          <w:b/>
          <w:bCs/>
          <w:lang w:val="en-GB" w:eastAsia="zh-CN"/>
        </w:rPr>
        <w:t>7</w:t>
      </w:r>
      <w:r w:rsidRPr="008501E5">
        <w:rPr>
          <w:b/>
          <w:bCs/>
          <w:lang w:val="en-GB" w:eastAsia="zh-CN"/>
        </w:rPr>
        <w:t xml:space="preserve">: </w:t>
      </w:r>
      <w:r w:rsidRPr="008501E5">
        <w:rPr>
          <w:lang w:val="en-GB" w:eastAsia="zh-CN"/>
        </w:rPr>
        <w:t>Relaxation factors are different for FR2 is smaller than FR1.</w:t>
      </w:r>
    </w:p>
    <w:p w14:paraId="09822F2D" w14:textId="77777777" w:rsidR="004B24DD" w:rsidRPr="008501E5" w:rsidRDefault="004B24DD" w:rsidP="004B24DD">
      <w:pPr>
        <w:pStyle w:val="ListParagraph"/>
        <w:numPr>
          <w:ilvl w:val="0"/>
          <w:numId w:val="5"/>
        </w:numPr>
        <w:rPr>
          <w:lang w:val="en-GB" w:eastAsia="zh-CN"/>
        </w:rPr>
      </w:pPr>
      <w:r w:rsidRPr="008501E5">
        <w:rPr>
          <w:b/>
          <w:bCs/>
          <w:lang w:val="en-GB" w:eastAsia="zh-CN"/>
        </w:rPr>
        <w:t>Proposal #1</w:t>
      </w:r>
      <w:r>
        <w:rPr>
          <w:b/>
          <w:bCs/>
          <w:lang w:val="en-GB" w:eastAsia="zh-CN"/>
        </w:rPr>
        <w:t>8</w:t>
      </w:r>
      <w:r w:rsidRPr="008501E5">
        <w:rPr>
          <w:b/>
          <w:bCs/>
          <w:lang w:val="en-GB" w:eastAsia="zh-CN"/>
        </w:rPr>
        <w:t>:</w:t>
      </w:r>
      <w:r w:rsidRPr="008501E5">
        <w:rPr>
          <w:lang w:val="en-GB" w:eastAsia="zh-CN"/>
        </w:rPr>
        <w:t xml:space="preserve"> Relaxation factors can be different for SSB based and CSI-RS based relaxation in FR2. </w:t>
      </w:r>
    </w:p>
    <w:p w14:paraId="625898C1" w14:textId="77777777" w:rsidR="004B24DD" w:rsidRPr="008501E5" w:rsidRDefault="004B24DD" w:rsidP="004B24DD">
      <w:pPr>
        <w:rPr>
          <w:lang w:val="en-GB" w:eastAsia="zh-CN"/>
        </w:rPr>
      </w:pPr>
    </w:p>
    <w:p w14:paraId="7BE901EC" w14:textId="77777777" w:rsidR="004B24DD" w:rsidRPr="002940CE" w:rsidRDefault="004B24DD" w:rsidP="004B24DD">
      <w:pPr>
        <w:pStyle w:val="ListParagraph"/>
        <w:numPr>
          <w:ilvl w:val="0"/>
          <w:numId w:val="15"/>
        </w:numPr>
        <w:rPr>
          <w:lang w:val="en-US" w:eastAsia="zh-CN"/>
        </w:rPr>
      </w:pPr>
      <w:r w:rsidRPr="002940CE">
        <w:rPr>
          <w:b/>
          <w:bCs/>
          <w:lang w:val="en-US" w:eastAsia="zh-CN"/>
        </w:rPr>
        <w:t xml:space="preserve">Proposal #19: </w:t>
      </w:r>
      <w:r w:rsidRPr="002940CE">
        <w:rPr>
          <w:lang w:val="en-US" w:eastAsia="zh-CN"/>
        </w:rPr>
        <w:t>The scaling factor is agreed as follows for FR1:</w:t>
      </w:r>
    </w:p>
    <w:p w14:paraId="34FBA476" w14:textId="77777777" w:rsidR="004B24DD" w:rsidRPr="002940CE" w:rsidRDefault="004B24DD" w:rsidP="004B24DD">
      <w:pPr>
        <w:pStyle w:val="ListParagraph"/>
        <w:numPr>
          <w:ilvl w:val="3"/>
          <w:numId w:val="15"/>
        </w:numPr>
        <w:overflowPunct w:val="0"/>
        <w:autoSpaceDE w:val="0"/>
        <w:autoSpaceDN w:val="0"/>
        <w:adjustRightInd w:val="0"/>
        <w:spacing w:after="120"/>
        <w:textAlignment w:val="baseline"/>
        <w:rPr>
          <w:lang w:val="en-US" w:eastAsia="zh-CN"/>
        </w:rPr>
      </w:pPr>
      <w:r w:rsidRPr="002940CE">
        <w:rPr>
          <w:lang w:val="en-US" w:eastAsia="zh-CN"/>
        </w:rPr>
        <w:t>K=1 for 80 ms &lt; MAX(</w:t>
      </w:r>
      <w:proofErr w:type="gramStart"/>
      <w:r w:rsidRPr="002940CE">
        <w:rPr>
          <w:lang w:val="en-US" w:eastAsia="zh-CN"/>
        </w:rPr>
        <w:t>T</w:t>
      </w:r>
      <w:r w:rsidRPr="002940CE">
        <w:rPr>
          <w:vertAlign w:val="subscript"/>
          <w:lang w:val="en-US" w:eastAsia="zh-CN"/>
        </w:rPr>
        <w:t>DRX</w:t>
      </w:r>
      <w:r w:rsidRPr="002940CE">
        <w:rPr>
          <w:lang w:val="en-US" w:eastAsia="zh-CN"/>
        </w:rPr>
        <w:t>,T</w:t>
      </w:r>
      <w:r w:rsidRPr="002940CE">
        <w:rPr>
          <w:vertAlign w:val="subscript"/>
          <w:lang w:val="en-US" w:eastAsia="zh-CN"/>
        </w:rPr>
        <w:t>SSB</w:t>
      </w:r>
      <w:proofErr w:type="gramEnd"/>
      <w:r w:rsidRPr="002940CE">
        <w:rPr>
          <w:lang w:val="en-US" w:eastAsia="zh-CN"/>
        </w:rPr>
        <w:t xml:space="preserve">) ≤ 160 ms </w:t>
      </w:r>
    </w:p>
    <w:p w14:paraId="34E101BC" w14:textId="77777777" w:rsidR="004B24DD" w:rsidRPr="002940CE" w:rsidRDefault="004B24DD" w:rsidP="004B24DD">
      <w:pPr>
        <w:pStyle w:val="ListParagraph"/>
        <w:numPr>
          <w:ilvl w:val="3"/>
          <w:numId w:val="15"/>
        </w:numPr>
        <w:overflowPunct w:val="0"/>
        <w:autoSpaceDE w:val="0"/>
        <w:autoSpaceDN w:val="0"/>
        <w:adjustRightInd w:val="0"/>
        <w:spacing w:after="120"/>
        <w:textAlignment w:val="baseline"/>
        <w:rPr>
          <w:lang w:val="en-US" w:eastAsia="zh-CN"/>
        </w:rPr>
      </w:pPr>
      <w:r w:rsidRPr="002940CE">
        <w:rPr>
          <w:lang w:val="en-US" w:eastAsia="zh-CN"/>
        </w:rPr>
        <w:t xml:space="preserve">K=4 for </w:t>
      </w:r>
      <w:proofErr w:type="gramStart"/>
      <w:r w:rsidRPr="002940CE">
        <w:rPr>
          <w:lang w:val="en-US" w:eastAsia="zh-CN"/>
        </w:rPr>
        <w:t>MAX(</w:t>
      </w:r>
      <w:proofErr w:type="gramEnd"/>
      <w:r w:rsidRPr="002940CE">
        <w:rPr>
          <w:lang w:val="en-US" w:eastAsia="zh-CN"/>
        </w:rPr>
        <w:t>T</w:t>
      </w:r>
      <w:r w:rsidRPr="002940CE">
        <w:rPr>
          <w:vertAlign w:val="subscript"/>
          <w:lang w:val="en-US" w:eastAsia="zh-CN"/>
        </w:rPr>
        <w:t>DRX</w:t>
      </w:r>
      <w:r w:rsidRPr="002940CE">
        <w:rPr>
          <w:lang w:val="en-US" w:eastAsia="zh-CN"/>
        </w:rPr>
        <w:t>, T</w:t>
      </w:r>
      <w:r w:rsidRPr="002940CE">
        <w:rPr>
          <w:vertAlign w:val="subscript"/>
          <w:lang w:val="en-US" w:eastAsia="zh-CN"/>
        </w:rPr>
        <w:t>SSB</w:t>
      </w:r>
      <w:r w:rsidRPr="002940CE">
        <w:rPr>
          <w:lang w:val="en-US" w:eastAsia="zh-CN"/>
        </w:rPr>
        <w:t>) ≤ 80 ms</w:t>
      </w:r>
    </w:p>
    <w:p w14:paraId="370C4BFC" w14:textId="77777777" w:rsidR="004B24DD" w:rsidRPr="002940CE" w:rsidRDefault="004B24DD" w:rsidP="004B24DD">
      <w:pPr>
        <w:pStyle w:val="ListParagraph"/>
        <w:numPr>
          <w:ilvl w:val="0"/>
          <w:numId w:val="15"/>
        </w:numPr>
        <w:rPr>
          <w:lang w:val="en-US" w:eastAsia="zh-CN"/>
        </w:rPr>
      </w:pPr>
      <w:r w:rsidRPr="002940CE">
        <w:rPr>
          <w:b/>
          <w:bCs/>
          <w:lang w:val="en-US" w:eastAsia="zh-CN"/>
        </w:rPr>
        <w:t xml:space="preserve">Proposal #20: </w:t>
      </w:r>
      <w:r w:rsidRPr="002940CE">
        <w:rPr>
          <w:lang w:val="en-US" w:eastAsia="zh-CN"/>
        </w:rPr>
        <w:t>The scaling factor is agreed as follows for FR2:</w:t>
      </w:r>
    </w:p>
    <w:p w14:paraId="6DCBCF59" w14:textId="77777777" w:rsidR="004B24DD" w:rsidRPr="002940CE" w:rsidRDefault="004B24DD" w:rsidP="004B24DD">
      <w:pPr>
        <w:pStyle w:val="ListParagraph"/>
        <w:numPr>
          <w:ilvl w:val="3"/>
          <w:numId w:val="15"/>
        </w:numPr>
        <w:overflowPunct w:val="0"/>
        <w:autoSpaceDE w:val="0"/>
        <w:autoSpaceDN w:val="0"/>
        <w:adjustRightInd w:val="0"/>
        <w:spacing w:after="120"/>
        <w:textAlignment w:val="baseline"/>
        <w:rPr>
          <w:lang w:val="en-US" w:eastAsia="zh-CN"/>
        </w:rPr>
      </w:pPr>
      <w:r w:rsidRPr="002940CE">
        <w:rPr>
          <w:lang w:val="en-US" w:eastAsia="zh-CN"/>
        </w:rPr>
        <w:t>K=1 for 80 ms &lt; MAX(</w:t>
      </w:r>
      <w:proofErr w:type="gramStart"/>
      <w:r w:rsidRPr="002940CE">
        <w:rPr>
          <w:lang w:val="en-US" w:eastAsia="zh-CN"/>
        </w:rPr>
        <w:t>T</w:t>
      </w:r>
      <w:r w:rsidRPr="002940CE">
        <w:rPr>
          <w:vertAlign w:val="subscript"/>
          <w:lang w:val="en-US" w:eastAsia="zh-CN"/>
        </w:rPr>
        <w:t>DRX</w:t>
      </w:r>
      <w:r w:rsidRPr="002940CE">
        <w:rPr>
          <w:lang w:val="en-US" w:eastAsia="zh-CN"/>
        </w:rPr>
        <w:t>,T</w:t>
      </w:r>
      <w:r w:rsidRPr="002940CE">
        <w:rPr>
          <w:vertAlign w:val="subscript"/>
          <w:lang w:val="en-US" w:eastAsia="zh-CN"/>
        </w:rPr>
        <w:t>SSB</w:t>
      </w:r>
      <w:proofErr w:type="gramEnd"/>
      <w:r w:rsidRPr="002940CE">
        <w:rPr>
          <w:lang w:val="en-US" w:eastAsia="zh-CN"/>
        </w:rPr>
        <w:t xml:space="preserve">) ≤ 160 ms </w:t>
      </w:r>
    </w:p>
    <w:p w14:paraId="3EDE6A24" w14:textId="77777777" w:rsidR="004B24DD" w:rsidRPr="002940CE" w:rsidRDefault="004B24DD" w:rsidP="004B24DD">
      <w:pPr>
        <w:pStyle w:val="ListParagraph"/>
        <w:numPr>
          <w:ilvl w:val="3"/>
          <w:numId w:val="15"/>
        </w:numPr>
        <w:overflowPunct w:val="0"/>
        <w:autoSpaceDE w:val="0"/>
        <w:autoSpaceDN w:val="0"/>
        <w:adjustRightInd w:val="0"/>
        <w:spacing w:after="120"/>
        <w:textAlignment w:val="baseline"/>
        <w:rPr>
          <w:lang w:val="en-US" w:eastAsia="zh-CN"/>
        </w:rPr>
      </w:pPr>
      <w:r w:rsidRPr="002940CE">
        <w:rPr>
          <w:lang w:val="en-US" w:eastAsia="zh-CN"/>
        </w:rPr>
        <w:t xml:space="preserve">K=1.5 for </w:t>
      </w:r>
      <w:proofErr w:type="gramStart"/>
      <w:r w:rsidRPr="002940CE">
        <w:rPr>
          <w:lang w:val="en-US" w:eastAsia="zh-CN"/>
        </w:rPr>
        <w:t>MAX(</w:t>
      </w:r>
      <w:proofErr w:type="gramEnd"/>
      <w:r w:rsidRPr="002940CE">
        <w:rPr>
          <w:lang w:val="en-US" w:eastAsia="zh-CN"/>
        </w:rPr>
        <w:t>T</w:t>
      </w:r>
      <w:r w:rsidRPr="002940CE">
        <w:rPr>
          <w:vertAlign w:val="subscript"/>
          <w:lang w:val="en-US" w:eastAsia="zh-CN"/>
        </w:rPr>
        <w:t>DRX</w:t>
      </w:r>
      <w:r w:rsidRPr="002940CE">
        <w:rPr>
          <w:lang w:val="en-US" w:eastAsia="zh-CN"/>
        </w:rPr>
        <w:t>, T</w:t>
      </w:r>
      <w:r w:rsidRPr="002940CE">
        <w:rPr>
          <w:vertAlign w:val="subscript"/>
          <w:lang w:val="en-US" w:eastAsia="zh-CN"/>
        </w:rPr>
        <w:t>SSB</w:t>
      </w:r>
      <w:r w:rsidRPr="002940CE">
        <w:rPr>
          <w:lang w:val="en-US" w:eastAsia="zh-CN"/>
        </w:rPr>
        <w:t>) ≤ 60 ms for SSB based relaxation.</w:t>
      </w:r>
    </w:p>
    <w:p w14:paraId="759AB4A0" w14:textId="77777777" w:rsidR="004B24DD" w:rsidRPr="002940CE" w:rsidRDefault="004B24DD" w:rsidP="004B24DD">
      <w:pPr>
        <w:pStyle w:val="ListParagraph"/>
        <w:numPr>
          <w:ilvl w:val="3"/>
          <w:numId w:val="15"/>
        </w:numPr>
        <w:overflowPunct w:val="0"/>
        <w:autoSpaceDE w:val="0"/>
        <w:autoSpaceDN w:val="0"/>
        <w:adjustRightInd w:val="0"/>
        <w:spacing w:after="120"/>
        <w:textAlignment w:val="baseline"/>
        <w:rPr>
          <w:lang w:val="en-US" w:eastAsia="zh-CN"/>
        </w:rPr>
      </w:pPr>
      <w:r w:rsidRPr="002940CE">
        <w:rPr>
          <w:lang w:val="en-US" w:eastAsia="zh-CN"/>
        </w:rPr>
        <w:t xml:space="preserve">K=2 for </w:t>
      </w:r>
      <w:proofErr w:type="gramStart"/>
      <w:r w:rsidRPr="002940CE">
        <w:rPr>
          <w:lang w:val="en-US" w:eastAsia="zh-CN"/>
        </w:rPr>
        <w:t>MAX(</w:t>
      </w:r>
      <w:proofErr w:type="gramEnd"/>
      <w:r w:rsidRPr="002940CE">
        <w:rPr>
          <w:lang w:val="en-US" w:eastAsia="zh-CN"/>
        </w:rPr>
        <w:t>T</w:t>
      </w:r>
      <w:r w:rsidRPr="002940CE">
        <w:rPr>
          <w:vertAlign w:val="subscript"/>
          <w:lang w:val="en-US" w:eastAsia="zh-CN"/>
        </w:rPr>
        <w:t>DRX</w:t>
      </w:r>
      <w:r w:rsidRPr="002940CE">
        <w:rPr>
          <w:lang w:val="en-US" w:eastAsia="zh-CN"/>
        </w:rPr>
        <w:t>, T</w:t>
      </w:r>
      <w:r w:rsidRPr="002940CE">
        <w:rPr>
          <w:vertAlign w:val="subscript"/>
          <w:lang w:val="en-US" w:eastAsia="zh-CN"/>
        </w:rPr>
        <w:t>SSB</w:t>
      </w:r>
      <w:r w:rsidRPr="002940CE">
        <w:rPr>
          <w:lang w:val="en-US" w:eastAsia="zh-CN"/>
        </w:rPr>
        <w:t>) ≤ 80 ms for CSI-RS based relaxation.</w:t>
      </w:r>
    </w:p>
    <w:p w14:paraId="56B18BA0" w14:textId="4DFCAE77" w:rsidR="004B24DD" w:rsidRPr="002940CE" w:rsidRDefault="004B24DD" w:rsidP="004B24DD">
      <w:pPr>
        <w:pStyle w:val="ListParagraph"/>
        <w:numPr>
          <w:ilvl w:val="0"/>
          <w:numId w:val="15"/>
        </w:numPr>
        <w:rPr>
          <w:lang w:val="en-US" w:eastAsia="zh-CN"/>
        </w:rPr>
      </w:pPr>
      <w:r w:rsidRPr="002940CE">
        <w:rPr>
          <w:b/>
          <w:bCs/>
          <w:lang w:val="en-US" w:eastAsia="zh-CN"/>
        </w:rPr>
        <w:t xml:space="preserve">Proposal #21: </w:t>
      </w:r>
      <w:r w:rsidRPr="002940CE">
        <w:rPr>
          <w:lang w:val="en-US" w:eastAsia="zh-CN"/>
        </w:rPr>
        <w:t>The legacy behavior for evaluating the serving cell quality and sending out-of-sync indication shall apply also during the relaxed mode.</w:t>
      </w:r>
    </w:p>
    <w:p w14:paraId="5BC9F9E2" w14:textId="77777777" w:rsidR="004B24DD" w:rsidRPr="008E0864" w:rsidRDefault="004B24DD" w:rsidP="004B24DD">
      <w:pPr>
        <w:pStyle w:val="ListParagraph"/>
        <w:numPr>
          <w:ilvl w:val="0"/>
          <w:numId w:val="15"/>
        </w:numPr>
      </w:pPr>
      <w:r w:rsidRPr="008E0864">
        <w:rPr>
          <w:b/>
          <w:bCs/>
        </w:rPr>
        <w:t>Proposal #</w:t>
      </w:r>
      <w:r>
        <w:rPr>
          <w:b/>
          <w:bCs/>
        </w:rPr>
        <w:t>22</w:t>
      </w:r>
      <w:r w:rsidRPr="008E0864">
        <w:rPr>
          <w:b/>
          <w:bCs/>
        </w:rPr>
        <w:t xml:space="preserve">: </w:t>
      </w:r>
    </w:p>
    <w:p w14:paraId="6E8442AB" w14:textId="77777777" w:rsidR="004B24DD" w:rsidRPr="002940CE" w:rsidRDefault="004B24DD" w:rsidP="004B24DD">
      <w:pPr>
        <w:pStyle w:val="ListParagraph"/>
        <w:numPr>
          <w:ilvl w:val="1"/>
          <w:numId w:val="15"/>
        </w:numPr>
        <w:rPr>
          <w:lang w:val="en-US"/>
        </w:rPr>
      </w:pPr>
      <w:r w:rsidRPr="002940CE">
        <w:rPr>
          <w:lang w:val="en-US"/>
        </w:rPr>
        <w:t xml:space="preserve">The UE </w:t>
      </w:r>
      <w:proofErr w:type="gramStart"/>
      <w:r w:rsidRPr="002940CE">
        <w:rPr>
          <w:lang w:val="en-US"/>
        </w:rPr>
        <w:t>is allowed to</w:t>
      </w:r>
      <w:proofErr w:type="gramEnd"/>
      <w:r w:rsidRPr="002940CE">
        <w:rPr>
          <w:lang w:val="en-US"/>
        </w:rPr>
        <w:t xml:space="preserve"> operate RLM/BFD in relaxed mode for a certain cell (SpCell or SCell) when the </w:t>
      </w:r>
      <w:r w:rsidRPr="008E0864">
        <w:rPr>
          <w:lang w:val="en-GB"/>
        </w:rPr>
        <w:t xml:space="preserve">radio link quality is better than the threshold (Qout + X1) for all RLM-RS resource. </w:t>
      </w:r>
    </w:p>
    <w:p w14:paraId="62FE85B7" w14:textId="3C8041A5" w:rsidR="004B24DD" w:rsidRPr="002940CE" w:rsidRDefault="004B24DD" w:rsidP="004B24DD">
      <w:pPr>
        <w:numPr>
          <w:ilvl w:val="1"/>
          <w:numId w:val="15"/>
        </w:numPr>
        <w:rPr>
          <w:lang w:val="en-US"/>
        </w:rPr>
      </w:pPr>
      <w:r w:rsidRPr="008E0864">
        <w:rPr>
          <w:lang w:val="en-GB"/>
        </w:rPr>
        <w:t xml:space="preserve">The </w:t>
      </w:r>
      <w:r w:rsidR="00B82ED6">
        <w:rPr>
          <w:lang w:val="en-GB"/>
        </w:rPr>
        <w:t xml:space="preserve">UE </w:t>
      </w:r>
      <w:r w:rsidRPr="008E0864">
        <w:rPr>
          <w:lang w:val="en-GB"/>
        </w:rPr>
        <w:t xml:space="preserve">shall exit the relaxed mode when the radio link quality is worse than the threshold (Qout + X2) for any the RLM-RS resources. </w:t>
      </w:r>
    </w:p>
    <w:p w14:paraId="5671816D" w14:textId="141DEF08" w:rsidR="00165B9A" w:rsidRPr="002940CE" w:rsidRDefault="004B24DD" w:rsidP="00FD497A">
      <w:pPr>
        <w:numPr>
          <w:ilvl w:val="1"/>
          <w:numId w:val="15"/>
        </w:numPr>
        <w:rPr>
          <w:lang w:val="en-US"/>
        </w:rPr>
      </w:pPr>
      <w:r w:rsidRPr="00360105">
        <w:rPr>
          <w:lang w:val="en-GB"/>
        </w:rPr>
        <w:t xml:space="preserve">The values of X1, X2 can be same </w:t>
      </w:r>
      <w:r w:rsidRPr="00DA5562">
        <w:rPr>
          <w:lang w:val="en-GB"/>
        </w:rPr>
        <w:t>as those discussed for good serving cell quality.</w:t>
      </w:r>
    </w:p>
    <w:p w14:paraId="390ECC25" w14:textId="171566FC" w:rsidR="005A782E" w:rsidRPr="002C0883" w:rsidRDefault="005A782E" w:rsidP="005A782E">
      <w:pPr>
        <w:pStyle w:val="Heading1"/>
        <w:rPr>
          <w:lang w:val="en-US"/>
        </w:rPr>
      </w:pPr>
      <w:r w:rsidRPr="002C0883">
        <w:rPr>
          <w:lang w:val="en-US"/>
        </w:rPr>
        <w:t>References</w:t>
      </w:r>
    </w:p>
    <w:bookmarkStart w:id="0" w:name="_Ref3386619"/>
    <w:p w14:paraId="6F3E0E84" w14:textId="4F3A6D95" w:rsidR="00E510A3" w:rsidRPr="002940CE" w:rsidRDefault="000D1F32"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fldChar w:fldCharType="begin"/>
      </w:r>
      <w:r w:rsidRPr="002940CE">
        <w:rPr>
          <w:lang w:val="en-US"/>
        </w:rPr>
        <w:instrText xml:space="preserve"> HYPERLINK "http://3gpp.org/ftp/tsg_ran/WG4_Radio/TSGR4_101-e/Docs/R4-2120313.zip" </w:instrText>
      </w:r>
      <w:r>
        <w:fldChar w:fldCharType="separate"/>
      </w:r>
      <w:r w:rsidR="009724C3" w:rsidRPr="002940CE">
        <w:rPr>
          <w:rStyle w:val="Hyperlink"/>
          <w:lang w:val="en-US"/>
        </w:rPr>
        <w:t>R4-2120313</w:t>
      </w:r>
      <w:r>
        <w:fldChar w:fldCharType="end"/>
      </w:r>
      <w:r w:rsidR="00ED3B3D" w:rsidRPr="002940CE">
        <w:rPr>
          <w:lang w:val="en-US"/>
        </w:rPr>
        <w:t>, “</w:t>
      </w:r>
      <w:r w:rsidR="00132D58" w:rsidRPr="002940CE">
        <w:rPr>
          <w:lang w:val="en-US"/>
        </w:rPr>
        <w:t>WF on RLM/BFD relaxation for UE Power Saving enhancements</w:t>
      </w:r>
      <w:r w:rsidR="00ED3B3D" w:rsidRPr="002940CE">
        <w:rPr>
          <w:lang w:val="en-US"/>
        </w:rPr>
        <w:t>”, MediaTek Inc.</w:t>
      </w:r>
    </w:p>
    <w:p w14:paraId="6D80F8DD" w14:textId="6434D0C4" w:rsidR="00E510A3" w:rsidRPr="002940CE" w:rsidRDefault="00B10DD1"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hyperlink r:id="rId12" w:history="1">
        <w:r w:rsidR="002C4CDB" w:rsidRPr="002940CE">
          <w:rPr>
            <w:rStyle w:val="Hyperlink"/>
            <w:lang w:val="en-US"/>
          </w:rPr>
          <w:t>R4-2120314</w:t>
        </w:r>
      </w:hyperlink>
      <w:r w:rsidR="00EE2E68" w:rsidRPr="002940CE">
        <w:rPr>
          <w:lang w:val="en-US"/>
        </w:rPr>
        <w:t>, “</w:t>
      </w:r>
      <w:r w:rsidR="00902FF8" w:rsidRPr="002940CE">
        <w:rPr>
          <w:lang w:val="en-US"/>
        </w:rPr>
        <w:t>LS on further agreements on RLM and BFD relaxation for UE Power Saving enhancements</w:t>
      </w:r>
      <w:r w:rsidR="00EE2E68" w:rsidRPr="002940CE">
        <w:rPr>
          <w:lang w:val="en-US"/>
        </w:rPr>
        <w:t>”, RAN4</w:t>
      </w:r>
    </w:p>
    <w:bookmarkEnd w:id="0"/>
    <w:p w14:paraId="6F1E943F" w14:textId="77777777" w:rsidR="002310F8" w:rsidRPr="002940CE" w:rsidRDefault="002310F8" w:rsidP="00826E1A">
      <w:pPr>
        <w:pStyle w:val="ListParagraph"/>
        <w:overflowPunct w:val="0"/>
        <w:autoSpaceDE w:val="0"/>
        <w:autoSpaceDN w:val="0"/>
        <w:adjustRightInd w:val="0"/>
        <w:spacing w:after="180" w:line="240" w:lineRule="auto"/>
        <w:ind w:left="450"/>
        <w:contextualSpacing/>
        <w:textAlignment w:val="baseline"/>
        <w:rPr>
          <w:lang w:val="en-US"/>
        </w:rPr>
      </w:pPr>
    </w:p>
    <w:sectPr w:rsidR="002310F8" w:rsidRPr="002940CE"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5D6155" w:rsidRDefault="005D6155">
      <w:pPr>
        <w:spacing w:after="0"/>
      </w:pPr>
      <w:r>
        <w:separator/>
      </w:r>
    </w:p>
  </w:endnote>
  <w:endnote w:type="continuationSeparator" w:id="0">
    <w:p w14:paraId="21C4E294" w14:textId="77777777" w:rsidR="005D6155" w:rsidRDefault="005D6155">
      <w:pPr>
        <w:spacing w:after="0"/>
      </w:pPr>
      <w:r>
        <w:continuationSeparator/>
      </w:r>
    </w:p>
  </w:endnote>
  <w:endnote w:type="continuationNotice" w:id="1">
    <w:p w14:paraId="677414C7" w14:textId="77777777" w:rsidR="005D6155" w:rsidRDefault="005D6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A9404D" w:rsidRDefault="00A9404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A9404D" w:rsidRDefault="00A94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5D6155" w:rsidRDefault="005D6155">
      <w:pPr>
        <w:spacing w:after="0"/>
      </w:pPr>
      <w:r>
        <w:separator/>
      </w:r>
    </w:p>
  </w:footnote>
  <w:footnote w:type="continuationSeparator" w:id="0">
    <w:p w14:paraId="06850199" w14:textId="77777777" w:rsidR="005D6155" w:rsidRDefault="005D6155">
      <w:pPr>
        <w:spacing w:after="0"/>
      </w:pPr>
      <w:r>
        <w:continuationSeparator/>
      </w:r>
    </w:p>
  </w:footnote>
  <w:footnote w:type="continuationNotice" w:id="1">
    <w:p w14:paraId="6740E5E8" w14:textId="77777777" w:rsidR="005D6155" w:rsidRDefault="005D61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A9404D" w:rsidRDefault="00A940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0F24B98"/>
    <w:multiLevelType w:val="hybridMultilevel"/>
    <w:tmpl w:val="BA82BDA2"/>
    <w:lvl w:ilvl="0" w:tplc="A0E2655C">
      <w:start w:val="1"/>
      <w:numFmt w:val="bullet"/>
      <w:lvlText w:val="•"/>
      <w:lvlJc w:val="left"/>
      <w:pPr>
        <w:tabs>
          <w:tab w:val="num" w:pos="720"/>
        </w:tabs>
        <w:ind w:left="720" w:hanging="360"/>
      </w:pPr>
      <w:rPr>
        <w:rFonts w:ascii="Arial" w:hAnsi="Arial" w:hint="default"/>
      </w:rPr>
    </w:lvl>
    <w:lvl w:ilvl="1" w:tplc="F1666784">
      <w:start w:val="27510"/>
      <w:numFmt w:val="bullet"/>
      <w:lvlText w:val="•"/>
      <w:lvlJc w:val="left"/>
      <w:pPr>
        <w:tabs>
          <w:tab w:val="num" w:pos="1440"/>
        </w:tabs>
        <w:ind w:left="1440" w:hanging="360"/>
      </w:pPr>
      <w:rPr>
        <w:rFonts w:ascii="Arial" w:hAnsi="Arial" w:hint="default"/>
      </w:rPr>
    </w:lvl>
    <w:lvl w:ilvl="2" w:tplc="90C2CCCC" w:tentative="1">
      <w:start w:val="1"/>
      <w:numFmt w:val="bullet"/>
      <w:lvlText w:val="•"/>
      <w:lvlJc w:val="left"/>
      <w:pPr>
        <w:tabs>
          <w:tab w:val="num" w:pos="2160"/>
        </w:tabs>
        <w:ind w:left="2160" w:hanging="360"/>
      </w:pPr>
      <w:rPr>
        <w:rFonts w:ascii="Arial" w:hAnsi="Arial" w:hint="default"/>
      </w:rPr>
    </w:lvl>
    <w:lvl w:ilvl="3" w:tplc="3EBAE0A0" w:tentative="1">
      <w:start w:val="1"/>
      <w:numFmt w:val="bullet"/>
      <w:lvlText w:val="•"/>
      <w:lvlJc w:val="left"/>
      <w:pPr>
        <w:tabs>
          <w:tab w:val="num" w:pos="2880"/>
        </w:tabs>
        <w:ind w:left="2880" w:hanging="360"/>
      </w:pPr>
      <w:rPr>
        <w:rFonts w:ascii="Arial" w:hAnsi="Arial" w:hint="default"/>
      </w:rPr>
    </w:lvl>
    <w:lvl w:ilvl="4" w:tplc="111A7E8E" w:tentative="1">
      <w:start w:val="1"/>
      <w:numFmt w:val="bullet"/>
      <w:lvlText w:val="•"/>
      <w:lvlJc w:val="left"/>
      <w:pPr>
        <w:tabs>
          <w:tab w:val="num" w:pos="3600"/>
        </w:tabs>
        <w:ind w:left="3600" w:hanging="360"/>
      </w:pPr>
      <w:rPr>
        <w:rFonts w:ascii="Arial" w:hAnsi="Arial" w:hint="default"/>
      </w:rPr>
    </w:lvl>
    <w:lvl w:ilvl="5" w:tplc="9A5413A2" w:tentative="1">
      <w:start w:val="1"/>
      <w:numFmt w:val="bullet"/>
      <w:lvlText w:val="•"/>
      <w:lvlJc w:val="left"/>
      <w:pPr>
        <w:tabs>
          <w:tab w:val="num" w:pos="4320"/>
        </w:tabs>
        <w:ind w:left="4320" w:hanging="360"/>
      </w:pPr>
      <w:rPr>
        <w:rFonts w:ascii="Arial" w:hAnsi="Arial" w:hint="default"/>
      </w:rPr>
    </w:lvl>
    <w:lvl w:ilvl="6" w:tplc="79FE7B82" w:tentative="1">
      <w:start w:val="1"/>
      <w:numFmt w:val="bullet"/>
      <w:lvlText w:val="•"/>
      <w:lvlJc w:val="left"/>
      <w:pPr>
        <w:tabs>
          <w:tab w:val="num" w:pos="5040"/>
        </w:tabs>
        <w:ind w:left="5040" w:hanging="360"/>
      </w:pPr>
      <w:rPr>
        <w:rFonts w:ascii="Arial" w:hAnsi="Arial" w:hint="default"/>
      </w:rPr>
    </w:lvl>
    <w:lvl w:ilvl="7" w:tplc="9ACE6EA4" w:tentative="1">
      <w:start w:val="1"/>
      <w:numFmt w:val="bullet"/>
      <w:lvlText w:val="•"/>
      <w:lvlJc w:val="left"/>
      <w:pPr>
        <w:tabs>
          <w:tab w:val="num" w:pos="5760"/>
        </w:tabs>
        <w:ind w:left="5760" w:hanging="360"/>
      </w:pPr>
      <w:rPr>
        <w:rFonts w:ascii="Arial" w:hAnsi="Arial" w:hint="default"/>
      </w:rPr>
    </w:lvl>
    <w:lvl w:ilvl="8" w:tplc="EC2CE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4226A2"/>
    <w:multiLevelType w:val="hybridMultilevel"/>
    <w:tmpl w:val="BBB458FC"/>
    <w:lvl w:ilvl="0" w:tplc="116A920A">
      <w:start w:val="1"/>
      <w:numFmt w:val="bullet"/>
      <w:lvlText w:val="•"/>
      <w:lvlJc w:val="left"/>
      <w:pPr>
        <w:tabs>
          <w:tab w:val="num" w:pos="720"/>
        </w:tabs>
        <w:ind w:left="720" w:hanging="360"/>
      </w:pPr>
      <w:rPr>
        <w:rFonts w:ascii="Arial" w:hAnsi="Arial" w:cs="Times New Roman" w:hint="default"/>
      </w:rPr>
    </w:lvl>
    <w:lvl w:ilvl="1" w:tplc="F9000DDE">
      <w:start w:val="1"/>
      <w:numFmt w:val="bullet"/>
      <w:lvlText w:val="•"/>
      <w:lvlJc w:val="left"/>
      <w:pPr>
        <w:tabs>
          <w:tab w:val="num" w:pos="1440"/>
        </w:tabs>
        <w:ind w:left="1440" w:hanging="360"/>
      </w:pPr>
      <w:rPr>
        <w:rFonts w:ascii="Arial" w:hAnsi="Arial" w:cs="Times New Roman" w:hint="default"/>
      </w:rPr>
    </w:lvl>
    <w:lvl w:ilvl="2" w:tplc="4E3E2BC0">
      <w:start w:val="1"/>
      <w:numFmt w:val="bullet"/>
      <w:lvlText w:val="•"/>
      <w:lvlJc w:val="left"/>
      <w:pPr>
        <w:tabs>
          <w:tab w:val="num" w:pos="2160"/>
        </w:tabs>
        <w:ind w:left="2160" w:hanging="360"/>
      </w:pPr>
      <w:rPr>
        <w:rFonts w:ascii="Arial" w:hAnsi="Arial" w:cs="Times New Roman" w:hint="default"/>
      </w:rPr>
    </w:lvl>
    <w:lvl w:ilvl="3" w:tplc="DBE2093A">
      <w:start w:val="1"/>
      <w:numFmt w:val="bullet"/>
      <w:lvlText w:val="•"/>
      <w:lvlJc w:val="left"/>
      <w:pPr>
        <w:tabs>
          <w:tab w:val="num" w:pos="2880"/>
        </w:tabs>
        <w:ind w:left="2880" w:hanging="360"/>
      </w:pPr>
      <w:rPr>
        <w:rFonts w:ascii="Arial" w:hAnsi="Arial" w:cs="Times New Roman" w:hint="default"/>
      </w:rPr>
    </w:lvl>
    <w:lvl w:ilvl="4" w:tplc="6FE4E8FC">
      <w:start w:val="1"/>
      <w:numFmt w:val="bullet"/>
      <w:lvlText w:val="•"/>
      <w:lvlJc w:val="left"/>
      <w:pPr>
        <w:tabs>
          <w:tab w:val="num" w:pos="3600"/>
        </w:tabs>
        <w:ind w:left="3600" w:hanging="360"/>
      </w:pPr>
      <w:rPr>
        <w:rFonts w:ascii="Arial" w:hAnsi="Arial" w:cs="Times New Roman" w:hint="default"/>
      </w:rPr>
    </w:lvl>
    <w:lvl w:ilvl="5" w:tplc="8DBE24E0">
      <w:start w:val="1"/>
      <w:numFmt w:val="bullet"/>
      <w:lvlText w:val="•"/>
      <w:lvlJc w:val="left"/>
      <w:pPr>
        <w:tabs>
          <w:tab w:val="num" w:pos="4320"/>
        </w:tabs>
        <w:ind w:left="4320" w:hanging="360"/>
      </w:pPr>
      <w:rPr>
        <w:rFonts w:ascii="Arial" w:hAnsi="Arial" w:cs="Times New Roman" w:hint="default"/>
      </w:rPr>
    </w:lvl>
    <w:lvl w:ilvl="6" w:tplc="F2A673A0">
      <w:start w:val="1"/>
      <w:numFmt w:val="bullet"/>
      <w:lvlText w:val="•"/>
      <w:lvlJc w:val="left"/>
      <w:pPr>
        <w:tabs>
          <w:tab w:val="num" w:pos="5040"/>
        </w:tabs>
        <w:ind w:left="5040" w:hanging="360"/>
      </w:pPr>
      <w:rPr>
        <w:rFonts w:ascii="Arial" w:hAnsi="Arial" w:cs="Times New Roman" w:hint="default"/>
      </w:rPr>
    </w:lvl>
    <w:lvl w:ilvl="7" w:tplc="4B22ED16">
      <w:start w:val="1"/>
      <w:numFmt w:val="bullet"/>
      <w:lvlText w:val="•"/>
      <w:lvlJc w:val="left"/>
      <w:pPr>
        <w:tabs>
          <w:tab w:val="num" w:pos="5760"/>
        </w:tabs>
        <w:ind w:left="5760" w:hanging="360"/>
      </w:pPr>
      <w:rPr>
        <w:rFonts w:ascii="Arial" w:hAnsi="Arial" w:cs="Times New Roman" w:hint="default"/>
      </w:rPr>
    </w:lvl>
    <w:lvl w:ilvl="8" w:tplc="FCA8462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E6F3B9F"/>
    <w:multiLevelType w:val="hybridMultilevel"/>
    <w:tmpl w:val="228EF200"/>
    <w:lvl w:ilvl="0" w:tplc="77DA4B38">
      <w:start w:val="1"/>
      <w:numFmt w:val="bullet"/>
      <w:lvlText w:val="•"/>
      <w:lvlJc w:val="left"/>
      <w:pPr>
        <w:tabs>
          <w:tab w:val="num" w:pos="720"/>
        </w:tabs>
        <w:ind w:left="720" w:hanging="360"/>
      </w:pPr>
      <w:rPr>
        <w:rFonts w:ascii="Arial" w:hAnsi="Arial" w:hint="default"/>
      </w:rPr>
    </w:lvl>
    <w:lvl w:ilvl="1" w:tplc="FA4A826A">
      <w:start w:val="1"/>
      <w:numFmt w:val="bullet"/>
      <w:lvlText w:val="•"/>
      <w:lvlJc w:val="left"/>
      <w:pPr>
        <w:tabs>
          <w:tab w:val="num" w:pos="1440"/>
        </w:tabs>
        <w:ind w:left="1440" w:hanging="360"/>
      </w:pPr>
      <w:rPr>
        <w:rFonts w:ascii="Arial" w:hAnsi="Arial" w:hint="default"/>
      </w:rPr>
    </w:lvl>
    <w:lvl w:ilvl="2" w:tplc="85C2F72C">
      <w:numFmt w:val="none"/>
      <w:lvlText w:val=""/>
      <w:lvlJc w:val="left"/>
      <w:pPr>
        <w:tabs>
          <w:tab w:val="num" w:pos="360"/>
        </w:tabs>
      </w:pPr>
    </w:lvl>
    <w:lvl w:ilvl="3" w:tplc="F5B6E656" w:tentative="1">
      <w:start w:val="1"/>
      <w:numFmt w:val="bullet"/>
      <w:lvlText w:val="•"/>
      <w:lvlJc w:val="left"/>
      <w:pPr>
        <w:tabs>
          <w:tab w:val="num" w:pos="2880"/>
        </w:tabs>
        <w:ind w:left="2880" w:hanging="360"/>
      </w:pPr>
      <w:rPr>
        <w:rFonts w:ascii="Arial" w:hAnsi="Arial" w:hint="default"/>
      </w:rPr>
    </w:lvl>
    <w:lvl w:ilvl="4" w:tplc="2E54AD8A" w:tentative="1">
      <w:start w:val="1"/>
      <w:numFmt w:val="bullet"/>
      <w:lvlText w:val="•"/>
      <w:lvlJc w:val="left"/>
      <w:pPr>
        <w:tabs>
          <w:tab w:val="num" w:pos="3600"/>
        </w:tabs>
        <w:ind w:left="3600" w:hanging="360"/>
      </w:pPr>
      <w:rPr>
        <w:rFonts w:ascii="Arial" w:hAnsi="Arial" w:hint="default"/>
      </w:rPr>
    </w:lvl>
    <w:lvl w:ilvl="5" w:tplc="3BDA6EB2" w:tentative="1">
      <w:start w:val="1"/>
      <w:numFmt w:val="bullet"/>
      <w:lvlText w:val="•"/>
      <w:lvlJc w:val="left"/>
      <w:pPr>
        <w:tabs>
          <w:tab w:val="num" w:pos="4320"/>
        </w:tabs>
        <w:ind w:left="4320" w:hanging="360"/>
      </w:pPr>
      <w:rPr>
        <w:rFonts w:ascii="Arial" w:hAnsi="Arial" w:hint="default"/>
      </w:rPr>
    </w:lvl>
    <w:lvl w:ilvl="6" w:tplc="06A2E332" w:tentative="1">
      <w:start w:val="1"/>
      <w:numFmt w:val="bullet"/>
      <w:lvlText w:val="•"/>
      <w:lvlJc w:val="left"/>
      <w:pPr>
        <w:tabs>
          <w:tab w:val="num" w:pos="5040"/>
        </w:tabs>
        <w:ind w:left="5040" w:hanging="360"/>
      </w:pPr>
      <w:rPr>
        <w:rFonts w:ascii="Arial" w:hAnsi="Arial" w:hint="default"/>
      </w:rPr>
    </w:lvl>
    <w:lvl w:ilvl="7" w:tplc="AA284892" w:tentative="1">
      <w:start w:val="1"/>
      <w:numFmt w:val="bullet"/>
      <w:lvlText w:val="•"/>
      <w:lvlJc w:val="left"/>
      <w:pPr>
        <w:tabs>
          <w:tab w:val="num" w:pos="5760"/>
        </w:tabs>
        <w:ind w:left="5760" w:hanging="360"/>
      </w:pPr>
      <w:rPr>
        <w:rFonts w:ascii="Arial" w:hAnsi="Arial" w:hint="default"/>
      </w:rPr>
    </w:lvl>
    <w:lvl w:ilvl="8" w:tplc="6E9CF0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63B5081"/>
    <w:multiLevelType w:val="hybridMultilevel"/>
    <w:tmpl w:val="3FD68076"/>
    <w:lvl w:ilvl="0" w:tplc="D6ACFD80">
      <w:start w:val="1"/>
      <w:numFmt w:val="bullet"/>
      <w:lvlText w:val="•"/>
      <w:lvlJc w:val="left"/>
      <w:pPr>
        <w:tabs>
          <w:tab w:val="num" w:pos="720"/>
        </w:tabs>
        <w:ind w:left="720" w:hanging="360"/>
      </w:pPr>
      <w:rPr>
        <w:rFonts w:ascii="Arial" w:hAnsi="Arial" w:hint="default"/>
      </w:rPr>
    </w:lvl>
    <w:lvl w:ilvl="1" w:tplc="C81699EE">
      <w:start w:val="23552"/>
      <w:numFmt w:val="bullet"/>
      <w:lvlText w:val="•"/>
      <w:lvlJc w:val="left"/>
      <w:pPr>
        <w:tabs>
          <w:tab w:val="num" w:pos="1440"/>
        </w:tabs>
        <w:ind w:left="1440" w:hanging="360"/>
      </w:pPr>
      <w:rPr>
        <w:rFonts w:ascii="Arial" w:hAnsi="Arial" w:hint="default"/>
      </w:rPr>
    </w:lvl>
    <w:lvl w:ilvl="2" w:tplc="D10EBD32" w:tentative="1">
      <w:start w:val="1"/>
      <w:numFmt w:val="bullet"/>
      <w:lvlText w:val="•"/>
      <w:lvlJc w:val="left"/>
      <w:pPr>
        <w:tabs>
          <w:tab w:val="num" w:pos="2160"/>
        </w:tabs>
        <w:ind w:left="2160" w:hanging="360"/>
      </w:pPr>
      <w:rPr>
        <w:rFonts w:ascii="Arial" w:hAnsi="Arial" w:hint="default"/>
      </w:rPr>
    </w:lvl>
    <w:lvl w:ilvl="3" w:tplc="A67EBAA2" w:tentative="1">
      <w:start w:val="1"/>
      <w:numFmt w:val="bullet"/>
      <w:lvlText w:val="•"/>
      <w:lvlJc w:val="left"/>
      <w:pPr>
        <w:tabs>
          <w:tab w:val="num" w:pos="2880"/>
        </w:tabs>
        <w:ind w:left="2880" w:hanging="360"/>
      </w:pPr>
      <w:rPr>
        <w:rFonts w:ascii="Arial" w:hAnsi="Arial" w:hint="default"/>
      </w:rPr>
    </w:lvl>
    <w:lvl w:ilvl="4" w:tplc="6194D51A" w:tentative="1">
      <w:start w:val="1"/>
      <w:numFmt w:val="bullet"/>
      <w:lvlText w:val="•"/>
      <w:lvlJc w:val="left"/>
      <w:pPr>
        <w:tabs>
          <w:tab w:val="num" w:pos="3600"/>
        </w:tabs>
        <w:ind w:left="3600" w:hanging="360"/>
      </w:pPr>
      <w:rPr>
        <w:rFonts w:ascii="Arial" w:hAnsi="Arial" w:hint="default"/>
      </w:rPr>
    </w:lvl>
    <w:lvl w:ilvl="5" w:tplc="D78CC3B6" w:tentative="1">
      <w:start w:val="1"/>
      <w:numFmt w:val="bullet"/>
      <w:lvlText w:val="•"/>
      <w:lvlJc w:val="left"/>
      <w:pPr>
        <w:tabs>
          <w:tab w:val="num" w:pos="4320"/>
        </w:tabs>
        <w:ind w:left="4320" w:hanging="360"/>
      </w:pPr>
      <w:rPr>
        <w:rFonts w:ascii="Arial" w:hAnsi="Arial" w:hint="default"/>
      </w:rPr>
    </w:lvl>
    <w:lvl w:ilvl="6" w:tplc="AB7A02CE" w:tentative="1">
      <w:start w:val="1"/>
      <w:numFmt w:val="bullet"/>
      <w:lvlText w:val="•"/>
      <w:lvlJc w:val="left"/>
      <w:pPr>
        <w:tabs>
          <w:tab w:val="num" w:pos="5040"/>
        </w:tabs>
        <w:ind w:left="5040" w:hanging="360"/>
      </w:pPr>
      <w:rPr>
        <w:rFonts w:ascii="Arial" w:hAnsi="Arial" w:hint="default"/>
      </w:rPr>
    </w:lvl>
    <w:lvl w:ilvl="7" w:tplc="CFF0BE30" w:tentative="1">
      <w:start w:val="1"/>
      <w:numFmt w:val="bullet"/>
      <w:lvlText w:val="•"/>
      <w:lvlJc w:val="left"/>
      <w:pPr>
        <w:tabs>
          <w:tab w:val="num" w:pos="5760"/>
        </w:tabs>
        <w:ind w:left="5760" w:hanging="360"/>
      </w:pPr>
      <w:rPr>
        <w:rFonts w:ascii="Arial" w:hAnsi="Arial" w:hint="default"/>
      </w:rPr>
    </w:lvl>
    <w:lvl w:ilvl="8" w:tplc="E63668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7D324FE"/>
    <w:multiLevelType w:val="hybridMultilevel"/>
    <w:tmpl w:val="9F586672"/>
    <w:lvl w:ilvl="0" w:tplc="84FE8472">
      <w:start w:val="1"/>
      <w:numFmt w:val="bullet"/>
      <w:lvlText w:val="•"/>
      <w:lvlJc w:val="left"/>
      <w:pPr>
        <w:tabs>
          <w:tab w:val="num" w:pos="720"/>
        </w:tabs>
        <w:ind w:left="720" w:hanging="360"/>
      </w:pPr>
      <w:rPr>
        <w:rFonts w:ascii="Arial" w:hAnsi="Arial" w:hint="default"/>
      </w:rPr>
    </w:lvl>
    <w:lvl w:ilvl="1" w:tplc="9852010A">
      <w:start w:val="1"/>
      <w:numFmt w:val="bullet"/>
      <w:lvlText w:val="•"/>
      <w:lvlJc w:val="left"/>
      <w:pPr>
        <w:tabs>
          <w:tab w:val="num" w:pos="1440"/>
        </w:tabs>
        <w:ind w:left="1440" w:hanging="360"/>
      </w:pPr>
      <w:rPr>
        <w:rFonts w:ascii="Arial" w:hAnsi="Arial" w:hint="default"/>
      </w:rPr>
    </w:lvl>
    <w:lvl w:ilvl="2" w:tplc="48B4B010">
      <w:start w:val="23552"/>
      <w:numFmt w:val="bullet"/>
      <w:lvlText w:val="•"/>
      <w:lvlJc w:val="left"/>
      <w:pPr>
        <w:tabs>
          <w:tab w:val="num" w:pos="2160"/>
        </w:tabs>
        <w:ind w:left="2160" w:hanging="360"/>
      </w:pPr>
      <w:rPr>
        <w:rFonts w:ascii="Arial" w:hAnsi="Arial" w:hint="default"/>
      </w:rPr>
    </w:lvl>
    <w:lvl w:ilvl="3" w:tplc="F126FCCE" w:tentative="1">
      <w:start w:val="1"/>
      <w:numFmt w:val="bullet"/>
      <w:lvlText w:val="•"/>
      <w:lvlJc w:val="left"/>
      <w:pPr>
        <w:tabs>
          <w:tab w:val="num" w:pos="2880"/>
        </w:tabs>
        <w:ind w:left="2880" w:hanging="360"/>
      </w:pPr>
      <w:rPr>
        <w:rFonts w:ascii="Arial" w:hAnsi="Arial" w:hint="default"/>
      </w:rPr>
    </w:lvl>
    <w:lvl w:ilvl="4" w:tplc="F128344C" w:tentative="1">
      <w:start w:val="1"/>
      <w:numFmt w:val="bullet"/>
      <w:lvlText w:val="•"/>
      <w:lvlJc w:val="left"/>
      <w:pPr>
        <w:tabs>
          <w:tab w:val="num" w:pos="3600"/>
        </w:tabs>
        <w:ind w:left="3600" w:hanging="360"/>
      </w:pPr>
      <w:rPr>
        <w:rFonts w:ascii="Arial" w:hAnsi="Arial" w:hint="default"/>
      </w:rPr>
    </w:lvl>
    <w:lvl w:ilvl="5" w:tplc="CB7AAB28" w:tentative="1">
      <w:start w:val="1"/>
      <w:numFmt w:val="bullet"/>
      <w:lvlText w:val="•"/>
      <w:lvlJc w:val="left"/>
      <w:pPr>
        <w:tabs>
          <w:tab w:val="num" w:pos="4320"/>
        </w:tabs>
        <w:ind w:left="4320" w:hanging="360"/>
      </w:pPr>
      <w:rPr>
        <w:rFonts w:ascii="Arial" w:hAnsi="Arial" w:hint="default"/>
      </w:rPr>
    </w:lvl>
    <w:lvl w:ilvl="6" w:tplc="A702A35A" w:tentative="1">
      <w:start w:val="1"/>
      <w:numFmt w:val="bullet"/>
      <w:lvlText w:val="•"/>
      <w:lvlJc w:val="left"/>
      <w:pPr>
        <w:tabs>
          <w:tab w:val="num" w:pos="5040"/>
        </w:tabs>
        <w:ind w:left="5040" w:hanging="360"/>
      </w:pPr>
      <w:rPr>
        <w:rFonts w:ascii="Arial" w:hAnsi="Arial" w:hint="default"/>
      </w:rPr>
    </w:lvl>
    <w:lvl w:ilvl="7" w:tplc="54F82B7E" w:tentative="1">
      <w:start w:val="1"/>
      <w:numFmt w:val="bullet"/>
      <w:lvlText w:val="•"/>
      <w:lvlJc w:val="left"/>
      <w:pPr>
        <w:tabs>
          <w:tab w:val="num" w:pos="5760"/>
        </w:tabs>
        <w:ind w:left="5760" w:hanging="360"/>
      </w:pPr>
      <w:rPr>
        <w:rFonts w:ascii="Arial" w:hAnsi="Arial" w:hint="default"/>
      </w:rPr>
    </w:lvl>
    <w:lvl w:ilvl="8" w:tplc="F4A4DA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320302"/>
    <w:multiLevelType w:val="hybridMultilevel"/>
    <w:tmpl w:val="025A9E24"/>
    <w:lvl w:ilvl="0" w:tplc="4EDA5C0E">
      <w:start w:val="1"/>
      <w:numFmt w:val="bullet"/>
      <w:lvlText w:val="•"/>
      <w:lvlJc w:val="left"/>
      <w:pPr>
        <w:tabs>
          <w:tab w:val="num" w:pos="720"/>
        </w:tabs>
        <w:ind w:left="720" w:hanging="360"/>
      </w:pPr>
      <w:rPr>
        <w:rFonts w:ascii="Arial" w:hAnsi="Arial" w:hint="default"/>
      </w:rPr>
    </w:lvl>
    <w:lvl w:ilvl="1" w:tplc="EA00A1B8">
      <w:numFmt w:val="none"/>
      <w:lvlText w:val=""/>
      <w:lvlJc w:val="left"/>
      <w:pPr>
        <w:tabs>
          <w:tab w:val="num" w:pos="360"/>
        </w:tabs>
      </w:pPr>
    </w:lvl>
    <w:lvl w:ilvl="2" w:tplc="8514C692" w:tentative="1">
      <w:start w:val="1"/>
      <w:numFmt w:val="bullet"/>
      <w:lvlText w:val="•"/>
      <w:lvlJc w:val="left"/>
      <w:pPr>
        <w:tabs>
          <w:tab w:val="num" w:pos="2160"/>
        </w:tabs>
        <w:ind w:left="2160" w:hanging="360"/>
      </w:pPr>
      <w:rPr>
        <w:rFonts w:ascii="Arial" w:hAnsi="Arial" w:hint="default"/>
      </w:rPr>
    </w:lvl>
    <w:lvl w:ilvl="3" w:tplc="4A3678F2" w:tentative="1">
      <w:start w:val="1"/>
      <w:numFmt w:val="bullet"/>
      <w:lvlText w:val="•"/>
      <w:lvlJc w:val="left"/>
      <w:pPr>
        <w:tabs>
          <w:tab w:val="num" w:pos="2880"/>
        </w:tabs>
        <w:ind w:left="2880" w:hanging="360"/>
      </w:pPr>
      <w:rPr>
        <w:rFonts w:ascii="Arial" w:hAnsi="Arial" w:hint="default"/>
      </w:rPr>
    </w:lvl>
    <w:lvl w:ilvl="4" w:tplc="470610CE" w:tentative="1">
      <w:start w:val="1"/>
      <w:numFmt w:val="bullet"/>
      <w:lvlText w:val="•"/>
      <w:lvlJc w:val="left"/>
      <w:pPr>
        <w:tabs>
          <w:tab w:val="num" w:pos="3600"/>
        </w:tabs>
        <w:ind w:left="3600" w:hanging="360"/>
      </w:pPr>
      <w:rPr>
        <w:rFonts w:ascii="Arial" w:hAnsi="Arial" w:hint="default"/>
      </w:rPr>
    </w:lvl>
    <w:lvl w:ilvl="5" w:tplc="225A1B76" w:tentative="1">
      <w:start w:val="1"/>
      <w:numFmt w:val="bullet"/>
      <w:lvlText w:val="•"/>
      <w:lvlJc w:val="left"/>
      <w:pPr>
        <w:tabs>
          <w:tab w:val="num" w:pos="4320"/>
        </w:tabs>
        <w:ind w:left="4320" w:hanging="360"/>
      </w:pPr>
      <w:rPr>
        <w:rFonts w:ascii="Arial" w:hAnsi="Arial" w:hint="default"/>
      </w:rPr>
    </w:lvl>
    <w:lvl w:ilvl="6" w:tplc="FF6ECF94" w:tentative="1">
      <w:start w:val="1"/>
      <w:numFmt w:val="bullet"/>
      <w:lvlText w:val="•"/>
      <w:lvlJc w:val="left"/>
      <w:pPr>
        <w:tabs>
          <w:tab w:val="num" w:pos="5040"/>
        </w:tabs>
        <w:ind w:left="5040" w:hanging="360"/>
      </w:pPr>
      <w:rPr>
        <w:rFonts w:ascii="Arial" w:hAnsi="Arial" w:hint="default"/>
      </w:rPr>
    </w:lvl>
    <w:lvl w:ilvl="7" w:tplc="E1200C2A" w:tentative="1">
      <w:start w:val="1"/>
      <w:numFmt w:val="bullet"/>
      <w:lvlText w:val="•"/>
      <w:lvlJc w:val="left"/>
      <w:pPr>
        <w:tabs>
          <w:tab w:val="num" w:pos="5760"/>
        </w:tabs>
        <w:ind w:left="5760" w:hanging="360"/>
      </w:pPr>
      <w:rPr>
        <w:rFonts w:ascii="Arial" w:hAnsi="Arial" w:hint="default"/>
      </w:rPr>
    </w:lvl>
    <w:lvl w:ilvl="8" w:tplc="F33E48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2543FC"/>
    <w:multiLevelType w:val="hybridMultilevel"/>
    <w:tmpl w:val="A35C8362"/>
    <w:lvl w:ilvl="0" w:tplc="B2AADAE4">
      <w:start w:val="1"/>
      <w:numFmt w:val="bullet"/>
      <w:lvlText w:val="•"/>
      <w:lvlJc w:val="left"/>
      <w:pPr>
        <w:tabs>
          <w:tab w:val="num" w:pos="720"/>
        </w:tabs>
        <w:ind w:left="720" w:hanging="360"/>
      </w:pPr>
      <w:rPr>
        <w:rFonts w:ascii="Arial" w:hAnsi="Arial" w:hint="default"/>
      </w:rPr>
    </w:lvl>
    <w:lvl w:ilvl="1" w:tplc="E0722E58">
      <w:start w:val="1"/>
      <w:numFmt w:val="bullet"/>
      <w:lvlText w:val="•"/>
      <w:lvlJc w:val="left"/>
      <w:pPr>
        <w:tabs>
          <w:tab w:val="num" w:pos="1440"/>
        </w:tabs>
        <w:ind w:left="1440" w:hanging="360"/>
      </w:pPr>
      <w:rPr>
        <w:rFonts w:ascii="Arial" w:hAnsi="Arial" w:hint="default"/>
      </w:rPr>
    </w:lvl>
    <w:lvl w:ilvl="2" w:tplc="5CDCCAF8" w:tentative="1">
      <w:start w:val="1"/>
      <w:numFmt w:val="bullet"/>
      <w:lvlText w:val="•"/>
      <w:lvlJc w:val="left"/>
      <w:pPr>
        <w:tabs>
          <w:tab w:val="num" w:pos="2160"/>
        </w:tabs>
        <w:ind w:left="2160" w:hanging="360"/>
      </w:pPr>
      <w:rPr>
        <w:rFonts w:ascii="Arial" w:hAnsi="Arial" w:hint="default"/>
      </w:rPr>
    </w:lvl>
    <w:lvl w:ilvl="3" w:tplc="286C4000" w:tentative="1">
      <w:start w:val="1"/>
      <w:numFmt w:val="bullet"/>
      <w:lvlText w:val="•"/>
      <w:lvlJc w:val="left"/>
      <w:pPr>
        <w:tabs>
          <w:tab w:val="num" w:pos="2880"/>
        </w:tabs>
        <w:ind w:left="2880" w:hanging="360"/>
      </w:pPr>
      <w:rPr>
        <w:rFonts w:ascii="Arial" w:hAnsi="Arial" w:hint="default"/>
      </w:rPr>
    </w:lvl>
    <w:lvl w:ilvl="4" w:tplc="914C9C98" w:tentative="1">
      <w:start w:val="1"/>
      <w:numFmt w:val="bullet"/>
      <w:lvlText w:val="•"/>
      <w:lvlJc w:val="left"/>
      <w:pPr>
        <w:tabs>
          <w:tab w:val="num" w:pos="3600"/>
        </w:tabs>
        <w:ind w:left="3600" w:hanging="360"/>
      </w:pPr>
      <w:rPr>
        <w:rFonts w:ascii="Arial" w:hAnsi="Arial" w:hint="default"/>
      </w:rPr>
    </w:lvl>
    <w:lvl w:ilvl="5" w:tplc="1BB68870" w:tentative="1">
      <w:start w:val="1"/>
      <w:numFmt w:val="bullet"/>
      <w:lvlText w:val="•"/>
      <w:lvlJc w:val="left"/>
      <w:pPr>
        <w:tabs>
          <w:tab w:val="num" w:pos="4320"/>
        </w:tabs>
        <w:ind w:left="4320" w:hanging="360"/>
      </w:pPr>
      <w:rPr>
        <w:rFonts w:ascii="Arial" w:hAnsi="Arial" w:hint="default"/>
      </w:rPr>
    </w:lvl>
    <w:lvl w:ilvl="6" w:tplc="B09AA798" w:tentative="1">
      <w:start w:val="1"/>
      <w:numFmt w:val="bullet"/>
      <w:lvlText w:val="•"/>
      <w:lvlJc w:val="left"/>
      <w:pPr>
        <w:tabs>
          <w:tab w:val="num" w:pos="5040"/>
        </w:tabs>
        <w:ind w:left="5040" w:hanging="360"/>
      </w:pPr>
      <w:rPr>
        <w:rFonts w:ascii="Arial" w:hAnsi="Arial" w:hint="default"/>
      </w:rPr>
    </w:lvl>
    <w:lvl w:ilvl="7" w:tplc="1728A992" w:tentative="1">
      <w:start w:val="1"/>
      <w:numFmt w:val="bullet"/>
      <w:lvlText w:val="•"/>
      <w:lvlJc w:val="left"/>
      <w:pPr>
        <w:tabs>
          <w:tab w:val="num" w:pos="5760"/>
        </w:tabs>
        <w:ind w:left="5760" w:hanging="360"/>
      </w:pPr>
      <w:rPr>
        <w:rFonts w:ascii="Arial" w:hAnsi="Arial" w:hint="default"/>
      </w:rPr>
    </w:lvl>
    <w:lvl w:ilvl="8" w:tplc="F5A2ED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6C191E"/>
    <w:multiLevelType w:val="hybridMultilevel"/>
    <w:tmpl w:val="20141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DF44B5D"/>
    <w:multiLevelType w:val="hybridMultilevel"/>
    <w:tmpl w:val="B4CA5E52"/>
    <w:lvl w:ilvl="0" w:tplc="CF9C0E14">
      <w:start w:val="1"/>
      <w:numFmt w:val="bullet"/>
      <w:lvlText w:val="•"/>
      <w:lvlJc w:val="left"/>
      <w:pPr>
        <w:tabs>
          <w:tab w:val="num" w:pos="720"/>
        </w:tabs>
        <w:ind w:left="720" w:hanging="360"/>
      </w:pPr>
      <w:rPr>
        <w:rFonts w:ascii="Arial" w:hAnsi="Arial" w:hint="default"/>
      </w:rPr>
    </w:lvl>
    <w:lvl w:ilvl="1" w:tplc="7C2E57BC">
      <w:numFmt w:val="none"/>
      <w:lvlText w:val=""/>
      <w:lvlJc w:val="left"/>
      <w:pPr>
        <w:tabs>
          <w:tab w:val="num" w:pos="360"/>
        </w:tabs>
      </w:pPr>
    </w:lvl>
    <w:lvl w:ilvl="2" w:tplc="2CDA0C4C" w:tentative="1">
      <w:start w:val="1"/>
      <w:numFmt w:val="bullet"/>
      <w:lvlText w:val="•"/>
      <w:lvlJc w:val="left"/>
      <w:pPr>
        <w:tabs>
          <w:tab w:val="num" w:pos="2160"/>
        </w:tabs>
        <w:ind w:left="2160" w:hanging="360"/>
      </w:pPr>
      <w:rPr>
        <w:rFonts w:ascii="Arial" w:hAnsi="Arial" w:hint="default"/>
      </w:rPr>
    </w:lvl>
    <w:lvl w:ilvl="3" w:tplc="2E18BEDC" w:tentative="1">
      <w:start w:val="1"/>
      <w:numFmt w:val="bullet"/>
      <w:lvlText w:val="•"/>
      <w:lvlJc w:val="left"/>
      <w:pPr>
        <w:tabs>
          <w:tab w:val="num" w:pos="2880"/>
        </w:tabs>
        <w:ind w:left="2880" w:hanging="360"/>
      </w:pPr>
      <w:rPr>
        <w:rFonts w:ascii="Arial" w:hAnsi="Arial" w:hint="default"/>
      </w:rPr>
    </w:lvl>
    <w:lvl w:ilvl="4" w:tplc="A142091A" w:tentative="1">
      <w:start w:val="1"/>
      <w:numFmt w:val="bullet"/>
      <w:lvlText w:val="•"/>
      <w:lvlJc w:val="left"/>
      <w:pPr>
        <w:tabs>
          <w:tab w:val="num" w:pos="3600"/>
        </w:tabs>
        <w:ind w:left="3600" w:hanging="360"/>
      </w:pPr>
      <w:rPr>
        <w:rFonts w:ascii="Arial" w:hAnsi="Arial" w:hint="default"/>
      </w:rPr>
    </w:lvl>
    <w:lvl w:ilvl="5" w:tplc="8B38796E" w:tentative="1">
      <w:start w:val="1"/>
      <w:numFmt w:val="bullet"/>
      <w:lvlText w:val="•"/>
      <w:lvlJc w:val="left"/>
      <w:pPr>
        <w:tabs>
          <w:tab w:val="num" w:pos="4320"/>
        </w:tabs>
        <w:ind w:left="4320" w:hanging="360"/>
      </w:pPr>
      <w:rPr>
        <w:rFonts w:ascii="Arial" w:hAnsi="Arial" w:hint="default"/>
      </w:rPr>
    </w:lvl>
    <w:lvl w:ilvl="6" w:tplc="02861630" w:tentative="1">
      <w:start w:val="1"/>
      <w:numFmt w:val="bullet"/>
      <w:lvlText w:val="•"/>
      <w:lvlJc w:val="left"/>
      <w:pPr>
        <w:tabs>
          <w:tab w:val="num" w:pos="5040"/>
        </w:tabs>
        <w:ind w:left="5040" w:hanging="360"/>
      </w:pPr>
      <w:rPr>
        <w:rFonts w:ascii="Arial" w:hAnsi="Arial" w:hint="default"/>
      </w:rPr>
    </w:lvl>
    <w:lvl w:ilvl="7" w:tplc="A8348366" w:tentative="1">
      <w:start w:val="1"/>
      <w:numFmt w:val="bullet"/>
      <w:lvlText w:val="•"/>
      <w:lvlJc w:val="left"/>
      <w:pPr>
        <w:tabs>
          <w:tab w:val="num" w:pos="5760"/>
        </w:tabs>
        <w:ind w:left="5760" w:hanging="360"/>
      </w:pPr>
      <w:rPr>
        <w:rFonts w:ascii="Arial" w:hAnsi="Arial" w:hint="default"/>
      </w:rPr>
    </w:lvl>
    <w:lvl w:ilvl="8" w:tplc="450AFE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5"/>
  </w:num>
  <w:num w:numId="4">
    <w:abstractNumId w:val="0"/>
  </w:num>
  <w:num w:numId="5">
    <w:abstractNumId w:val="21"/>
  </w:num>
  <w:num w:numId="6">
    <w:abstractNumId w:val="8"/>
  </w:num>
  <w:num w:numId="7">
    <w:abstractNumId w:val="7"/>
  </w:num>
  <w:num w:numId="8">
    <w:abstractNumId w:val="10"/>
  </w:num>
  <w:num w:numId="9">
    <w:abstractNumId w:val="23"/>
  </w:num>
  <w:num w:numId="10">
    <w:abstractNumId w:val="11"/>
  </w:num>
  <w:num w:numId="11">
    <w:abstractNumId w:val="15"/>
  </w:num>
  <w:num w:numId="12">
    <w:abstractNumId w:val="4"/>
  </w:num>
  <w:num w:numId="13">
    <w:abstractNumId w:val="17"/>
  </w:num>
  <w:num w:numId="14">
    <w:abstractNumId w:val="1"/>
  </w:num>
  <w:num w:numId="15">
    <w:abstractNumId w:val="13"/>
  </w:num>
  <w:num w:numId="16">
    <w:abstractNumId w:val="16"/>
  </w:num>
  <w:num w:numId="17">
    <w:abstractNumId w:val="19"/>
  </w:num>
  <w:num w:numId="18">
    <w:abstractNumId w:val="6"/>
  </w:num>
  <w:num w:numId="19">
    <w:abstractNumId w:val="20"/>
  </w:num>
  <w:num w:numId="20">
    <w:abstractNumId w:val="5"/>
  </w:num>
  <w:num w:numId="21">
    <w:abstractNumId w:val="22"/>
  </w:num>
  <w:num w:numId="22">
    <w:abstractNumId w:val="3"/>
  </w:num>
  <w:num w:numId="23">
    <w:abstractNumId w:val="2"/>
  </w:num>
  <w:num w:numId="24">
    <w:abstractNumId w:val="9"/>
  </w:num>
  <w:num w:numId="25">
    <w:abstractNumId w:val="18"/>
  </w:num>
  <w:num w:numId="2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622"/>
    <w:rsid w:val="000047D2"/>
    <w:rsid w:val="0000489B"/>
    <w:rsid w:val="00004CEC"/>
    <w:rsid w:val="00004D1B"/>
    <w:rsid w:val="00005C59"/>
    <w:rsid w:val="00006032"/>
    <w:rsid w:val="00006366"/>
    <w:rsid w:val="00006653"/>
    <w:rsid w:val="00006905"/>
    <w:rsid w:val="00006C3B"/>
    <w:rsid w:val="000073FB"/>
    <w:rsid w:val="000078AE"/>
    <w:rsid w:val="00007F2D"/>
    <w:rsid w:val="00010665"/>
    <w:rsid w:val="00010AE4"/>
    <w:rsid w:val="00010DBE"/>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5F1F"/>
    <w:rsid w:val="0001601E"/>
    <w:rsid w:val="000168A6"/>
    <w:rsid w:val="00017714"/>
    <w:rsid w:val="00017A14"/>
    <w:rsid w:val="00017BC6"/>
    <w:rsid w:val="00017D5A"/>
    <w:rsid w:val="000202C9"/>
    <w:rsid w:val="00020C53"/>
    <w:rsid w:val="00021E03"/>
    <w:rsid w:val="00021EAF"/>
    <w:rsid w:val="000227D1"/>
    <w:rsid w:val="0002283B"/>
    <w:rsid w:val="00022D26"/>
    <w:rsid w:val="00023186"/>
    <w:rsid w:val="000234DE"/>
    <w:rsid w:val="000236E7"/>
    <w:rsid w:val="00023838"/>
    <w:rsid w:val="000238DC"/>
    <w:rsid w:val="000238EB"/>
    <w:rsid w:val="000248B0"/>
    <w:rsid w:val="00024928"/>
    <w:rsid w:val="000249EB"/>
    <w:rsid w:val="00024AEF"/>
    <w:rsid w:val="00024EB7"/>
    <w:rsid w:val="00024FB3"/>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1CAA"/>
    <w:rsid w:val="000320B5"/>
    <w:rsid w:val="00032123"/>
    <w:rsid w:val="000323B8"/>
    <w:rsid w:val="00032519"/>
    <w:rsid w:val="00032721"/>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397"/>
    <w:rsid w:val="00040408"/>
    <w:rsid w:val="000407BC"/>
    <w:rsid w:val="00040C18"/>
    <w:rsid w:val="00041038"/>
    <w:rsid w:val="000411ED"/>
    <w:rsid w:val="00041B14"/>
    <w:rsid w:val="0004248E"/>
    <w:rsid w:val="00042ACF"/>
    <w:rsid w:val="000436AB"/>
    <w:rsid w:val="00044D8D"/>
    <w:rsid w:val="00044ED8"/>
    <w:rsid w:val="00045494"/>
    <w:rsid w:val="000456A6"/>
    <w:rsid w:val="0004582E"/>
    <w:rsid w:val="000458ED"/>
    <w:rsid w:val="000463C2"/>
    <w:rsid w:val="000479C3"/>
    <w:rsid w:val="0005017E"/>
    <w:rsid w:val="0005034B"/>
    <w:rsid w:val="00050B89"/>
    <w:rsid w:val="00051DC7"/>
    <w:rsid w:val="000524B3"/>
    <w:rsid w:val="00052E7F"/>
    <w:rsid w:val="0005343B"/>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11D"/>
    <w:rsid w:val="000612DB"/>
    <w:rsid w:val="00061525"/>
    <w:rsid w:val="00061A42"/>
    <w:rsid w:val="00062363"/>
    <w:rsid w:val="000627C9"/>
    <w:rsid w:val="00062C13"/>
    <w:rsid w:val="00062DDD"/>
    <w:rsid w:val="00062EA8"/>
    <w:rsid w:val="00063C20"/>
    <w:rsid w:val="00064133"/>
    <w:rsid w:val="000656E5"/>
    <w:rsid w:val="00065BA2"/>
    <w:rsid w:val="00065DE1"/>
    <w:rsid w:val="000666B9"/>
    <w:rsid w:val="00066770"/>
    <w:rsid w:val="00066A1D"/>
    <w:rsid w:val="00066F64"/>
    <w:rsid w:val="00067BBE"/>
    <w:rsid w:val="00067E0D"/>
    <w:rsid w:val="00067F7B"/>
    <w:rsid w:val="00070219"/>
    <w:rsid w:val="00070272"/>
    <w:rsid w:val="0007033B"/>
    <w:rsid w:val="000708E5"/>
    <w:rsid w:val="00070991"/>
    <w:rsid w:val="00070C84"/>
    <w:rsid w:val="00070DF6"/>
    <w:rsid w:val="0007167B"/>
    <w:rsid w:val="00071E4C"/>
    <w:rsid w:val="00072391"/>
    <w:rsid w:val="0007288B"/>
    <w:rsid w:val="000737BD"/>
    <w:rsid w:val="00073C53"/>
    <w:rsid w:val="000744AE"/>
    <w:rsid w:val="00074642"/>
    <w:rsid w:val="0007475F"/>
    <w:rsid w:val="00074F38"/>
    <w:rsid w:val="00075305"/>
    <w:rsid w:val="00075BF3"/>
    <w:rsid w:val="00075E76"/>
    <w:rsid w:val="0007610F"/>
    <w:rsid w:val="0007728E"/>
    <w:rsid w:val="00077743"/>
    <w:rsid w:val="00077E39"/>
    <w:rsid w:val="00080347"/>
    <w:rsid w:val="0008062A"/>
    <w:rsid w:val="000807A2"/>
    <w:rsid w:val="00080821"/>
    <w:rsid w:val="00080869"/>
    <w:rsid w:val="00080BEE"/>
    <w:rsid w:val="00080D06"/>
    <w:rsid w:val="0008141E"/>
    <w:rsid w:val="0008144A"/>
    <w:rsid w:val="00081699"/>
    <w:rsid w:val="00081781"/>
    <w:rsid w:val="000822DE"/>
    <w:rsid w:val="000823F4"/>
    <w:rsid w:val="0008258D"/>
    <w:rsid w:val="000839E3"/>
    <w:rsid w:val="00083A38"/>
    <w:rsid w:val="00083E10"/>
    <w:rsid w:val="00083E1A"/>
    <w:rsid w:val="00084790"/>
    <w:rsid w:val="00084B1C"/>
    <w:rsid w:val="00084C8D"/>
    <w:rsid w:val="00084EB5"/>
    <w:rsid w:val="000850A8"/>
    <w:rsid w:val="00085397"/>
    <w:rsid w:val="00085C53"/>
    <w:rsid w:val="000863BD"/>
    <w:rsid w:val="0008685F"/>
    <w:rsid w:val="000869E7"/>
    <w:rsid w:val="00086EDA"/>
    <w:rsid w:val="0008744E"/>
    <w:rsid w:val="00087702"/>
    <w:rsid w:val="000901E2"/>
    <w:rsid w:val="000903D9"/>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60"/>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CDB"/>
    <w:rsid w:val="000A6F20"/>
    <w:rsid w:val="000A70C7"/>
    <w:rsid w:val="000A78BB"/>
    <w:rsid w:val="000A79D4"/>
    <w:rsid w:val="000B04B5"/>
    <w:rsid w:val="000B0F93"/>
    <w:rsid w:val="000B2A11"/>
    <w:rsid w:val="000B2AED"/>
    <w:rsid w:val="000B2E5D"/>
    <w:rsid w:val="000B34AA"/>
    <w:rsid w:val="000B38BD"/>
    <w:rsid w:val="000B3926"/>
    <w:rsid w:val="000B3A60"/>
    <w:rsid w:val="000B4112"/>
    <w:rsid w:val="000B4BE7"/>
    <w:rsid w:val="000B50FE"/>
    <w:rsid w:val="000B5426"/>
    <w:rsid w:val="000B55E3"/>
    <w:rsid w:val="000B59B0"/>
    <w:rsid w:val="000B5A2C"/>
    <w:rsid w:val="000B5B0D"/>
    <w:rsid w:val="000B6390"/>
    <w:rsid w:val="000B662A"/>
    <w:rsid w:val="000B75E2"/>
    <w:rsid w:val="000B76D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6EF"/>
    <w:rsid w:val="000C5F8B"/>
    <w:rsid w:val="000C60C5"/>
    <w:rsid w:val="000C674F"/>
    <w:rsid w:val="000C6B63"/>
    <w:rsid w:val="000C6B9D"/>
    <w:rsid w:val="000C6D3B"/>
    <w:rsid w:val="000C6EF2"/>
    <w:rsid w:val="000C70BC"/>
    <w:rsid w:val="000C7278"/>
    <w:rsid w:val="000C7A09"/>
    <w:rsid w:val="000C7E61"/>
    <w:rsid w:val="000C7FB8"/>
    <w:rsid w:val="000D046A"/>
    <w:rsid w:val="000D06C8"/>
    <w:rsid w:val="000D0914"/>
    <w:rsid w:val="000D0A7D"/>
    <w:rsid w:val="000D0B41"/>
    <w:rsid w:val="000D1F32"/>
    <w:rsid w:val="000D21CF"/>
    <w:rsid w:val="000D23D1"/>
    <w:rsid w:val="000D24B9"/>
    <w:rsid w:val="000D24D4"/>
    <w:rsid w:val="000D260E"/>
    <w:rsid w:val="000D27D3"/>
    <w:rsid w:val="000D2C0A"/>
    <w:rsid w:val="000D2D53"/>
    <w:rsid w:val="000D2D5F"/>
    <w:rsid w:val="000D2E4D"/>
    <w:rsid w:val="000D31E6"/>
    <w:rsid w:val="000D3363"/>
    <w:rsid w:val="000D374C"/>
    <w:rsid w:val="000D42AA"/>
    <w:rsid w:val="000D4397"/>
    <w:rsid w:val="000D49BC"/>
    <w:rsid w:val="000D5050"/>
    <w:rsid w:val="000D53F9"/>
    <w:rsid w:val="000D5CD5"/>
    <w:rsid w:val="000D5D63"/>
    <w:rsid w:val="000D65ED"/>
    <w:rsid w:val="000D696A"/>
    <w:rsid w:val="000D6A5E"/>
    <w:rsid w:val="000D6AEB"/>
    <w:rsid w:val="000D6C91"/>
    <w:rsid w:val="000D7B74"/>
    <w:rsid w:val="000D7DAC"/>
    <w:rsid w:val="000E03F4"/>
    <w:rsid w:val="000E05B1"/>
    <w:rsid w:val="000E0C29"/>
    <w:rsid w:val="000E0E63"/>
    <w:rsid w:val="000E1155"/>
    <w:rsid w:val="000E1369"/>
    <w:rsid w:val="000E157E"/>
    <w:rsid w:val="000E174F"/>
    <w:rsid w:val="000E1C18"/>
    <w:rsid w:val="000E1D5C"/>
    <w:rsid w:val="000E2696"/>
    <w:rsid w:val="000E2ADE"/>
    <w:rsid w:val="000E2B75"/>
    <w:rsid w:val="000E2C22"/>
    <w:rsid w:val="000E2D37"/>
    <w:rsid w:val="000E35FE"/>
    <w:rsid w:val="000E38FE"/>
    <w:rsid w:val="000E3B5E"/>
    <w:rsid w:val="000E42A4"/>
    <w:rsid w:val="000E42FE"/>
    <w:rsid w:val="000E5640"/>
    <w:rsid w:val="000E56B2"/>
    <w:rsid w:val="000E5E0B"/>
    <w:rsid w:val="000E5F12"/>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79E"/>
    <w:rsid w:val="000F5B93"/>
    <w:rsid w:val="000F614F"/>
    <w:rsid w:val="000F6226"/>
    <w:rsid w:val="000F6A4F"/>
    <w:rsid w:val="000F774D"/>
    <w:rsid w:val="000F7C61"/>
    <w:rsid w:val="000F7C72"/>
    <w:rsid w:val="000F7F3F"/>
    <w:rsid w:val="0010079A"/>
    <w:rsid w:val="00100904"/>
    <w:rsid w:val="00100BDE"/>
    <w:rsid w:val="00100D60"/>
    <w:rsid w:val="00100EF3"/>
    <w:rsid w:val="00101A39"/>
    <w:rsid w:val="00101B34"/>
    <w:rsid w:val="00101CFB"/>
    <w:rsid w:val="00101E5A"/>
    <w:rsid w:val="00102A1C"/>
    <w:rsid w:val="00103011"/>
    <w:rsid w:val="001030F5"/>
    <w:rsid w:val="0010310F"/>
    <w:rsid w:val="0010390B"/>
    <w:rsid w:val="00103969"/>
    <w:rsid w:val="001039C1"/>
    <w:rsid w:val="001047A5"/>
    <w:rsid w:val="001050DA"/>
    <w:rsid w:val="001058E5"/>
    <w:rsid w:val="00105BC8"/>
    <w:rsid w:val="00106309"/>
    <w:rsid w:val="00106338"/>
    <w:rsid w:val="00106A0B"/>
    <w:rsid w:val="00106A59"/>
    <w:rsid w:val="00106E2A"/>
    <w:rsid w:val="00106EA0"/>
    <w:rsid w:val="00106F0C"/>
    <w:rsid w:val="00107FA4"/>
    <w:rsid w:val="00110126"/>
    <w:rsid w:val="0011044D"/>
    <w:rsid w:val="00110783"/>
    <w:rsid w:val="00110BE2"/>
    <w:rsid w:val="00110CD6"/>
    <w:rsid w:val="00110E1F"/>
    <w:rsid w:val="001111F4"/>
    <w:rsid w:val="001113C7"/>
    <w:rsid w:val="00111663"/>
    <w:rsid w:val="0011391A"/>
    <w:rsid w:val="00113C24"/>
    <w:rsid w:val="00113F00"/>
    <w:rsid w:val="00114077"/>
    <w:rsid w:val="00114245"/>
    <w:rsid w:val="001145A9"/>
    <w:rsid w:val="00114934"/>
    <w:rsid w:val="001156C6"/>
    <w:rsid w:val="00115AA0"/>
    <w:rsid w:val="00115AB8"/>
    <w:rsid w:val="00115EC3"/>
    <w:rsid w:val="001164CF"/>
    <w:rsid w:val="001168B7"/>
    <w:rsid w:val="001168DF"/>
    <w:rsid w:val="00116D02"/>
    <w:rsid w:val="00116FB1"/>
    <w:rsid w:val="0011746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2BB"/>
    <w:rsid w:val="001238DE"/>
    <w:rsid w:val="00123A77"/>
    <w:rsid w:val="00123BB6"/>
    <w:rsid w:val="0012409E"/>
    <w:rsid w:val="00124440"/>
    <w:rsid w:val="0012471A"/>
    <w:rsid w:val="00124758"/>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0D31"/>
    <w:rsid w:val="00131317"/>
    <w:rsid w:val="00131797"/>
    <w:rsid w:val="00131A30"/>
    <w:rsid w:val="00131E26"/>
    <w:rsid w:val="0013265C"/>
    <w:rsid w:val="001327A1"/>
    <w:rsid w:val="00132C26"/>
    <w:rsid w:val="00132D58"/>
    <w:rsid w:val="00133496"/>
    <w:rsid w:val="001334AF"/>
    <w:rsid w:val="001334ED"/>
    <w:rsid w:val="001336DC"/>
    <w:rsid w:val="00133B8E"/>
    <w:rsid w:val="00134374"/>
    <w:rsid w:val="00134489"/>
    <w:rsid w:val="00134598"/>
    <w:rsid w:val="001346FB"/>
    <w:rsid w:val="00135077"/>
    <w:rsid w:val="00135E6A"/>
    <w:rsid w:val="00136080"/>
    <w:rsid w:val="00136366"/>
    <w:rsid w:val="001367E8"/>
    <w:rsid w:val="00136E4B"/>
    <w:rsid w:val="0013766A"/>
    <w:rsid w:val="00137BC5"/>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579"/>
    <w:rsid w:val="001527C3"/>
    <w:rsid w:val="001528A6"/>
    <w:rsid w:val="00152B30"/>
    <w:rsid w:val="00152BA4"/>
    <w:rsid w:val="00152E2D"/>
    <w:rsid w:val="00153575"/>
    <w:rsid w:val="00153B5D"/>
    <w:rsid w:val="00153EB0"/>
    <w:rsid w:val="00154274"/>
    <w:rsid w:val="00154428"/>
    <w:rsid w:val="001544B5"/>
    <w:rsid w:val="00154648"/>
    <w:rsid w:val="00154D67"/>
    <w:rsid w:val="00154F19"/>
    <w:rsid w:val="00155528"/>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4B7"/>
    <w:rsid w:val="001618D2"/>
    <w:rsid w:val="00162321"/>
    <w:rsid w:val="0016259D"/>
    <w:rsid w:val="0016286D"/>
    <w:rsid w:val="00162BED"/>
    <w:rsid w:val="00163842"/>
    <w:rsid w:val="001638BF"/>
    <w:rsid w:val="00163C82"/>
    <w:rsid w:val="00163D77"/>
    <w:rsid w:val="00163DDE"/>
    <w:rsid w:val="0016405A"/>
    <w:rsid w:val="0016479A"/>
    <w:rsid w:val="00164DC7"/>
    <w:rsid w:val="00164E7E"/>
    <w:rsid w:val="00164F75"/>
    <w:rsid w:val="0016508B"/>
    <w:rsid w:val="001650B8"/>
    <w:rsid w:val="0016516D"/>
    <w:rsid w:val="001653BC"/>
    <w:rsid w:val="00165B9A"/>
    <w:rsid w:val="00165F32"/>
    <w:rsid w:val="00166095"/>
    <w:rsid w:val="00166A45"/>
    <w:rsid w:val="00167609"/>
    <w:rsid w:val="00167C2C"/>
    <w:rsid w:val="0017027A"/>
    <w:rsid w:val="00170421"/>
    <w:rsid w:val="00170543"/>
    <w:rsid w:val="00170690"/>
    <w:rsid w:val="00170AE2"/>
    <w:rsid w:val="00170B09"/>
    <w:rsid w:val="0017102C"/>
    <w:rsid w:val="00171087"/>
    <w:rsid w:val="00171E27"/>
    <w:rsid w:val="001723B9"/>
    <w:rsid w:val="00172488"/>
    <w:rsid w:val="001727E6"/>
    <w:rsid w:val="00172B19"/>
    <w:rsid w:val="001731A3"/>
    <w:rsid w:val="001739D4"/>
    <w:rsid w:val="00173B1E"/>
    <w:rsid w:val="00173DB5"/>
    <w:rsid w:val="00174260"/>
    <w:rsid w:val="00174296"/>
    <w:rsid w:val="00174985"/>
    <w:rsid w:val="00174F8B"/>
    <w:rsid w:val="001751CC"/>
    <w:rsid w:val="00175577"/>
    <w:rsid w:val="00175719"/>
    <w:rsid w:val="00175723"/>
    <w:rsid w:val="00175BEB"/>
    <w:rsid w:val="00177DDF"/>
    <w:rsid w:val="00177E54"/>
    <w:rsid w:val="00177EDD"/>
    <w:rsid w:val="001814F1"/>
    <w:rsid w:val="00181501"/>
    <w:rsid w:val="00181530"/>
    <w:rsid w:val="00182186"/>
    <w:rsid w:val="00182785"/>
    <w:rsid w:val="00182D90"/>
    <w:rsid w:val="00182F13"/>
    <w:rsid w:val="001833C8"/>
    <w:rsid w:val="00183E33"/>
    <w:rsid w:val="00183F39"/>
    <w:rsid w:val="001843D4"/>
    <w:rsid w:val="00184FB6"/>
    <w:rsid w:val="0018519D"/>
    <w:rsid w:val="00185F08"/>
    <w:rsid w:val="00186B18"/>
    <w:rsid w:val="001877A5"/>
    <w:rsid w:val="001878FE"/>
    <w:rsid w:val="00187976"/>
    <w:rsid w:val="00187FA5"/>
    <w:rsid w:val="0019028C"/>
    <w:rsid w:val="00190853"/>
    <w:rsid w:val="0019086A"/>
    <w:rsid w:val="00191BA5"/>
    <w:rsid w:val="001920A5"/>
    <w:rsid w:val="0019259E"/>
    <w:rsid w:val="001927B5"/>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6E6A"/>
    <w:rsid w:val="00197406"/>
    <w:rsid w:val="00197434"/>
    <w:rsid w:val="001979C7"/>
    <w:rsid w:val="00197B3D"/>
    <w:rsid w:val="00197EDC"/>
    <w:rsid w:val="00197EE5"/>
    <w:rsid w:val="001A003A"/>
    <w:rsid w:val="001A0172"/>
    <w:rsid w:val="001A01DA"/>
    <w:rsid w:val="001A08A9"/>
    <w:rsid w:val="001A1C27"/>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A7F6C"/>
    <w:rsid w:val="001B0197"/>
    <w:rsid w:val="001B0248"/>
    <w:rsid w:val="001B072D"/>
    <w:rsid w:val="001B0CDE"/>
    <w:rsid w:val="001B0D31"/>
    <w:rsid w:val="001B12C1"/>
    <w:rsid w:val="001B13E6"/>
    <w:rsid w:val="001B185D"/>
    <w:rsid w:val="001B1B38"/>
    <w:rsid w:val="001B1E83"/>
    <w:rsid w:val="001B2013"/>
    <w:rsid w:val="001B2940"/>
    <w:rsid w:val="001B2FA9"/>
    <w:rsid w:val="001B3115"/>
    <w:rsid w:val="001B33B7"/>
    <w:rsid w:val="001B36F6"/>
    <w:rsid w:val="001B3893"/>
    <w:rsid w:val="001B45D3"/>
    <w:rsid w:val="001B45E1"/>
    <w:rsid w:val="001B461D"/>
    <w:rsid w:val="001B4909"/>
    <w:rsid w:val="001B5849"/>
    <w:rsid w:val="001B68D8"/>
    <w:rsid w:val="001B693A"/>
    <w:rsid w:val="001B6AFB"/>
    <w:rsid w:val="001B6F88"/>
    <w:rsid w:val="001B7725"/>
    <w:rsid w:val="001C0C57"/>
    <w:rsid w:val="001C0CB2"/>
    <w:rsid w:val="001C14C3"/>
    <w:rsid w:val="001C1600"/>
    <w:rsid w:val="001C17B0"/>
    <w:rsid w:val="001C18F1"/>
    <w:rsid w:val="001C26C0"/>
    <w:rsid w:val="001C27CC"/>
    <w:rsid w:val="001C3089"/>
    <w:rsid w:val="001C3FF5"/>
    <w:rsid w:val="001C416B"/>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A36"/>
    <w:rsid w:val="001D7E0A"/>
    <w:rsid w:val="001E04A1"/>
    <w:rsid w:val="001E0581"/>
    <w:rsid w:val="001E05E0"/>
    <w:rsid w:val="001E0A07"/>
    <w:rsid w:val="001E0B83"/>
    <w:rsid w:val="001E14BE"/>
    <w:rsid w:val="001E159B"/>
    <w:rsid w:val="001E17D8"/>
    <w:rsid w:val="001E19B5"/>
    <w:rsid w:val="001E1A1C"/>
    <w:rsid w:val="001E200E"/>
    <w:rsid w:val="001E2522"/>
    <w:rsid w:val="001E2A10"/>
    <w:rsid w:val="001E2DC8"/>
    <w:rsid w:val="001E3879"/>
    <w:rsid w:val="001E4638"/>
    <w:rsid w:val="001E4804"/>
    <w:rsid w:val="001E5290"/>
    <w:rsid w:val="001E5338"/>
    <w:rsid w:val="001E54DA"/>
    <w:rsid w:val="001E5B38"/>
    <w:rsid w:val="001E5B44"/>
    <w:rsid w:val="001E5DCB"/>
    <w:rsid w:val="001E6DF9"/>
    <w:rsid w:val="001E6EE0"/>
    <w:rsid w:val="001E70AA"/>
    <w:rsid w:val="001E762B"/>
    <w:rsid w:val="001E76D0"/>
    <w:rsid w:val="001F0308"/>
    <w:rsid w:val="001F046D"/>
    <w:rsid w:val="001F0CE0"/>
    <w:rsid w:val="001F0E5F"/>
    <w:rsid w:val="001F13B4"/>
    <w:rsid w:val="001F13F4"/>
    <w:rsid w:val="001F171A"/>
    <w:rsid w:val="001F1922"/>
    <w:rsid w:val="001F1ED2"/>
    <w:rsid w:val="001F1EFE"/>
    <w:rsid w:val="001F1FB5"/>
    <w:rsid w:val="001F21ED"/>
    <w:rsid w:val="001F2481"/>
    <w:rsid w:val="001F2531"/>
    <w:rsid w:val="001F2DA5"/>
    <w:rsid w:val="001F2F0A"/>
    <w:rsid w:val="001F35C7"/>
    <w:rsid w:val="001F393E"/>
    <w:rsid w:val="001F40D3"/>
    <w:rsid w:val="001F4300"/>
    <w:rsid w:val="001F47D4"/>
    <w:rsid w:val="001F4A75"/>
    <w:rsid w:val="001F4A8D"/>
    <w:rsid w:val="001F4F7C"/>
    <w:rsid w:val="001F55AB"/>
    <w:rsid w:val="001F5630"/>
    <w:rsid w:val="001F606D"/>
    <w:rsid w:val="001F6103"/>
    <w:rsid w:val="001F62B8"/>
    <w:rsid w:val="001F67FE"/>
    <w:rsid w:val="001F6E6E"/>
    <w:rsid w:val="001F71C0"/>
    <w:rsid w:val="001F7231"/>
    <w:rsid w:val="001F769C"/>
    <w:rsid w:val="001F7882"/>
    <w:rsid w:val="0020057C"/>
    <w:rsid w:val="002007DC"/>
    <w:rsid w:val="00200845"/>
    <w:rsid w:val="00200BA5"/>
    <w:rsid w:val="00200E7B"/>
    <w:rsid w:val="0020109B"/>
    <w:rsid w:val="002015FA"/>
    <w:rsid w:val="00201842"/>
    <w:rsid w:val="00202116"/>
    <w:rsid w:val="00202A02"/>
    <w:rsid w:val="00202B18"/>
    <w:rsid w:val="00202FA8"/>
    <w:rsid w:val="00203034"/>
    <w:rsid w:val="0020310E"/>
    <w:rsid w:val="00203194"/>
    <w:rsid w:val="0020366C"/>
    <w:rsid w:val="00203A7E"/>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04E"/>
    <w:rsid w:val="002120D9"/>
    <w:rsid w:val="002121E5"/>
    <w:rsid w:val="00212E27"/>
    <w:rsid w:val="00212E5B"/>
    <w:rsid w:val="00212EC8"/>
    <w:rsid w:val="00212F28"/>
    <w:rsid w:val="0021337D"/>
    <w:rsid w:val="00213950"/>
    <w:rsid w:val="002139C1"/>
    <w:rsid w:val="00213A09"/>
    <w:rsid w:val="00213DAA"/>
    <w:rsid w:val="00213F44"/>
    <w:rsid w:val="00214CEB"/>
    <w:rsid w:val="00215968"/>
    <w:rsid w:val="00215EDC"/>
    <w:rsid w:val="0021635E"/>
    <w:rsid w:val="00216397"/>
    <w:rsid w:val="002165B3"/>
    <w:rsid w:val="002177D1"/>
    <w:rsid w:val="002178A6"/>
    <w:rsid w:val="00220E05"/>
    <w:rsid w:val="00221073"/>
    <w:rsid w:val="0022112F"/>
    <w:rsid w:val="00221131"/>
    <w:rsid w:val="0022138D"/>
    <w:rsid w:val="0022169B"/>
    <w:rsid w:val="0022172E"/>
    <w:rsid w:val="00221A57"/>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7F0"/>
    <w:rsid w:val="0022585F"/>
    <w:rsid w:val="002258A1"/>
    <w:rsid w:val="00225972"/>
    <w:rsid w:val="00225BFD"/>
    <w:rsid w:val="0022607A"/>
    <w:rsid w:val="002262A7"/>
    <w:rsid w:val="002264B5"/>
    <w:rsid w:val="00226551"/>
    <w:rsid w:val="0022661A"/>
    <w:rsid w:val="00226876"/>
    <w:rsid w:val="0022694F"/>
    <w:rsid w:val="00226BD4"/>
    <w:rsid w:val="00226E4B"/>
    <w:rsid w:val="0022775B"/>
    <w:rsid w:val="002277CF"/>
    <w:rsid w:val="00230148"/>
    <w:rsid w:val="002310F8"/>
    <w:rsid w:val="00231212"/>
    <w:rsid w:val="002312AB"/>
    <w:rsid w:val="002316DB"/>
    <w:rsid w:val="00231879"/>
    <w:rsid w:val="00231986"/>
    <w:rsid w:val="00231C43"/>
    <w:rsid w:val="00232059"/>
    <w:rsid w:val="00232DDD"/>
    <w:rsid w:val="0023332F"/>
    <w:rsid w:val="00233666"/>
    <w:rsid w:val="00233B47"/>
    <w:rsid w:val="00233B52"/>
    <w:rsid w:val="00234056"/>
    <w:rsid w:val="00234404"/>
    <w:rsid w:val="0023481E"/>
    <w:rsid w:val="00235558"/>
    <w:rsid w:val="00235596"/>
    <w:rsid w:val="00235E99"/>
    <w:rsid w:val="00236112"/>
    <w:rsid w:val="00236178"/>
    <w:rsid w:val="00236558"/>
    <w:rsid w:val="0023673E"/>
    <w:rsid w:val="00236F55"/>
    <w:rsid w:val="00237ECB"/>
    <w:rsid w:val="0024032E"/>
    <w:rsid w:val="002405EB"/>
    <w:rsid w:val="0024135F"/>
    <w:rsid w:val="0024189E"/>
    <w:rsid w:val="00242186"/>
    <w:rsid w:val="002421FA"/>
    <w:rsid w:val="00242497"/>
    <w:rsid w:val="002424C9"/>
    <w:rsid w:val="00242E94"/>
    <w:rsid w:val="00242F27"/>
    <w:rsid w:val="00243258"/>
    <w:rsid w:val="002434F0"/>
    <w:rsid w:val="00243F00"/>
    <w:rsid w:val="0024479E"/>
    <w:rsid w:val="002455EF"/>
    <w:rsid w:val="00245C10"/>
    <w:rsid w:val="00245FCA"/>
    <w:rsid w:val="00246413"/>
    <w:rsid w:val="002467A8"/>
    <w:rsid w:val="00246AE5"/>
    <w:rsid w:val="00246D60"/>
    <w:rsid w:val="002472F1"/>
    <w:rsid w:val="002472F2"/>
    <w:rsid w:val="00247C17"/>
    <w:rsid w:val="00247CD4"/>
    <w:rsid w:val="002503EC"/>
    <w:rsid w:val="002508D5"/>
    <w:rsid w:val="00250CF2"/>
    <w:rsid w:val="00251512"/>
    <w:rsid w:val="00251658"/>
    <w:rsid w:val="002517BF"/>
    <w:rsid w:val="00251F77"/>
    <w:rsid w:val="002521AC"/>
    <w:rsid w:val="00253659"/>
    <w:rsid w:val="002537EF"/>
    <w:rsid w:val="00253E63"/>
    <w:rsid w:val="00254F4A"/>
    <w:rsid w:val="002551FE"/>
    <w:rsid w:val="002558F9"/>
    <w:rsid w:val="00255C18"/>
    <w:rsid w:val="00255EA3"/>
    <w:rsid w:val="002563BF"/>
    <w:rsid w:val="0025647B"/>
    <w:rsid w:val="0025720C"/>
    <w:rsid w:val="0025769E"/>
    <w:rsid w:val="00257E49"/>
    <w:rsid w:val="0026062E"/>
    <w:rsid w:val="00260743"/>
    <w:rsid w:val="00260FDB"/>
    <w:rsid w:val="00261690"/>
    <w:rsid w:val="00261991"/>
    <w:rsid w:val="00261C76"/>
    <w:rsid w:val="002621FF"/>
    <w:rsid w:val="0026260A"/>
    <w:rsid w:val="002626CF"/>
    <w:rsid w:val="00262714"/>
    <w:rsid w:val="002635C5"/>
    <w:rsid w:val="002639DB"/>
    <w:rsid w:val="00263C08"/>
    <w:rsid w:val="00263E71"/>
    <w:rsid w:val="002644D6"/>
    <w:rsid w:val="0026468D"/>
    <w:rsid w:val="00264BD6"/>
    <w:rsid w:val="00264CC3"/>
    <w:rsid w:val="00264E13"/>
    <w:rsid w:val="0026549B"/>
    <w:rsid w:val="00265A14"/>
    <w:rsid w:val="00265A93"/>
    <w:rsid w:val="002661F3"/>
    <w:rsid w:val="00266F7D"/>
    <w:rsid w:val="00267252"/>
    <w:rsid w:val="002674B3"/>
    <w:rsid w:val="002677F5"/>
    <w:rsid w:val="00267C23"/>
    <w:rsid w:val="00267CEE"/>
    <w:rsid w:val="00267E9B"/>
    <w:rsid w:val="002710E1"/>
    <w:rsid w:val="00271629"/>
    <w:rsid w:val="00271718"/>
    <w:rsid w:val="00271C2C"/>
    <w:rsid w:val="002722F5"/>
    <w:rsid w:val="00272474"/>
    <w:rsid w:val="002724A6"/>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349"/>
    <w:rsid w:val="002774CC"/>
    <w:rsid w:val="00277947"/>
    <w:rsid w:val="00277DE1"/>
    <w:rsid w:val="0028029C"/>
    <w:rsid w:val="0028055F"/>
    <w:rsid w:val="00280E3D"/>
    <w:rsid w:val="00281A32"/>
    <w:rsid w:val="00281DBD"/>
    <w:rsid w:val="0028268A"/>
    <w:rsid w:val="00282AB8"/>
    <w:rsid w:val="00282FB0"/>
    <w:rsid w:val="0028354B"/>
    <w:rsid w:val="00283963"/>
    <w:rsid w:val="00283CFF"/>
    <w:rsid w:val="00283D98"/>
    <w:rsid w:val="00284047"/>
    <w:rsid w:val="0028411F"/>
    <w:rsid w:val="00284300"/>
    <w:rsid w:val="002844DF"/>
    <w:rsid w:val="002846B2"/>
    <w:rsid w:val="002849CC"/>
    <w:rsid w:val="00284A10"/>
    <w:rsid w:val="00284CBE"/>
    <w:rsid w:val="00284DC8"/>
    <w:rsid w:val="002854FD"/>
    <w:rsid w:val="0028552C"/>
    <w:rsid w:val="002856DE"/>
    <w:rsid w:val="00285D31"/>
    <w:rsid w:val="00285DD5"/>
    <w:rsid w:val="00286094"/>
    <w:rsid w:val="002864F6"/>
    <w:rsid w:val="002865CA"/>
    <w:rsid w:val="002871B1"/>
    <w:rsid w:val="002874D4"/>
    <w:rsid w:val="00287771"/>
    <w:rsid w:val="002917ED"/>
    <w:rsid w:val="00291E23"/>
    <w:rsid w:val="002924F9"/>
    <w:rsid w:val="00292710"/>
    <w:rsid w:val="00293570"/>
    <w:rsid w:val="00293778"/>
    <w:rsid w:val="0029383A"/>
    <w:rsid w:val="00293C2E"/>
    <w:rsid w:val="00293F6D"/>
    <w:rsid w:val="002940CE"/>
    <w:rsid w:val="002942C3"/>
    <w:rsid w:val="0029478D"/>
    <w:rsid w:val="00294BA7"/>
    <w:rsid w:val="00294EEE"/>
    <w:rsid w:val="00295345"/>
    <w:rsid w:val="00295E7B"/>
    <w:rsid w:val="0029647B"/>
    <w:rsid w:val="002970D6"/>
    <w:rsid w:val="0029785A"/>
    <w:rsid w:val="00297D58"/>
    <w:rsid w:val="00297E89"/>
    <w:rsid w:val="002A0E3E"/>
    <w:rsid w:val="002A1115"/>
    <w:rsid w:val="002A1369"/>
    <w:rsid w:val="002A18BB"/>
    <w:rsid w:val="002A1C9B"/>
    <w:rsid w:val="002A1EE1"/>
    <w:rsid w:val="002A24D7"/>
    <w:rsid w:val="002A2A34"/>
    <w:rsid w:val="002A2BC1"/>
    <w:rsid w:val="002A374C"/>
    <w:rsid w:val="002A4342"/>
    <w:rsid w:val="002A4478"/>
    <w:rsid w:val="002A503A"/>
    <w:rsid w:val="002A5150"/>
    <w:rsid w:val="002A5247"/>
    <w:rsid w:val="002A549B"/>
    <w:rsid w:val="002A5DE0"/>
    <w:rsid w:val="002A62EC"/>
    <w:rsid w:val="002A63A4"/>
    <w:rsid w:val="002A63B9"/>
    <w:rsid w:val="002A71A6"/>
    <w:rsid w:val="002A738D"/>
    <w:rsid w:val="002A7607"/>
    <w:rsid w:val="002A7805"/>
    <w:rsid w:val="002B00B3"/>
    <w:rsid w:val="002B12C0"/>
    <w:rsid w:val="002B1F76"/>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5FA"/>
    <w:rsid w:val="002B67B1"/>
    <w:rsid w:val="002B767A"/>
    <w:rsid w:val="002B7ED7"/>
    <w:rsid w:val="002B7F0F"/>
    <w:rsid w:val="002C02C3"/>
    <w:rsid w:val="002C0883"/>
    <w:rsid w:val="002C0BDD"/>
    <w:rsid w:val="002C0F91"/>
    <w:rsid w:val="002C1958"/>
    <w:rsid w:val="002C1AAB"/>
    <w:rsid w:val="002C28AC"/>
    <w:rsid w:val="002C2E4F"/>
    <w:rsid w:val="002C3030"/>
    <w:rsid w:val="002C32BD"/>
    <w:rsid w:val="002C3789"/>
    <w:rsid w:val="002C3B05"/>
    <w:rsid w:val="002C3EBC"/>
    <w:rsid w:val="002C4330"/>
    <w:rsid w:val="002C45EB"/>
    <w:rsid w:val="002C4A53"/>
    <w:rsid w:val="002C4C83"/>
    <w:rsid w:val="002C4CDB"/>
    <w:rsid w:val="002C4E7C"/>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63"/>
    <w:rsid w:val="002E11F2"/>
    <w:rsid w:val="002E188B"/>
    <w:rsid w:val="002E263B"/>
    <w:rsid w:val="002E2A4A"/>
    <w:rsid w:val="002E2F17"/>
    <w:rsid w:val="002E3217"/>
    <w:rsid w:val="002E340F"/>
    <w:rsid w:val="002E35B2"/>
    <w:rsid w:val="002E3612"/>
    <w:rsid w:val="002E37E7"/>
    <w:rsid w:val="002E3D38"/>
    <w:rsid w:val="002E3FC2"/>
    <w:rsid w:val="002E4267"/>
    <w:rsid w:val="002E4DE1"/>
    <w:rsid w:val="002E4EDE"/>
    <w:rsid w:val="002E51B0"/>
    <w:rsid w:val="002E550A"/>
    <w:rsid w:val="002E557E"/>
    <w:rsid w:val="002E56DE"/>
    <w:rsid w:val="002E641C"/>
    <w:rsid w:val="002E654D"/>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D4C"/>
    <w:rsid w:val="002F7164"/>
    <w:rsid w:val="002F79D0"/>
    <w:rsid w:val="0030020B"/>
    <w:rsid w:val="00300599"/>
    <w:rsid w:val="003008E3"/>
    <w:rsid w:val="00300A76"/>
    <w:rsid w:val="00300B6E"/>
    <w:rsid w:val="00301549"/>
    <w:rsid w:val="00301862"/>
    <w:rsid w:val="00301DCB"/>
    <w:rsid w:val="00301F56"/>
    <w:rsid w:val="00302443"/>
    <w:rsid w:val="0030320F"/>
    <w:rsid w:val="003038BA"/>
    <w:rsid w:val="00303E1B"/>
    <w:rsid w:val="00303F82"/>
    <w:rsid w:val="0030434B"/>
    <w:rsid w:val="00304396"/>
    <w:rsid w:val="00304651"/>
    <w:rsid w:val="00304C58"/>
    <w:rsid w:val="00304E72"/>
    <w:rsid w:val="003055A9"/>
    <w:rsid w:val="00305885"/>
    <w:rsid w:val="00305EFB"/>
    <w:rsid w:val="0030603C"/>
    <w:rsid w:val="00306353"/>
    <w:rsid w:val="003067C0"/>
    <w:rsid w:val="00306894"/>
    <w:rsid w:val="00306B3E"/>
    <w:rsid w:val="003077B7"/>
    <w:rsid w:val="00307913"/>
    <w:rsid w:val="0030797D"/>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1CD5"/>
    <w:rsid w:val="0032205E"/>
    <w:rsid w:val="003220F0"/>
    <w:rsid w:val="00322300"/>
    <w:rsid w:val="003223AF"/>
    <w:rsid w:val="003224B8"/>
    <w:rsid w:val="00322F1A"/>
    <w:rsid w:val="00323A7F"/>
    <w:rsid w:val="00324249"/>
    <w:rsid w:val="003242F6"/>
    <w:rsid w:val="00324626"/>
    <w:rsid w:val="0032505F"/>
    <w:rsid w:val="00325496"/>
    <w:rsid w:val="003259FC"/>
    <w:rsid w:val="00325AC5"/>
    <w:rsid w:val="00325BF1"/>
    <w:rsid w:val="0032620B"/>
    <w:rsid w:val="00326533"/>
    <w:rsid w:val="0032699B"/>
    <w:rsid w:val="00326D9E"/>
    <w:rsid w:val="00326DEC"/>
    <w:rsid w:val="00326E97"/>
    <w:rsid w:val="00327084"/>
    <w:rsid w:val="003270DC"/>
    <w:rsid w:val="00327558"/>
    <w:rsid w:val="003275A8"/>
    <w:rsid w:val="00327CA7"/>
    <w:rsid w:val="00330B54"/>
    <w:rsid w:val="00330F4E"/>
    <w:rsid w:val="003316FA"/>
    <w:rsid w:val="0033171E"/>
    <w:rsid w:val="003319F7"/>
    <w:rsid w:val="00331C1A"/>
    <w:rsid w:val="00332021"/>
    <w:rsid w:val="00332EAE"/>
    <w:rsid w:val="00332F16"/>
    <w:rsid w:val="00334253"/>
    <w:rsid w:val="00334395"/>
    <w:rsid w:val="00334E75"/>
    <w:rsid w:val="00334E7F"/>
    <w:rsid w:val="00335689"/>
    <w:rsid w:val="00335D84"/>
    <w:rsid w:val="00335F65"/>
    <w:rsid w:val="00335FB5"/>
    <w:rsid w:val="0033675B"/>
    <w:rsid w:val="003367EA"/>
    <w:rsid w:val="0034005C"/>
    <w:rsid w:val="003402C0"/>
    <w:rsid w:val="00340456"/>
    <w:rsid w:val="0034062B"/>
    <w:rsid w:val="003416BB"/>
    <w:rsid w:val="00341703"/>
    <w:rsid w:val="003426E8"/>
    <w:rsid w:val="00342DCC"/>
    <w:rsid w:val="003434FE"/>
    <w:rsid w:val="003437B1"/>
    <w:rsid w:val="00343C7A"/>
    <w:rsid w:val="00344648"/>
    <w:rsid w:val="00344799"/>
    <w:rsid w:val="003448E7"/>
    <w:rsid w:val="00344D5C"/>
    <w:rsid w:val="003451D4"/>
    <w:rsid w:val="00345600"/>
    <w:rsid w:val="00345735"/>
    <w:rsid w:val="00345B5B"/>
    <w:rsid w:val="003462E0"/>
    <w:rsid w:val="0034694F"/>
    <w:rsid w:val="003469CB"/>
    <w:rsid w:val="0034738F"/>
    <w:rsid w:val="003474DF"/>
    <w:rsid w:val="003475AF"/>
    <w:rsid w:val="00347F40"/>
    <w:rsid w:val="00350494"/>
    <w:rsid w:val="0035062F"/>
    <w:rsid w:val="00350A6A"/>
    <w:rsid w:val="00350D6B"/>
    <w:rsid w:val="003513F1"/>
    <w:rsid w:val="00351690"/>
    <w:rsid w:val="00351F47"/>
    <w:rsid w:val="003528A4"/>
    <w:rsid w:val="003529DD"/>
    <w:rsid w:val="00352B59"/>
    <w:rsid w:val="003536C8"/>
    <w:rsid w:val="00353932"/>
    <w:rsid w:val="00353EC0"/>
    <w:rsid w:val="00353FD5"/>
    <w:rsid w:val="00353FFF"/>
    <w:rsid w:val="0035406B"/>
    <w:rsid w:val="00354128"/>
    <w:rsid w:val="003545C2"/>
    <w:rsid w:val="003546B0"/>
    <w:rsid w:val="00354EBC"/>
    <w:rsid w:val="003550D9"/>
    <w:rsid w:val="00355656"/>
    <w:rsid w:val="0035592C"/>
    <w:rsid w:val="00355BE5"/>
    <w:rsid w:val="00356095"/>
    <w:rsid w:val="003563D4"/>
    <w:rsid w:val="00356428"/>
    <w:rsid w:val="003565F4"/>
    <w:rsid w:val="00356634"/>
    <w:rsid w:val="00356E44"/>
    <w:rsid w:val="003571C0"/>
    <w:rsid w:val="0035764C"/>
    <w:rsid w:val="003577C2"/>
    <w:rsid w:val="00357AC9"/>
    <w:rsid w:val="00357BC1"/>
    <w:rsid w:val="00357C3D"/>
    <w:rsid w:val="00357C99"/>
    <w:rsid w:val="00360105"/>
    <w:rsid w:val="00361515"/>
    <w:rsid w:val="00361606"/>
    <w:rsid w:val="00361BD7"/>
    <w:rsid w:val="0036236C"/>
    <w:rsid w:val="00363373"/>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1A"/>
    <w:rsid w:val="00370561"/>
    <w:rsid w:val="003706F6"/>
    <w:rsid w:val="0037073A"/>
    <w:rsid w:val="00370F1B"/>
    <w:rsid w:val="00371227"/>
    <w:rsid w:val="0037130E"/>
    <w:rsid w:val="003713A8"/>
    <w:rsid w:val="0037191E"/>
    <w:rsid w:val="00371A4A"/>
    <w:rsid w:val="00371D19"/>
    <w:rsid w:val="00372590"/>
    <w:rsid w:val="00372819"/>
    <w:rsid w:val="0037364D"/>
    <w:rsid w:val="00373877"/>
    <w:rsid w:val="003738AD"/>
    <w:rsid w:val="00373EB5"/>
    <w:rsid w:val="00374192"/>
    <w:rsid w:val="003741DE"/>
    <w:rsid w:val="003745D6"/>
    <w:rsid w:val="003747A4"/>
    <w:rsid w:val="00374958"/>
    <w:rsid w:val="003749A3"/>
    <w:rsid w:val="00374D22"/>
    <w:rsid w:val="00374E0D"/>
    <w:rsid w:val="0037520A"/>
    <w:rsid w:val="0037543B"/>
    <w:rsid w:val="00375480"/>
    <w:rsid w:val="003761FF"/>
    <w:rsid w:val="00376A45"/>
    <w:rsid w:val="00376B11"/>
    <w:rsid w:val="00376C0F"/>
    <w:rsid w:val="00377274"/>
    <w:rsid w:val="00377308"/>
    <w:rsid w:val="003773B6"/>
    <w:rsid w:val="003777E7"/>
    <w:rsid w:val="00377A4F"/>
    <w:rsid w:val="00377BE6"/>
    <w:rsid w:val="00377DDE"/>
    <w:rsid w:val="00377F40"/>
    <w:rsid w:val="003800A7"/>
    <w:rsid w:val="0038062A"/>
    <w:rsid w:val="0038109C"/>
    <w:rsid w:val="00381117"/>
    <w:rsid w:val="0038118B"/>
    <w:rsid w:val="00381B89"/>
    <w:rsid w:val="00381E63"/>
    <w:rsid w:val="00382316"/>
    <w:rsid w:val="0038251B"/>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1D"/>
    <w:rsid w:val="00386F2E"/>
    <w:rsid w:val="0038792F"/>
    <w:rsid w:val="00387A3F"/>
    <w:rsid w:val="003903EC"/>
    <w:rsid w:val="00390A81"/>
    <w:rsid w:val="00390CB5"/>
    <w:rsid w:val="00390ED1"/>
    <w:rsid w:val="00390EE5"/>
    <w:rsid w:val="00391133"/>
    <w:rsid w:val="00391DBF"/>
    <w:rsid w:val="00392D2C"/>
    <w:rsid w:val="00392D98"/>
    <w:rsid w:val="00392FD6"/>
    <w:rsid w:val="0039351D"/>
    <w:rsid w:val="003939DC"/>
    <w:rsid w:val="00393AF1"/>
    <w:rsid w:val="00393D3E"/>
    <w:rsid w:val="00393E66"/>
    <w:rsid w:val="00393F29"/>
    <w:rsid w:val="00394075"/>
    <w:rsid w:val="003946E1"/>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670"/>
    <w:rsid w:val="003A3B92"/>
    <w:rsid w:val="003A40EB"/>
    <w:rsid w:val="003A476D"/>
    <w:rsid w:val="003A554E"/>
    <w:rsid w:val="003A56B0"/>
    <w:rsid w:val="003A5DE8"/>
    <w:rsid w:val="003A60F9"/>
    <w:rsid w:val="003A6F7F"/>
    <w:rsid w:val="003A7336"/>
    <w:rsid w:val="003A797F"/>
    <w:rsid w:val="003B00D8"/>
    <w:rsid w:val="003B059E"/>
    <w:rsid w:val="003B15BC"/>
    <w:rsid w:val="003B1716"/>
    <w:rsid w:val="003B17FB"/>
    <w:rsid w:val="003B1B6B"/>
    <w:rsid w:val="003B24B7"/>
    <w:rsid w:val="003B26AE"/>
    <w:rsid w:val="003B2E9F"/>
    <w:rsid w:val="003B3525"/>
    <w:rsid w:val="003B359D"/>
    <w:rsid w:val="003B3603"/>
    <w:rsid w:val="003B392D"/>
    <w:rsid w:val="003B3C32"/>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3EDD"/>
    <w:rsid w:val="003C45D3"/>
    <w:rsid w:val="003C512A"/>
    <w:rsid w:val="003C5148"/>
    <w:rsid w:val="003C5567"/>
    <w:rsid w:val="003C581F"/>
    <w:rsid w:val="003C5917"/>
    <w:rsid w:val="003C6013"/>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462"/>
    <w:rsid w:val="003D568A"/>
    <w:rsid w:val="003D597F"/>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B65"/>
    <w:rsid w:val="003E2C3D"/>
    <w:rsid w:val="003E2D4A"/>
    <w:rsid w:val="003E3932"/>
    <w:rsid w:val="003E3940"/>
    <w:rsid w:val="003E40B2"/>
    <w:rsid w:val="003E4324"/>
    <w:rsid w:val="003E4875"/>
    <w:rsid w:val="003E4A53"/>
    <w:rsid w:val="003E4C42"/>
    <w:rsid w:val="003E4CBD"/>
    <w:rsid w:val="003E5923"/>
    <w:rsid w:val="003E68B3"/>
    <w:rsid w:val="003F0959"/>
    <w:rsid w:val="003F17F2"/>
    <w:rsid w:val="003F2021"/>
    <w:rsid w:val="003F279F"/>
    <w:rsid w:val="003F2B9E"/>
    <w:rsid w:val="003F31CD"/>
    <w:rsid w:val="003F3229"/>
    <w:rsid w:val="003F3A3A"/>
    <w:rsid w:val="003F3ACD"/>
    <w:rsid w:val="003F41D8"/>
    <w:rsid w:val="003F422E"/>
    <w:rsid w:val="003F44C7"/>
    <w:rsid w:val="003F4B8B"/>
    <w:rsid w:val="003F5338"/>
    <w:rsid w:val="003F53C9"/>
    <w:rsid w:val="003F59D5"/>
    <w:rsid w:val="003F616A"/>
    <w:rsid w:val="003F62C8"/>
    <w:rsid w:val="003F6388"/>
    <w:rsid w:val="003F65A1"/>
    <w:rsid w:val="003F6D0C"/>
    <w:rsid w:val="003F703E"/>
    <w:rsid w:val="003F7A57"/>
    <w:rsid w:val="003F7DC4"/>
    <w:rsid w:val="00400819"/>
    <w:rsid w:val="0040103D"/>
    <w:rsid w:val="004011B9"/>
    <w:rsid w:val="00401201"/>
    <w:rsid w:val="00401231"/>
    <w:rsid w:val="00401476"/>
    <w:rsid w:val="004016C6"/>
    <w:rsid w:val="00401B30"/>
    <w:rsid w:val="00401BB8"/>
    <w:rsid w:val="00401C87"/>
    <w:rsid w:val="0040246D"/>
    <w:rsid w:val="004027DD"/>
    <w:rsid w:val="00403353"/>
    <w:rsid w:val="00403E62"/>
    <w:rsid w:val="004041F4"/>
    <w:rsid w:val="00404715"/>
    <w:rsid w:val="004049E2"/>
    <w:rsid w:val="00404C16"/>
    <w:rsid w:val="00404E8B"/>
    <w:rsid w:val="00405A46"/>
    <w:rsid w:val="00405EA2"/>
    <w:rsid w:val="00405FEE"/>
    <w:rsid w:val="004064A2"/>
    <w:rsid w:val="00406772"/>
    <w:rsid w:val="00406822"/>
    <w:rsid w:val="004074AC"/>
    <w:rsid w:val="00407C47"/>
    <w:rsid w:val="00410082"/>
    <w:rsid w:val="00410272"/>
    <w:rsid w:val="004108B2"/>
    <w:rsid w:val="00410D97"/>
    <w:rsid w:val="00412653"/>
    <w:rsid w:val="00412DE0"/>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274"/>
    <w:rsid w:val="00420D6D"/>
    <w:rsid w:val="00421263"/>
    <w:rsid w:val="0042140A"/>
    <w:rsid w:val="0042179D"/>
    <w:rsid w:val="00422427"/>
    <w:rsid w:val="0042284E"/>
    <w:rsid w:val="00422900"/>
    <w:rsid w:val="0042298D"/>
    <w:rsid w:val="00423176"/>
    <w:rsid w:val="00423900"/>
    <w:rsid w:val="00423BCF"/>
    <w:rsid w:val="00424048"/>
    <w:rsid w:val="004241AD"/>
    <w:rsid w:val="00424577"/>
    <w:rsid w:val="00424C98"/>
    <w:rsid w:val="00424DAB"/>
    <w:rsid w:val="00424EE2"/>
    <w:rsid w:val="00424F4E"/>
    <w:rsid w:val="00424F56"/>
    <w:rsid w:val="004251E8"/>
    <w:rsid w:val="0042538E"/>
    <w:rsid w:val="00425581"/>
    <w:rsid w:val="004255E3"/>
    <w:rsid w:val="00425752"/>
    <w:rsid w:val="0042576C"/>
    <w:rsid w:val="00425DF5"/>
    <w:rsid w:val="00426439"/>
    <w:rsid w:val="00426B6D"/>
    <w:rsid w:val="00427A27"/>
    <w:rsid w:val="00427A98"/>
    <w:rsid w:val="00430260"/>
    <w:rsid w:val="004302A6"/>
    <w:rsid w:val="004302EF"/>
    <w:rsid w:val="004305B2"/>
    <w:rsid w:val="00430AD7"/>
    <w:rsid w:val="00430C8D"/>
    <w:rsid w:val="00430F7F"/>
    <w:rsid w:val="00431993"/>
    <w:rsid w:val="00431ADE"/>
    <w:rsid w:val="00431B1E"/>
    <w:rsid w:val="00431D8B"/>
    <w:rsid w:val="00432366"/>
    <w:rsid w:val="004324DF"/>
    <w:rsid w:val="00432D0B"/>
    <w:rsid w:val="00432FFF"/>
    <w:rsid w:val="0043316B"/>
    <w:rsid w:val="00433224"/>
    <w:rsid w:val="004339D7"/>
    <w:rsid w:val="00433E95"/>
    <w:rsid w:val="00433F30"/>
    <w:rsid w:val="00434ADE"/>
    <w:rsid w:val="00435A76"/>
    <w:rsid w:val="00436576"/>
    <w:rsid w:val="00436679"/>
    <w:rsid w:val="0043684E"/>
    <w:rsid w:val="0043710F"/>
    <w:rsid w:val="00437690"/>
    <w:rsid w:val="00437BE8"/>
    <w:rsid w:val="00440710"/>
    <w:rsid w:val="00440AAE"/>
    <w:rsid w:val="00440AB4"/>
    <w:rsid w:val="00441B23"/>
    <w:rsid w:val="00442C1B"/>
    <w:rsid w:val="00442C75"/>
    <w:rsid w:val="00442DC6"/>
    <w:rsid w:val="00443794"/>
    <w:rsid w:val="00443917"/>
    <w:rsid w:val="00444410"/>
    <w:rsid w:val="00444742"/>
    <w:rsid w:val="00444798"/>
    <w:rsid w:val="00444EAD"/>
    <w:rsid w:val="00445147"/>
    <w:rsid w:val="0044519C"/>
    <w:rsid w:val="004452D3"/>
    <w:rsid w:val="004453CC"/>
    <w:rsid w:val="00445777"/>
    <w:rsid w:val="004460E6"/>
    <w:rsid w:val="00446921"/>
    <w:rsid w:val="004469D9"/>
    <w:rsid w:val="00446F84"/>
    <w:rsid w:val="004472F0"/>
    <w:rsid w:val="00447C7D"/>
    <w:rsid w:val="00447FBA"/>
    <w:rsid w:val="00450109"/>
    <w:rsid w:val="00450725"/>
    <w:rsid w:val="0045074D"/>
    <w:rsid w:val="00450889"/>
    <w:rsid w:val="00450B18"/>
    <w:rsid w:val="0045102A"/>
    <w:rsid w:val="00451124"/>
    <w:rsid w:val="00451D97"/>
    <w:rsid w:val="00451ED3"/>
    <w:rsid w:val="0045242D"/>
    <w:rsid w:val="004525E1"/>
    <w:rsid w:val="0045294C"/>
    <w:rsid w:val="00452AEC"/>
    <w:rsid w:val="004530B7"/>
    <w:rsid w:val="0045313D"/>
    <w:rsid w:val="0045325D"/>
    <w:rsid w:val="00453563"/>
    <w:rsid w:val="00453ECF"/>
    <w:rsid w:val="0045420E"/>
    <w:rsid w:val="0045467F"/>
    <w:rsid w:val="0045549A"/>
    <w:rsid w:val="00455550"/>
    <w:rsid w:val="00455845"/>
    <w:rsid w:val="00455BC8"/>
    <w:rsid w:val="00455C06"/>
    <w:rsid w:val="00455C87"/>
    <w:rsid w:val="00456400"/>
    <w:rsid w:val="004565A0"/>
    <w:rsid w:val="0045671D"/>
    <w:rsid w:val="00456A7A"/>
    <w:rsid w:val="00456F91"/>
    <w:rsid w:val="00457587"/>
    <w:rsid w:val="00457712"/>
    <w:rsid w:val="00457C1E"/>
    <w:rsid w:val="00457D18"/>
    <w:rsid w:val="00460047"/>
    <w:rsid w:val="0046028C"/>
    <w:rsid w:val="004602F2"/>
    <w:rsid w:val="00460660"/>
    <w:rsid w:val="004608AF"/>
    <w:rsid w:val="00460CEF"/>
    <w:rsid w:val="00460D51"/>
    <w:rsid w:val="00460D53"/>
    <w:rsid w:val="00460D7B"/>
    <w:rsid w:val="00460E55"/>
    <w:rsid w:val="00461766"/>
    <w:rsid w:val="004623E3"/>
    <w:rsid w:val="004626D4"/>
    <w:rsid w:val="0046274E"/>
    <w:rsid w:val="0046291B"/>
    <w:rsid w:val="00462B5A"/>
    <w:rsid w:val="00462FAD"/>
    <w:rsid w:val="004630FD"/>
    <w:rsid w:val="004639CD"/>
    <w:rsid w:val="00463F32"/>
    <w:rsid w:val="004647AB"/>
    <w:rsid w:val="00464FB6"/>
    <w:rsid w:val="00465620"/>
    <w:rsid w:val="00465677"/>
    <w:rsid w:val="0046572D"/>
    <w:rsid w:val="004662A2"/>
    <w:rsid w:val="004664B7"/>
    <w:rsid w:val="004668AB"/>
    <w:rsid w:val="00466F25"/>
    <w:rsid w:val="004670D0"/>
    <w:rsid w:val="004671B4"/>
    <w:rsid w:val="0046724B"/>
    <w:rsid w:val="00467CD7"/>
    <w:rsid w:val="00467FA2"/>
    <w:rsid w:val="0047023D"/>
    <w:rsid w:val="00471274"/>
    <w:rsid w:val="00471337"/>
    <w:rsid w:val="00471440"/>
    <w:rsid w:val="0047190C"/>
    <w:rsid w:val="00471BB8"/>
    <w:rsid w:val="00472325"/>
    <w:rsid w:val="00472562"/>
    <w:rsid w:val="004732A9"/>
    <w:rsid w:val="0047389A"/>
    <w:rsid w:val="004739FE"/>
    <w:rsid w:val="00473AD1"/>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7F3"/>
    <w:rsid w:val="00480A9A"/>
    <w:rsid w:val="004815A1"/>
    <w:rsid w:val="00481660"/>
    <w:rsid w:val="00481899"/>
    <w:rsid w:val="0048191D"/>
    <w:rsid w:val="00481D73"/>
    <w:rsid w:val="004822F0"/>
    <w:rsid w:val="004823B4"/>
    <w:rsid w:val="00482466"/>
    <w:rsid w:val="004825B3"/>
    <w:rsid w:val="00482697"/>
    <w:rsid w:val="004830D3"/>
    <w:rsid w:val="0048338C"/>
    <w:rsid w:val="00484E30"/>
    <w:rsid w:val="00484F35"/>
    <w:rsid w:val="00485B1F"/>
    <w:rsid w:val="004863E0"/>
    <w:rsid w:val="00486632"/>
    <w:rsid w:val="00486794"/>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AF"/>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249"/>
    <w:rsid w:val="004A1A72"/>
    <w:rsid w:val="004A1EFB"/>
    <w:rsid w:val="004A1F50"/>
    <w:rsid w:val="004A2A02"/>
    <w:rsid w:val="004A2D47"/>
    <w:rsid w:val="004A349E"/>
    <w:rsid w:val="004A3C82"/>
    <w:rsid w:val="004A3D6C"/>
    <w:rsid w:val="004A3D8E"/>
    <w:rsid w:val="004A3E2D"/>
    <w:rsid w:val="004A441F"/>
    <w:rsid w:val="004A4909"/>
    <w:rsid w:val="004A4C58"/>
    <w:rsid w:val="004A54BD"/>
    <w:rsid w:val="004A66B0"/>
    <w:rsid w:val="004A6CE0"/>
    <w:rsid w:val="004A6D9C"/>
    <w:rsid w:val="004A70A3"/>
    <w:rsid w:val="004A721D"/>
    <w:rsid w:val="004A7A53"/>
    <w:rsid w:val="004B0AD6"/>
    <w:rsid w:val="004B0F93"/>
    <w:rsid w:val="004B1AC0"/>
    <w:rsid w:val="004B1BDD"/>
    <w:rsid w:val="004B1C15"/>
    <w:rsid w:val="004B1E8A"/>
    <w:rsid w:val="004B2272"/>
    <w:rsid w:val="004B24DD"/>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17"/>
    <w:rsid w:val="004C3648"/>
    <w:rsid w:val="004C3A7D"/>
    <w:rsid w:val="004C4985"/>
    <w:rsid w:val="004C52E6"/>
    <w:rsid w:val="004C5612"/>
    <w:rsid w:val="004C5729"/>
    <w:rsid w:val="004C57B7"/>
    <w:rsid w:val="004C5A8C"/>
    <w:rsid w:val="004C5AE4"/>
    <w:rsid w:val="004C60F1"/>
    <w:rsid w:val="004C613A"/>
    <w:rsid w:val="004C61BB"/>
    <w:rsid w:val="004C682A"/>
    <w:rsid w:val="004C6A73"/>
    <w:rsid w:val="004C6B7A"/>
    <w:rsid w:val="004C76CA"/>
    <w:rsid w:val="004C79D7"/>
    <w:rsid w:val="004D0492"/>
    <w:rsid w:val="004D0C4D"/>
    <w:rsid w:val="004D0D8A"/>
    <w:rsid w:val="004D1330"/>
    <w:rsid w:val="004D13EE"/>
    <w:rsid w:val="004D1992"/>
    <w:rsid w:val="004D1A5E"/>
    <w:rsid w:val="004D2067"/>
    <w:rsid w:val="004D20D9"/>
    <w:rsid w:val="004D227F"/>
    <w:rsid w:val="004D23D4"/>
    <w:rsid w:val="004D25B0"/>
    <w:rsid w:val="004D25B9"/>
    <w:rsid w:val="004D2A5B"/>
    <w:rsid w:val="004D2E9D"/>
    <w:rsid w:val="004D32A7"/>
    <w:rsid w:val="004D3913"/>
    <w:rsid w:val="004D3B52"/>
    <w:rsid w:val="004D3C26"/>
    <w:rsid w:val="004D3C42"/>
    <w:rsid w:val="004D3E8B"/>
    <w:rsid w:val="004D3F58"/>
    <w:rsid w:val="004D4536"/>
    <w:rsid w:val="004D45CD"/>
    <w:rsid w:val="004D4627"/>
    <w:rsid w:val="004D5692"/>
    <w:rsid w:val="004D6353"/>
    <w:rsid w:val="004D6F88"/>
    <w:rsid w:val="004D7799"/>
    <w:rsid w:val="004D7AD2"/>
    <w:rsid w:val="004E0401"/>
    <w:rsid w:val="004E0D93"/>
    <w:rsid w:val="004E0E35"/>
    <w:rsid w:val="004E0E41"/>
    <w:rsid w:val="004E1943"/>
    <w:rsid w:val="004E22C6"/>
    <w:rsid w:val="004E243D"/>
    <w:rsid w:val="004E24D5"/>
    <w:rsid w:val="004E2573"/>
    <w:rsid w:val="004E26DB"/>
    <w:rsid w:val="004E281D"/>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08D"/>
    <w:rsid w:val="004E5792"/>
    <w:rsid w:val="004E5E88"/>
    <w:rsid w:val="004E61C1"/>
    <w:rsid w:val="004E6228"/>
    <w:rsid w:val="004E683D"/>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10C"/>
    <w:rsid w:val="004F4772"/>
    <w:rsid w:val="004F49C0"/>
    <w:rsid w:val="004F4AB3"/>
    <w:rsid w:val="004F5ADA"/>
    <w:rsid w:val="004F5E06"/>
    <w:rsid w:val="004F63C8"/>
    <w:rsid w:val="004F6F75"/>
    <w:rsid w:val="004F70CE"/>
    <w:rsid w:val="004F72C7"/>
    <w:rsid w:val="00500736"/>
    <w:rsid w:val="00500786"/>
    <w:rsid w:val="00500CE2"/>
    <w:rsid w:val="00501344"/>
    <w:rsid w:val="00501D7A"/>
    <w:rsid w:val="00502B79"/>
    <w:rsid w:val="00502DD5"/>
    <w:rsid w:val="00503316"/>
    <w:rsid w:val="00503A04"/>
    <w:rsid w:val="005048E5"/>
    <w:rsid w:val="005052B5"/>
    <w:rsid w:val="00505F80"/>
    <w:rsid w:val="005060A9"/>
    <w:rsid w:val="005061F6"/>
    <w:rsid w:val="00506384"/>
    <w:rsid w:val="00506809"/>
    <w:rsid w:val="00506AE4"/>
    <w:rsid w:val="005071CC"/>
    <w:rsid w:val="0050770E"/>
    <w:rsid w:val="0051058E"/>
    <w:rsid w:val="00510778"/>
    <w:rsid w:val="00510C4D"/>
    <w:rsid w:val="00511015"/>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DF9"/>
    <w:rsid w:val="00516EA4"/>
    <w:rsid w:val="00516F98"/>
    <w:rsid w:val="00517447"/>
    <w:rsid w:val="00517694"/>
    <w:rsid w:val="005179F3"/>
    <w:rsid w:val="00517C79"/>
    <w:rsid w:val="00517FFC"/>
    <w:rsid w:val="005200C9"/>
    <w:rsid w:val="005204CD"/>
    <w:rsid w:val="005204F9"/>
    <w:rsid w:val="00520892"/>
    <w:rsid w:val="00520B60"/>
    <w:rsid w:val="00520B77"/>
    <w:rsid w:val="00520BEA"/>
    <w:rsid w:val="00521A96"/>
    <w:rsid w:val="005221E4"/>
    <w:rsid w:val="0052302A"/>
    <w:rsid w:val="005237DD"/>
    <w:rsid w:val="0052391C"/>
    <w:rsid w:val="00523A6A"/>
    <w:rsid w:val="005240A5"/>
    <w:rsid w:val="005247B3"/>
    <w:rsid w:val="005248F8"/>
    <w:rsid w:val="0052526D"/>
    <w:rsid w:val="0052564B"/>
    <w:rsid w:val="005257B0"/>
    <w:rsid w:val="00525A8D"/>
    <w:rsid w:val="00525BB0"/>
    <w:rsid w:val="00525D3F"/>
    <w:rsid w:val="00525DDE"/>
    <w:rsid w:val="005263DB"/>
    <w:rsid w:val="00526BF8"/>
    <w:rsid w:val="00527B42"/>
    <w:rsid w:val="00530B0E"/>
    <w:rsid w:val="00530D12"/>
    <w:rsid w:val="005314A3"/>
    <w:rsid w:val="00531949"/>
    <w:rsid w:val="0053196D"/>
    <w:rsid w:val="00531BC6"/>
    <w:rsid w:val="00531BC9"/>
    <w:rsid w:val="00531C73"/>
    <w:rsid w:val="005321E7"/>
    <w:rsid w:val="0053243C"/>
    <w:rsid w:val="005324F0"/>
    <w:rsid w:val="005329D0"/>
    <w:rsid w:val="0053312F"/>
    <w:rsid w:val="00533FD2"/>
    <w:rsid w:val="00534512"/>
    <w:rsid w:val="00534671"/>
    <w:rsid w:val="00534F54"/>
    <w:rsid w:val="00535207"/>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216"/>
    <w:rsid w:val="00542340"/>
    <w:rsid w:val="00542677"/>
    <w:rsid w:val="005426CE"/>
    <w:rsid w:val="0054276D"/>
    <w:rsid w:val="00542815"/>
    <w:rsid w:val="00542AC7"/>
    <w:rsid w:val="00542B0F"/>
    <w:rsid w:val="00542D1D"/>
    <w:rsid w:val="00543309"/>
    <w:rsid w:val="00543643"/>
    <w:rsid w:val="00544E01"/>
    <w:rsid w:val="0054527E"/>
    <w:rsid w:val="005452AF"/>
    <w:rsid w:val="00545514"/>
    <w:rsid w:val="00545F5D"/>
    <w:rsid w:val="00546004"/>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75F"/>
    <w:rsid w:val="00554971"/>
    <w:rsid w:val="00554E1C"/>
    <w:rsid w:val="0055554D"/>
    <w:rsid w:val="005555A4"/>
    <w:rsid w:val="00555605"/>
    <w:rsid w:val="005556CE"/>
    <w:rsid w:val="00555853"/>
    <w:rsid w:val="00555901"/>
    <w:rsid w:val="00555BA1"/>
    <w:rsid w:val="0055676B"/>
    <w:rsid w:val="005568E4"/>
    <w:rsid w:val="005568F2"/>
    <w:rsid w:val="00556EB4"/>
    <w:rsid w:val="00557253"/>
    <w:rsid w:val="0056081D"/>
    <w:rsid w:val="005608F7"/>
    <w:rsid w:val="005608FC"/>
    <w:rsid w:val="00560AE2"/>
    <w:rsid w:val="0056169C"/>
    <w:rsid w:val="0056194E"/>
    <w:rsid w:val="00561BBD"/>
    <w:rsid w:val="00561FBF"/>
    <w:rsid w:val="00562103"/>
    <w:rsid w:val="00562187"/>
    <w:rsid w:val="005629F4"/>
    <w:rsid w:val="00562E4E"/>
    <w:rsid w:val="005630E4"/>
    <w:rsid w:val="00563272"/>
    <w:rsid w:val="005641A5"/>
    <w:rsid w:val="0056460F"/>
    <w:rsid w:val="005646E4"/>
    <w:rsid w:val="00564D66"/>
    <w:rsid w:val="005650AF"/>
    <w:rsid w:val="005654D8"/>
    <w:rsid w:val="005657D4"/>
    <w:rsid w:val="00565B19"/>
    <w:rsid w:val="005660CE"/>
    <w:rsid w:val="0056675F"/>
    <w:rsid w:val="00566974"/>
    <w:rsid w:val="00566D35"/>
    <w:rsid w:val="00566E96"/>
    <w:rsid w:val="00567116"/>
    <w:rsid w:val="005671D3"/>
    <w:rsid w:val="00567470"/>
    <w:rsid w:val="00567D86"/>
    <w:rsid w:val="00570621"/>
    <w:rsid w:val="005709BB"/>
    <w:rsid w:val="00570D33"/>
    <w:rsid w:val="005711D0"/>
    <w:rsid w:val="00571EC2"/>
    <w:rsid w:val="00571EC8"/>
    <w:rsid w:val="00572DB3"/>
    <w:rsid w:val="00572EDF"/>
    <w:rsid w:val="00573624"/>
    <w:rsid w:val="005737A9"/>
    <w:rsid w:val="005737E5"/>
    <w:rsid w:val="00573DD3"/>
    <w:rsid w:val="0057409A"/>
    <w:rsid w:val="00574171"/>
    <w:rsid w:val="00574403"/>
    <w:rsid w:val="00574451"/>
    <w:rsid w:val="00574487"/>
    <w:rsid w:val="005749FE"/>
    <w:rsid w:val="00574A93"/>
    <w:rsid w:val="0057691C"/>
    <w:rsid w:val="0057693F"/>
    <w:rsid w:val="00576C49"/>
    <w:rsid w:val="005772F0"/>
    <w:rsid w:val="00577319"/>
    <w:rsid w:val="00577B8A"/>
    <w:rsid w:val="00580563"/>
    <w:rsid w:val="00580FED"/>
    <w:rsid w:val="005813A3"/>
    <w:rsid w:val="00581FCB"/>
    <w:rsid w:val="00582124"/>
    <w:rsid w:val="0058229E"/>
    <w:rsid w:val="00583472"/>
    <w:rsid w:val="005839F0"/>
    <w:rsid w:val="005842EB"/>
    <w:rsid w:val="005849F0"/>
    <w:rsid w:val="00584DE3"/>
    <w:rsid w:val="00584EFE"/>
    <w:rsid w:val="0058556C"/>
    <w:rsid w:val="005855F5"/>
    <w:rsid w:val="0058609A"/>
    <w:rsid w:val="005865A8"/>
    <w:rsid w:val="00586A9B"/>
    <w:rsid w:val="0058781F"/>
    <w:rsid w:val="00587892"/>
    <w:rsid w:val="005879E5"/>
    <w:rsid w:val="00587B12"/>
    <w:rsid w:val="005901DB"/>
    <w:rsid w:val="0059025A"/>
    <w:rsid w:val="0059043C"/>
    <w:rsid w:val="005904E0"/>
    <w:rsid w:val="0059127D"/>
    <w:rsid w:val="00591645"/>
    <w:rsid w:val="00591B42"/>
    <w:rsid w:val="00591F24"/>
    <w:rsid w:val="0059213D"/>
    <w:rsid w:val="00592319"/>
    <w:rsid w:val="0059321E"/>
    <w:rsid w:val="00593296"/>
    <w:rsid w:val="005935AC"/>
    <w:rsid w:val="005935D5"/>
    <w:rsid w:val="0059399E"/>
    <w:rsid w:val="00593A00"/>
    <w:rsid w:val="00594060"/>
    <w:rsid w:val="005940AD"/>
    <w:rsid w:val="005947B9"/>
    <w:rsid w:val="0059489B"/>
    <w:rsid w:val="005948A1"/>
    <w:rsid w:val="00594946"/>
    <w:rsid w:val="00595398"/>
    <w:rsid w:val="00595612"/>
    <w:rsid w:val="00595BFA"/>
    <w:rsid w:val="00595F6C"/>
    <w:rsid w:val="005963D8"/>
    <w:rsid w:val="00596506"/>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4840"/>
    <w:rsid w:val="005A5CB3"/>
    <w:rsid w:val="005A679A"/>
    <w:rsid w:val="005A67F0"/>
    <w:rsid w:val="005A73DE"/>
    <w:rsid w:val="005A7426"/>
    <w:rsid w:val="005A767A"/>
    <w:rsid w:val="005A782E"/>
    <w:rsid w:val="005A7B3B"/>
    <w:rsid w:val="005B0399"/>
    <w:rsid w:val="005B06C1"/>
    <w:rsid w:val="005B08A9"/>
    <w:rsid w:val="005B097B"/>
    <w:rsid w:val="005B0BBE"/>
    <w:rsid w:val="005B0F06"/>
    <w:rsid w:val="005B0FA2"/>
    <w:rsid w:val="005B1069"/>
    <w:rsid w:val="005B10F7"/>
    <w:rsid w:val="005B1BD8"/>
    <w:rsid w:val="005B1C38"/>
    <w:rsid w:val="005B201C"/>
    <w:rsid w:val="005B20F5"/>
    <w:rsid w:val="005B213E"/>
    <w:rsid w:val="005B2209"/>
    <w:rsid w:val="005B2CF4"/>
    <w:rsid w:val="005B2D45"/>
    <w:rsid w:val="005B2D63"/>
    <w:rsid w:val="005B3430"/>
    <w:rsid w:val="005B3674"/>
    <w:rsid w:val="005B397D"/>
    <w:rsid w:val="005B3B17"/>
    <w:rsid w:val="005B3F19"/>
    <w:rsid w:val="005B404B"/>
    <w:rsid w:val="005B4053"/>
    <w:rsid w:val="005B4065"/>
    <w:rsid w:val="005B466A"/>
    <w:rsid w:val="005B48C8"/>
    <w:rsid w:val="005B4A61"/>
    <w:rsid w:val="005B4A8B"/>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2E03"/>
    <w:rsid w:val="005C3702"/>
    <w:rsid w:val="005C377B"/>
    <w:rsid w:val="005C3DEE"/>
    <w:rsid w:val="005C3F42"/>
    <w:rsid w:val="005C4360"/>
    <w:rsid w:val="005C4520"/>
    <w:rsid w:val="005C4853"/>
    <w:rsid w:val="005C4ABE"/>
    <w:rsid w:val="005C4C7A"/>
    <w:rsid w:val="005C4CB0"/>
    <w:rsid w:val="005C51FF"/>
    <w:rsid w:val="005C5397"/>
    <w:rsid w:val="005C553A"/>
    <w:rsid w:val="005C5732"/>
    <w:rsid w:val="005C659F"/>
    <w:rsid w:val="005C6833"/>
    <w:rsid w:val="005C72C8"/>
    <w:rsid w:val="005C7DF7"/>
    <w:rsid w:val="005D0133"/>
    <w:rsid w:val="005D04F0"/>
    <w:rsid w:val="005D097C"/>
    <w:rsid w:val="005D09E6"/>
    <w:rsid w:val="005D0A95"/>
    <w:rsid w:val="005D0B5D"/>
    <w:rsid w:val="005D13E7"/>
    <w:rsid w:val="005D1610"/>
    <w:rsid w:val="005D17C1"/>
    <w:rsid w:val="005D1E89"/>
    <w:rsid w:val="005D2969"/>
    <w:rsid w:val="005D2973"/>
    <w:rsid w:val="005D29AB"/>
    <w:rsid w:val="005D32E1"/>
    <w:rsid w:val="005D3840"/>
    <w:rsid w:val="005D3DEF"/>
    <w:rsid w:val="005D40BB"/>
    <w:rsid w:val="005D4442"/>
    <w:rsid w:val="005D4796"/>
    <w:rsid w:val="005D4DFA"/>
    <w:rsid w:val="005D51C5"/>
    <w:rsid w:val="005D56BA"/>
    <w:rsid w:val="005D5A01"/>
    <w:rsid w:val="005D5C7E"/>
    <w:rsid w:val="005D5E5A"/>
    <w:rsid w:val="005D6155"/>
    <w:rsid w:val="005D6717"/>
    <w:rsid w:val="005D6C9B"/>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7F7"/>
    <w:rsid w:val="005E4850"/>
    <w:rsid w:val="005E4C1E"/>
    <w:rsid w:val="005E518E"/>
    <w:rsid w:val="005E5859"/>
    <w:rsid w:val="005E5DC8"/>
    <w:rsid w:val="005E6091"/>
    <w:rsid w:val="005E68E1"/>
    <w:rsid w:val="005E6B27"/>
    <w:rsid w:val="005E6C30"/>
    <w:rsid w:val="005E6DF6"/>
    <w:rsid w:val="005E7038"/>
    <w:rsid w:val="005E7345"/>
    <w:rsid w:val="005E7B7A"/>
    <w:rsid w:val="005F0308"/>
    <w:rsid w:val="005F052B"/>
    <w:rsid w:val="005F09B1"/>
    <w:rsid w:val="005F165F"/>
    <w:rsid w:val="005F295E"/>
    <w:rsid w:val="005F2DCE"/>
    <w:rsid w:val="005F358C"/>
    <w:rsid w:val="005F378F"/>
    <w:rsid w:val="005F3A7E"/>
    <w:rsid w:val="005F3B42"/>
    <w:rsid w:val="005F3D41"/>
    <w:rsid w:val="005F3E29"/>
    <w:rsid w:val="005F4266"/>
    <w:rsid w:val="005F5655"/>
    <w:rsid w:val="005F56FC"/>
    <w:rsid w:val="005F589C"/>
    <w:rsid w:val="005F59B6"/>
    <w:rsid w:val="005F6258"/>
    <w:rsid w:val="005F64A6"/>
    <w:rsid w:val="005F6948"/>
    <w:rsid w:val="005F75E7"/>
    <w:rsid w:val="005F760B"/>
    <w:rsid w:val="00600094"/>
    <w:rsid w:val="006000FF"/>
    <w:rsid w:val="006004B7"/>
    <w:rsid w:val="00600D06"/>
    <w:rsid w:val="00600D4D"/>
    <w:rsid w:val="00600E12"/>
    <w:rsid w:val="006011B5"/>
    <w:rsid w:val="00601CD0"/>
    <w:rsid w:val="00601E83"/>
    <w:rsid w:val="00601E89"/>
    <w:rsid w:val="006026D0"/>
    <w:rsid w:val="0060294B"/>
    <w:rsid w:val="00602C5A"/>
    <w:rsid w:val="006032D1"/>
    <w:rsid w:val="006036D7"/>
    <w:rsid w:val="00603D9A"/>
    <w:rsid w:val="006043E1"/>
    <w:rsid w:val="0060483B"/>
    <w:rsid w:val="00604A3A"/>
    <w:rsid w:val="00605182"/>
    <w:rsid w:val="00605A62"/>
    <w:rsid w:val="00605B72"/>
    <w:rsid w:val="00605FD6"/>
    <w:rsid w:val="0060614E"/>
    <w:rsid w:val="00606776"/>
    <w:rsid w:val="00606C51"/>
    <w:rsid w:val="00606FF0"/>
    <w:rsid w:val="006071AC"/>
    <w:rsid w:val="00607501"/>
    <w:rsid w:val="006075C4"/>
    <w:rsid w:val="006079ED"/>
    <w:rsid w:val="00607C4C"/>
    <w:rsid w:val="00607F47"/>
    <w:rsid w:val="00610044"/>
    <w:rsid w:val="006102E3"/>
    <w:rsid w:val="00610451"/>
    <w:rsid w:val="0061055F"/>
    <w:rsid w:val="00610B59"/>
    <w:rsid w:val="00610F8A"/>
    <w:rsid w:val="00610F8B"/>
    <w:rsid w:val="00610FF4"/>
    <w:rsid w:val="00611010"/>
    <w:rsid w:val="006114C7"/>
    <w:rsid w:val="00611677"/>
    <w:rsid w:val="00611787"/>
    <w:rsid w:val="006117BC"/>
    <w:rsid w:val="00611EDD"/>
    <w:rsid w:val="00612785"/>
    <w:rsid w:val="00612793"/>
    <w:rsid w:val="00612D1A"/>
    <w:rsid w:val="00613869"/>
    <w:rsid w:val="00613E13"/>
    <w:rsid w:val="00613E40"/>
    <w:rsid w:val="00614422"/>
    <w:rsid w:val="00614B4F"/>
    <w:rsid w:val="00614BBE"/>
    <w:rsid w:val="00614D08"/>
    <w:rsid w:val="00614DC9"/>
    <w:rsid w:val="00614E5F"/>
    <w:rsid w:val="006151FE"/>
    <w:rsid w:val="00615560"/>
    <w:rsid w:val="006156B9"/>
    <w:rsid w:val="006157A8"/>
    <w:rsid w:val="00615C1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5DA2"/>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1F62"/>
    <w:rsid w:val="00632298"/>
    <w:rsid w:val="0063255B"/>
    <w:rsid w:val="006325FD"/>
    <w:rsid w:val="0063342E"/>
    <w:rsid w:val="0063349C"/>
    <w:rsid w:val="00633573"/>
    <w:rsid w:val="00633DFE"/>
    <w:rsid w:val="00634479"/>
    <w:rsid w:val="00634500"/>
    <w:rsid w:val="0063451A"/>
    <w:rsid w:val="00634EBB"/>
    <w:rsid w:val="00635A66"/>
    <w:rsid w:val="00636251"/>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66C"/>
    <w:rsid w:val="00643740"/>
    <w:rsid w:val="00643745"/>
    <w:rsid w:val="00644561"/>
    <w:rsid w:val="006446ED"/>
    <w:rsid w:val="00644B1F"/>
    <w:rsid w:val="006451A3"/>
    <w:rsid w:val="0064587C"/>
    <w:rsid w:val="0064652F"/>
    <w:rsid w:val="00646530"/>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3DBC"/>
    <w:rsid w:val="0065429D"/>
    <w:rsid w:val="0065442D"/>
    <w:rsid w:val="00654948"/>
    <w:rsid w:val="00654E9A"/>
    <w:rsid w:val="00655359"/>
    <w:rsid w:val="0065587E"/>
    <w:rsid w:val="00655B16"/>
    <w:rsid w:val="00655E36"/>
    <w:rsid w:val="00656174"/>
    <w:rsid w:val="0065661E"/>
    <w:rsid w:val="00656699"/>
    <w:rsid w:val="006567AD"/>
    <w:rsid w:val="00656801"/>
    <w:rsid w:val="00656B9E"/>
    <w:rsid w:val="00656C79"/>
    <w:rsid w:val="0065708A"/>
    <w:rsid w:val="00657E31"/>
    <w:rsid w:val="00660215"/>
    <w:rsid w:val="0066058F"/>
    <w:rsid w:val="00660CB2"/>
    <w:rsid w:val="00660D46"/>
    <w:rsid w:val="00660FA5"/>
    <w:rsid w:val="0066190A"/>
    <w:rsid w:val="00661C6B"/>
    <w:rsid w:val="00661C98"/>
    <w:rsid w:val="00662272"/>
    <w:rsid w:val="006625E6"/>
    <w:rsid w:val="00662A80"/>
    <w:rsid w:val="00662EC4"/>
    <w:rsid w:val="00662FA1"/>
    <w:rsid w:val="006630F7"/>
    <w:rsid w:val="0066332A"/>
    <w:rsid w:val="0066355B"/>
    <w:rsid w:val="00663B14"/>
    <w:rsid w:val="00664394"/>
    <w:rsid w:val="006645DA"/>
    <w:rsid w:val="00664FB7"/>
    <w:rsid w:val="00665298"/>
    <w:rsid w:val="00665427"/>
    <w:rsid w:val="006655A6"/>
    <w:rsid w:val="0066596D"/>
    <w:rsid w:val="00665A15"/>
    <w:rsid w:val="00665A69"/>
    <w:rsid w:val="00665B2B"/>
    <w:rsid w:val="00665C04"/>
    <w:rsid w:val="00665D00"/>
    <w:rsid w:val="00665DB7"/>
    <w:rsid w:val="00665F96"/>
    <w:rsid w:val="006662E0"/>
    <w:rsid w:val="0066637F"/>
    <w:rsid w:val="0066653C"/>
    <w:rsid w:val="00666C60"/>
    <w:rsid w:val="006677F6"/>
    <w:rsid w:val="00667BFA"/>
    <w:rsid w:val="006701C9"/>
    <w:rsid w:val="0067056A"/>
    <w:rsid w:val="00670A2A"/>
    <w:rsid w:val="006719C4"/>
    <w:rsid w:val="006720C6"/>
    <w:rsid w:val="00672AAB"/>
    <w:rsid w:val="006731DA"/>
    <w:rsid w:val="00673258"/>
    <w:rsid w:val="00673428"/>
    <w:rsid w:val="00673E79"/>
    <w:rsid w:val="00673F6B"/>
    <w:rsid w:val="006742B8"/>
    <w:rsid w:val="00674629"/>
    <w:rsid w:val="00674735"/>
    <w:rsid w:val="006749FF"/>
    <w:rsid w:val="00674E58"/>
    <w:rsid w:val="00675059"/>
    <w:rsid w:val="006755DD"/>
    <w:rsid w:val="0067575E"/>
    <w:rsid w:val="00676132"/>
    <w:rsid w:val="006768DA"/>
    <w:rsid w:val="00677017"/>
    <w:rsid w:val="00677312"/>
    <w:rsid w:val="00677519"/>
    <w:rsid w:val="0067782E"/>
    <w:rsid w:val="00677D27"/>
    <w:rsid w:val="006801D1"/>
    <w:rsid w:val="00680453"/>
    <w:rsid w:val="00680C7B"/>
    <w:rsid w:val="0068197A"/>
    <w:rsid w:val="00681C97"/>
    <w:rsid w:val="00681D80"/>
    <w:rsid w:val="00681FE4"/>
    <w:rsid w:val="00681FF8"/>
    <w:rsid w:val="006827AD"/>
    <w:rsid w:val="00682873"/>
    <w:rsid w:val="00682D31"/>
    <w:rsid w:val="00682E72"/>
    <w:rsid w:val="00683001"/>
    <w:rsid w:val="00683216"/>
    <w:rsid w:val="00683332"/>
    <w:rsid w:val="006834BB"/>
    <w:rsid w:val="006834BD"/>
    <w:rsid w:val="006834CB"/>
    <w:rsid w:val="00683805"/>
    <w:rsid w:val="00683BB4"/>
    <w:rsid w:val="0068411C"/>
    <w:rsid w:val="00684554"/>
    <w:rsid w:val="0068461B"/>
    <w:rsid w:val="00684A94"/>
    <w:rsid w:val="00684F04"/>
    <w:rsid w:val="00685019"/>
    <w:rsid w:val="00685785"/>
    <w:rsid w:val="006864B2"/>
    <w:rsid w:val="0068667B"/>
    <w:rsid w:val="00687AD7"/>
    <w:rsid w:val="00687BA7"/>
    <w:rsid w:val="00687BAB"/>
    <w:rsid w:val="00690455"/>
    <w:rsid w:val="006906FC"/>
    <w:rsid w:val="00690707"/>
    <w:rsid w:val="006907E7"/>
    <w:rsid w:val="00690B7E"/>
    <w:rsid w:val="00691178"/>
    <w:rsid w:val="006913F6"/>
    <w:rsid w:val="0069144D"/>
    <w:rsid w:val="00691B79"/>
    <w:rsid w:val="00692BF3"/>
    <w:rsid w:val="00692E79"/>
    <w:rsid w:val="006931A1"/>
    <w:rsid w:val="006933B6"/>
    <w:rsid w:val="006933D4"/>
    <w:rsid w:val="006934C0"/>
    <w:rsid w:val="006936A8"/>
    <w:rsid w:val="00693934"/>
    <w:rsid w:val="00693B64"/>
    <w:rsid w:val="006951DB"/>
    <w:rsid w:val="00695217"/>
    <w:rsid w:val="006954FF"/>
    <w:rsid w:val="006955D3"/>
    <w:rsid w:val="00695C58"/>
    <w:rsid w:val="00696ABD"/>
    <w:rsid w:val="00696D9D"/>
    <w:rsid w:val="00696E4F"/>
    <w:rsid w:val="0069718F"/>
    <w:rsid w:val="00697873"/>
    <w:rsid w:val="006978FE"/>
    <w:rsid w:val="00697A88"/>
    <w:rsid w:val="006A0DAD"/>
    <w:rsid w:val="006A1752"/>
    <w:rsid w:val="006A1EE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25"/>
    <w:rsid w:val="006A74B5"/>
    <w:rsid w:val="006A77CE"/>
    <w:rsid w:val="006A78E3"/>
    <w:rsid w:val="006B02F8"/>
    <w:rsid w:val="006B099A"/>
    <w:rsid w:val="006B0B53"/>
    <w:rsid w:val="006B0C39"/>
    <w:rsid w:val="006B10FF"/>
    <w:rsid w:val="006B1828"/>
    <w:rsid w:val="006B2157"/>
    <w:rsid w:val="006B250C"/>
    <w:rsid w:val="006B2C95"/>
    <w:rsid w:val="006B37AC"/>
    <w:rsid w:val="006B38B1"/>
    <w:rsid w:val="006B3BD0"/>
    <w:rsid w:val="006B3CEF"/>
    <w:rsid w:val="006B3D6E"/>
    <w:rsid w:val="006B4AE5"/>
    <w:rsid w:val="006B4E5A"/>
    <w:rsid w:val="006B4EAA"/>
    <w:rsid w:val="006B50F9"/>
    <w:rsid w:val="006B5A79"/>
    <w:rsid w:val="006B5C6F"/>
    <w:rsid w:val="006B5F1A"/>
    <w:rsid w:val="006B60DE"/>
    <w:rsid w:val="006B6177"/>
    <w:rsid w:val="006B61B3"/>
    <w:rsid w:val="006B67D0"/>
    <w:rsid w:val="006B68D3"/>
    <w:rsid w:val="006B6BBD"/>
    <w:rsid w:val="006B6C85"/>
    <w:rsid w:val="006B6FFA"/>
    <w:rsid w:val="006B7A2B"/>
    <w:rsid w:val="006B7B05"/>
    <w:rsid w:val="006B7B38"/>
    <w:rsid w:val="006B7E1A"/>
    <w:rsid w:val="006C00E0"/>
    <w:rsid w:val="006C024E"/>
    <w:rsid w:val="006C02BB"/>
    <w:rsid w:val="006C04D1"/>
    <w:rsid w:val="006C0521"/>
    <w:rsid w:val="006C08CF"/>
    <w:rsid w:val="006C0FF1"/>
    <w:rsid w:val="006C1073"/>
    <w:rsid w:val="006C10E5"/>
    <w:rsid w:val="006C1651"/>
    <w:rsid w:val="006C1AA4"/>
    <w:rsid w:val="006C2470"/>
    <w:rsid w:val="006C2601"/>
    <w:rsid w:val="006C2C9F"/>
    <w:rsid w:val="006C3F0A"/>
    <w:rsid w:val="006C3F15"/>
    <w:rsid w:val="006C41DF"/>
    <w:rsid w:val="006C4766"/>
    <w:rsid w:val="006C48AF"/>
    <w:rsid w:val="006C5186"/>
    <w:rsid w:val="006C59AC"/>
    <w:rsid w:val="006C60B2"/>
    <w:rsid w:val="006C65CE"/>
    <w:rsid w:val="006C69C7"/>
    <w:rsid w:val="006C6A37"/>
    <w:rsid w:val="006C7606"/>
    <w:rsid w:val="006C7844"/>
    <w:rsid w:val="006D0252"/>
    <w:rsid w:val="006D027B"/>
    <w:rsid w:val="006D0B55"/>
    <w:rsid w:val="006D15C8"/>
    <w:rsid w:val="006D1766"/>
    <w:rsid w:val="006D2274"/>
    <w:rsid w:val="006D2BC5"/>
    <w:rsid w:val="006D2D02"/>
    <w:rsid w:val="006D2DAC"/>
    <w:rsid w:val="006D3161"/>
    <w:rsid w:val="006D3A3A"/>
    <w:rsid w:val="006D3B38"/>
    <w:rsid w:val="006D3FCF"/>
    <w:rsid w:val="006D40D3"/>
    <w:rsid w:val="006D47B8"/>
    <w:rsid w:val="006D4958"/>
    <w:rsid w:val="006D54DB"/>
    <w:rsid w:val="006D5686"/>
    <w:rsid w:val="006D5754"/>
    <w:rsid w:val="006D57B2"/>
    <w:rsid w:val="006D5E68"/>
    <w:rsid w:val="006D6556"/>
    <w:rsid w:val="006D7493"/>
    <w:rsid w:val="006D7A9C"/>
    <w:rsid w:val="006E032D"/>
    <w:rsid w:val="006E07C6"/>
    <w:rsid w:val="006E0EC6"/>
    <w:rsid w:val="006E0EDB"/>
    <w:rsid w:val="006E168B"/>
    <w:rsid w:val="006E1A3A"/>
    <w:rsid w:val="006E1DCD"/>
    <w:rsid w:val="006E1EF2"/>
    <w:rsid w:val="006E2255"/>
    <w:rsid w:val="006E25D8"/>
    <w:rsid w:val="006E2F5B"/>
    <w:rsid w:val="006E2FCC"/>
    <w:rsid w:val="006E3089"/>
    <w:rsid w:val="006E30CE"/>
    <w:rsid w:val="006E3451"/>
    <w:rsid w:val="006E3625"/>
    <w:rsid w:val="006E3C31"/>
    <w:rsid w:val="006E43DF"/>
    <w:rsid w:val="006E49ED"/>
    <w:rsid w:val="006E4A20"/>
    <w:rsid w:val="006E4D87"/>
    <w:rsid w:val="006E56F1"/>
    <w:rsid w:val="006E571D"/>
    <w:rsid w:val="006E5720"/>
    <w:rsid w:val="006E614E"/>
    <w:rsid w:val="006E6E3B"/>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2D47"/>
    <w:rsid w:val="006F31D9"/>
    <w:rsid w:val="006F34BC"/>
    <w:rsid w:val="006F3C72"/>
    <w:rsid w:val="006F3C86"/>
    <w:rsid w:val="006F3EDD"/>
    <w:rsid w:val="006F487E"/>
    <w:rsid w:val="006F4BE4"/>
    <w:rsid w:val="006F4CF7"/>
    <w:rsid w:val="006F5409"/>
    <w:rsid w:val="006F5D0D"/>
    <w:rsid w:val="006F5D20"/>
    <w:rsid w:val="006F65C0"/>
    <w:rsid w:val="006F6635"/>
    <w:rsid w:val="006F791F"/>
    <w:rsid w:val="006F7B9D"/>
    <w:rsid w:val="007006B2"/>
    <w:rsid w:val="0070116E"/>
    <w:rsid w:val="007016D4"/>
    <w:rsid w:val="00701A77"/>
    <w:rsid w:val="00701D3C"/>
    <w:rsid w:val="00702207"/>
    <w:rsid w:val="00702C1E"/>
    <w:rsid w:val="00702F95"/>
    <w:rsid w:val="00703E97"/>
    <w:rsid w:val="007042D1"/>
    <w:rsid w:val="007049BC"/>
    <w:rsid w:val="00704FB9"/>
    <w:rsid w:val="00705BA2"/>
    <w:rsid w:val="00706A23"/>
    <w:rsid w:val="00706B70"/>
    <w:rsid w:val="00707027"/>
    <w:rsid w:val="0070721A"/>
    <w:rsid w:val="0070721E"/>
    <w:rsid w:val="00707877"/>
    <w:rsid w:val="00707F35"/>
    <w:rsid w:val="0071027D"/>
    <w:rsid w:val="00710D62"/>
    <w:rsid w:val="00710E9C"/>
    <w:rsid w:val="00711085"/>
    <w:rsid w:val="007117BC"/>
    <w:rsid w:val="00711B1A"/>
    <w:rsid w:val="00713715"/>
    <w:rsid w:val="007144E8"/>
    <w:rsid w:val="00714673"/>
    <w:rsid w:val="00714F95"/>
    <w:rsid w:val="0071642C"/>
    <w:rsid w:val="00716622"/>
    <w:rsid w:val="00716719"/>
    <w:rsid w:val="00716DE7"/>
    <w:rsid w:val="00717214"/>
    <w:rsid w:val="007172AD"/>
    <w:rsid w:val="0071763B"/>
    <w:rsid w:val="0071787F"/>
    <w:rsid w:val="00717991"/>
    <w:rsid w:val="00720126"/>
    <w:rsid w:val="0072047E"/>
    <w:rsid w:val="007207EE"/>
    <w:rsid w:val="00720E26"/>
    <w:rsid w:val="00721037"/>
    <w:rsid w:val="007217AF"/>
    <w:rsid w:val="00721B6B"/>
    <w:rsid w:val="00721BF4"/>
    <w:rsid w:val="00721CF8"/>
    <w:rsid w:val="00722B62"/>
    <w:rsid w:val="0072314D"/>
    <w:rsid w:val="007231B4"/>
    <w:rsid w:val="007232D5"/>
    <w:rsid w:val="00723A52"/>
    <w:rsid w:val="00723A5B"/>
    <w:rsid w:val="0072473E"/>
    <w:rsid w:val="00724801"/>
    <w:rsid w:val="00724876"/>
    <w:rsid w:val="00724A42"/>
    <w:rsid w:val="00725CEA"/>
    <w:rsid w:val="007261F4"/>
    <w:rsid w:val="00726683"/>
    <w:rsid w:val="0072683D"/>
    <w:rsid w:val="00726F9F"/>
    <w:rsid w:val="00727132"/>
    <w:rsid w:val="0072760D"/>
    <w:rsid w:val="00727AA2"/>
    <w:rsid w:val="00727DE0"/>
    <w:rsid w:val="0073005A"/>
    <w:rsid w:val="007306F5"/>
    <w:rsid w:val="00730790"/>
    <w:rsid w:val="00730954"/>
    <w:rsid w:val="00730DFE"/>
    <w:rsid w:val="00730E4D"/>
    <w:rsid w:val="0073128E"/>
    <w:rsid w:val="00731AE4"/>
    <w:rsid w:val="007325CC"/>
    <w:rsid w:val="0073284D"/>
    <w:rsid w:val="00732932"/>
    <w:rsid w:val="00732AB8"/>
    <w:rsid w:val="00732ABB"/>
    <w:rsid w:val="007332CD"/>
    <w:rsid w:val="00733613"/>
    <w:rsid w:val="00734156"/>
    <w:rsid w:val="00734218"/>
    <w:rsid w:val="00734283"/>
    <w:rsid w:val="007342AB"/>
    <w:rsid w:val="007348C5"/>
    <w:rsid w:val="00734DD4"/>
    <w:rsid w:val="00735C7B"/>
    <w:rsid w:val="007367D6"/>
    <w:rsid w:val="00736BB2"/>
    <w:rsid w:val="00736D10"/>
    <w:rsid w:val="00736DED"/>
    <w:rsid w:val="007371F8"/>
    <w:rsid w:val="00737255"/>
    <w:rsid w:val="00737378"/>
    <w:rsid w:val="007377D8"/>
    <w:rsid w:val="00737B42"/>
    <w:rsid w:val="00737E27"/>
    <w:rsid w:val="00737E56"/>
    <w:rsid w:val="0074021A"/>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6A7"/>
    <w:rsid w:val="0074473E"/>
    <w:rsid w:val="00744BEE"/>
    <w:rsid w:val="0074563A"/>
    <w:rsid w:val="00745ACC"/>
    <w:rsid w:val="00745E7A"/>
    <w:rsid w:val="00746AD4"/>
    <w:rsid w:val="0074729E"/>
    <w:rsid w:val="00747DDE"/>
    <w:rsid w:val="00750179"/>
    <w:rsid w:val="007504BD"/>
    <w:rsid w:val="00750BFD"/>
    <w:rsid w:val="00750E8E"/>
    <w:rsid w:val="007515F9"/>
    <w:rsid w:val="00751874"/>
    <w:rsid w:val="00753706"/>
    <w:rsid w:val="00753F21"/>
    <w:rsid w:val="007542C4"/>
    <w:rsid w:val="007543CF"/>
    <w:rsid w:val="007544EA"/>
    <w:rsid w:val="00754658"/>
    <w:rsid w:val="00755158"/>
    <w:rsid w:val="00755294"/>
    <w:rsid w:val="00755444"/>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0A2"/>
    <w:rsid w:val="007603FD"/>
    <w:rsid w:val="0076077E"/>
    <w:rsid w:val="00760A96"/>
    <w:rsid w:val="00760F63"/>
    <w:rsid w:val="00761166"/>
    <w:rsid w:val="0076156C"/>
    <w:rsid w:val="00761A89"/>
    <w:rsid w:val="00761CF4"/>
    <w:rsid w:val="00761D77"/>
    <w:rsid w:val="007620C3"/>
    <w:rsid w:val="007626A9"/>
    <w:rsid w:val="00762864"/>
    <w:rsid w:val="00762976"/>
    <w:rsid w:val="007629EE"/>
    <w:rsid w:val="007633E5"/>
    <w:rsid w:val="007635D1"/>
    <w:rsid w:val="00763AB8"/>
    <w:rsid w:val="00763CC3"/>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674F6"/>
    <w:rsid w:val="007700A6"/>
    <w:rsid w:val="00770257"/>
    <w:rsid w:val="00771242"/>
    <w:rsid w:val="007714CB"/>
    <w:rsid w:val="007714FB"/>
    <w:rsid w:val="00771681"/>
    <w:rsid w:val="007716A6"/>
    <w:rsid w:val="00771786"/>
    <w:rsid w:val="00771F37"/>
    <w:rsid w:val="00772144"/>
    <w:rsid w:val="0077297F"/>
    <w:rsid w:val="00772B27"/>
    <w:rsid w:val="00772EAB"/>
    <w:rsid w:val="00772F65"/>
    <w:rsid w:val="007736DD"/>
    <w:rsid w:val="00774656"/>
    <w:rsid w:val="0077489C"/>
    <w:rsid w:val="00774966"/>
    <w:rsid w:val="00774C6E"/>
    <w:rsid w:val="00775B81"/>
    <w:rsid w:val="00775FBA"/>
    <w:rsid w:val="00776268"/>
    <w:rsid w:val="007764DF"/>
    <w:rsid w:val="00776513"/>
    <w:rsid w:val="00776693"/>
    <w:rsid w:val="00776EEB"/>
    <w:rsid w:val="0077755F"/>
    <w:rsid w:val="007775E0"/>
    <w:rsid w:val="007776E6"/>
    <w:rsid w:val="0077795C"/>
    <w:rsid w:val="00777ECD"/>
    <w:rsid w:val="00780345"/>
    <w:rsid w:val="007803E0"/>
    <w:rsid w:val="0078111F"/>
    <w:rsid w:val="007814ED"/>
    <w:rsid w:val="007824AF"/>
    <w:rsid w:val="007825C3"/>
    <w:rsid w:val="00782FE8"/>
    <w:rsid w:val="007832DE"/>
    <w:rsid w:val="00783D8F"/>
    <w:rsid w:val="00784346"/>
    <w:rsid w:val="0078511A"/>
    <w:rsid w:val="0078558C"/>
    <w:rsid w:val="00786187"/>
    <w:rsid w:val="0078639D"/>
    <w:rsid w:val="00786581"/>
    <w:rsid w:val="00786652"/>
    <w:rsid w:val="0078693C"/>
    <w:rsid w:val="00786A93"/>
    <w:rsid w:val="00786B03"/>
    <w:rsid w:val="007872B5"/>
    <w:rsid w:val="00787767"/>
    <w:rsid w:val="00787815"/>
    <w:rsid w:val="007878EF"/>
    <w:rsid w:val="007903BF"/>
    <w:rsid w:val="007907E7"/>
    <w:rsid w:val="00790CFD"/>
    <w:rsid w:val="00790E35"/>
    <w:rsid w:val="00790E8C"/>
    <w:rsid w:val="00791D0C"/>
    <w:rsid w:val="00791D31"/>
    <w:rsid w:val="007920D4"/>
    <w:rsid w:val="00792CF2"/>
    <w:rsid w:val="0079361C"/>
    <w:rsid w:val="00793785"/>
    <w:rsid w:val="00794047"/>
    <w:rsid w:val="007945C2"/>
    <w:rsid w:val="00794ACC"/>
    <w:rsid w:val="00794FF3"/>
    <w:rsid w:val="007954E8"/>
    <w:rsid w:val="00795512"/>
    <w:rsid w:val="00795EE5"/>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516"/>
    <w:rsid w:val="007B2A55"/>
    <w:rsid w:val="007B30B9"/>
    <w:rsid w:val="007B3441"/>
    <w:rsid w:val="007B42AA"/>
    <w:rsid w:val="007B434C"/>
    <w:rsid w:val="007B4BA2"/>
    <w:rsid w:val="007B50B3"/>
    <w:rsid w:val="007B5455"/>
    <w:rsid w:val="007B57EC"/>
    <w:rsid w:val="007B6592"/>
    <w:rsid w:val="007B6747"/>
    <w:rsid w:val="007B681C"/>
    <w:rsid w:val="007B74FE"/>
    <w:rsid w:val="007B7552"/>
    <w:rsid w:val="007B7E1B"/>
    <w:rsid w:val="007C028E"/>
    <w:rsid w:val="007C0C3A"/>
    <w:rsid w:val="007C0D43"/>
    <w:rsid w:val="007C1257"/>
    <w:rsid w:val="007C1569"/>
    <w:rsid w:val="007C15CB"/>
    <w:rsid w:val="007C1741"/>
    <w:rsid w:val="007C17EC"/>
    <w:rsid w:val="007C1BC0"/>
    <w:rsid w:val="007C1D34"/>
    <w:rsid w:val="007C1F03"/>
    <w:rsid w:val="007C25A8"/>
    <w:rsid w:val="007C290C"/>
    <w:rsid w:val="007C2B0A"/>
    <w:rsid w:val="007C2D49"/>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80D"/>
    <w:rsid w:val="007C7B03"/>
    <w:rsid w:val="007C7D98"/>
    <w:rsid w:val="007D0125"/>
    <w:rsid w:val="007D0254"/>
    <w:rsid w:val="007D0378"/>
    <w:rsid w:val="007D05CB"/>
    <w:rsid w:val="007D0D48"/>
    <w:rsid w:val="007D115E"/>
    <w:rsid w:val="007D137E"/>
    <w:rsid w:val="007D165A"/>
    <w:rsid w:val="007D16E4"/>
    <w:rsid w:val="007D1EF6"/>
    <w:rsid w:val="007D1F71"/>
    <w:rsid w:val="007D1FF5"/>
    <w:rsid w:val="007D237C"/>
    <w:rsid w:val="007D33DB"/>
    <w:rsid w:val="007D3BA2"/>
    <w:rsid w:val="007D3FAA"/>
    <w:rsid w:val="007D43B2"/>
    <w:rsid w:val="007D453F"/>
    <w:rsid w:val="007D462E"/>
    <w:rsid w:val="007D4676"/>
    <w:rsid w:val="007D4688"/>
    <w:rsid w:val="007D4DE8"/>
    <w:rsid w:val="007D50D2"/>
    <w:rsid w:val="007D5321"/>
    <w:rsid w:val="007D560B"/>
    <w:rsid w:val="007D5BC6"/>
    <w:rsid w:val="007D6139"/>
    <w:rsid w:val="007D63AA"/>
    <w:rsid w:val="007D6629"/>
    <w:rsid w:val="007D6AE9"/>
    <w:rsid w:val="007D6B9F"/>
    <w:rsid w:val="007D6F9E"/>
    <w:rsid w:val="007D6FEE"/>
    <w:rsid w:val="007D7077"/>
    <w:rsid w:val="007D7B13"/>
    <w:rsid w:val="007D7E68"/>
    <w:rsid w:val="007D7F84"/>
    <w:rsid w:val="007E128A"/>
    <w:rsid w:val="007E17CB"/>
    <w:rsid w:val="007E1821"/>
    <w:rsid w:val="007E18CC"/>
    <w:rsid w:val="007E1D10"/>
    <w:rsid w:val="007E2730"/>
    <w:rsid w:val="007E2A37"/>
    <w:rsid w:val="007E3672"/>
    <w:rsid w:val="007E36C7"/>
    <w:rsid w:val="007E3976"/>
    <w:rsid w:val="007E3C7F"/>
    <w:rsid w:val="007E3D77"/>
    <w:rsid w:val="007E3EA4"/>
    <w:rsid w:val="007E4113"/>
    <w:rsid w:val="007E4340"/>
    <w:rsid w:val="007E4442"/>
    <w:rsid w:val="007E462E"/>
    <w:rsid w:val="007E4A58"/>
    <w:rsid w:val="007E4DA2"/>
    <w:rsid w:val="007E4FC8"/>
    <w:rsid w:val="007E57D9"/>
    <w:rsid w:val="007E5B71"/>
    <w:rsid w:val="007E654B"/>
    <w:rsid w:val="007E6675"/>
    <w:rsid w:val="007E6792"/>
    <w:rsid w:val="007E6990"/>
    <w:rsid w:val="007E6ABC"/>
    <w:rsid w:val="007E6E04"/>
    <w:rsid w:val="007E6E13"/>
    <w:rsid w:val="007E762D"/>
    <w:rsid w:val="007E7A40"/>
    <w:rsid w:val="007E7A88"/>
    <w:rsid w:val="007E7B84"/>
    <w:rsid w:val="007F05BF"/>
    <w:rsid w:val="007F0BDF"/>
    <w:rsid w:val="007F0D32"/>
    <w:rsid w:val="007F10A9"/>
    <w:rsid w:val="007F123F"/>
    <w:rsid w:val="007F1504"/>
    <w:rsid w:val="007F1C93"/>
    <w:rsid w:val="007F1EDE"/>
    <w:rsid w:val="007F21A8"/>
    <w:rsid w:val="007F22C0"/>
    <w:rsid w:val="007F251E"/>
    <w:rsid w:val="007F2917"/>
    <w:rsid w:val="007F2CEC"/>
    <w:rsid w:val="007F33E8"/>
    <w:rsid w:val="007F34EE"/>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D6"/>
    <w:rsid w:val="008011E1"/>
    <w:rsid w:val="008013F4"/>
    <w:rsid w:val="008015B9"/>
    <w:rsid w:val="0080213F"/>
    <w:rsid w:val="0080218D"/>
    <w:rsid w:val="008027CB"/>
    <w:rsid w:val="00802E4A"/>
    <w:rsid w:val="008031EE"/>
    <w:rsid w:val="00804486"/>
    <w:rsid w:val="00804551"/>
    <w:rsid w:val="00804773"/>
    <w:rsid w:val="0080485A"/>
    <w:rsid w:val="00804937"/>
    <w:rsid w:val="00805723"/>
    <w:rsid w:val="00805EFA"/>
    <w:rsid w:val="00806397"/>
    <w:rsid w:val="008063D3"/>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A79"/>
    <w:rsid w:val="00813DB1"/>
    <w:rsid w:val="00813FA6"/>
    <w:rsid w:val="00814803"/>
    <w:rsid w:val="0081482E"/>
    <w:rsid w:val="00814983"/>
    <w:rsid w:val="00814BCC"/>
    <w:rsid w:val="00815110"/>
    <w:rsid w:val="0081542C"/>
    <w:rsid w:val="00815819"/>
    <w:rsid w:val="00816673"/>
    <w:rsid w:val="00816BA2"/>
    <w:rsid w:val="0081712B"/>
    <w:rsid w:val="0081793F"/>
    <w:rsid w:val="00817985"/>
    <w:rsid w:val="00820304"/>
    <w:rsid w:val="00820B4D"/>
    <w:rsid w:val="00821225"/>
    <w:rsid w:val="008212D8"/>
    <w:rsid w:val="008219B8"/>
    <w:rsid w:val="00821B2D"/>
    <w:rsid w:val="00821DE9"/>
    <w:rsid w:val="00823747"/>
    <w:rsid w:val="00823958"/>
    <w:rsid w:val="00823A48"/>
    <w:rsid w:val="00823B4E"/>
    <w:rsid w:val="00823EA7"/>
    <w:rsid w:val="0082416B"/>
    <w:rsid w:val="008244BF"/>
    <w:rsid w:val="008245B5"/>
    <w:rsid w:val="00824711"/>
    <w:rsid w:val="00824952"/>
    <w:rsid w:val="00824AD1"/>
    <w:rsid w:val="00824B30"/>
    <w:rsid w:val="00824DB1"/>
    <w:rsid w:val="00825250"/>
    <w:rsid w:val="0082686E"/>
    <w:rsid w:val="00826BE1"/>
    <w:rsid w:val="00826D2A"/>
    <w:rsid w:val="00826E1A"/>
    <w:rsid w:val="00826E1C"/>
    <w:rsid w:val="00826F1D"/>
    <w:rsid w:val="00826FBD"/>
    <w:rsid w:val="00827370"/>
    <w:rsid w:val="00827443"/>
    <w:rsid w:val="008279C6"/>
    <w:rsid w:val="00827ADE"/>
    <w:rsid w:val="00830D72"/>
    <w:rsid w:val="00831044"/>
    <w:rsid w:val="008310D1"/>
    <w:rsid w:val="00832990"/>
    <w:rsid w:val="00832B49"/>
    <w:rsid w:val="00832C4D"/>
    <w:rsid w:val="00832D9C"/>
    <w:rsid w:val="00832F8B"/>
    <w:rsid w:val="008333AF"/>
    <w:rsid w:val="008338AF"/>
    <w:rsid w:val="008349F7"/>
    <w:rsid w:val="00835FA7"/>
    <w:rsid w:val="00836751"/>
    <w:rsid w:val="00836824"/>
    <w:rsid w:val="00836B58"/>
    <w:rsid w:val="00836FC2"/>
    <w:rsid w:val="0083732E"/>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442"/>
    <w:rsid w:val="00846A04"/>
    <w:rsid w:val="00846E78"/>
    <w:rsid w:val="00847235"/>
    <w:rsid w:val="0084739C"/>
    <w:rsid w:val="00850007"/>
    <w:rsid w:val="008501E5"/>
    <w:rsid w:val="00850679"/>
    <w:rsid w:val="008506F8"/>
    <w:rsid w:val="00850A11"/>
    <w:rsid w:val="008513D3"/>
    <w:rsid w:val="00851609"/>
    <w:rsid w:val="00851967"/>
    <w:rsid w:val="0085254F"/>
    <w:rsid w:val="0085316C"/>
    <w:rsid w:val="00853573"/>
    <w:rsid w:val="0085364B"/>
    <w:rsid w:val="00853974"/>
    <w:rsid w:val="00853CC3"/>
    <w:rsid w:val="008542B3"/>
    <w:rsid w:val="00854909"/>
    <w:rsid w:val="00854C7F"/>
    <w:rsid w:val="00855125"/>
    <w:rsid w:val="00855BFD"/>
    <w:rsid w:val="00855CAF"/>
    <w:rsid w:val="0085611B"/>
    <w:rsid w:val="008561D4"/>
    <w:rsid w:val="00856FB6"/>
    <w:rsid w:val="00857E26"/>
    <w:rsid w:val="00857E43"/>
    <w:rsid w:val="00860AAE"/>
    <w:rsid w:val="00860EDF"/>
    <w:rsid w:val="00861174"/>
    <w:rsid w:val="0086153C"/>
    <w:rsid w:val="0086165F"/>
    <w:rsid w:val="00861773"/>
    <w:rsid w:val="008619E8"/>
    <w:rsid w:val="00861E0B"/>
    <w:rsid w:val="008624F1"/>
    <w:rsid w:val="008627EE"/>
    <w:rsid w:val="00862C7C"/>
    <w:rsid w:val="00863B28"/>
    <w:rsid w:val="008643BD"/>
    <w:rsid w:val="00864434"/>
    <w:rsid w:val="00864563"/>
    <w:rsid w:val="00864E62"/>
    <w:rsid w:val="008659F6"/>
    <w:rsid w:val="00866F83"/>
    <w:rsid w:val="00867101"/>
    <w:rsid w:val="00867412"/>
    <w:rsid w:val="0086746D"/>
    <w:rsid w:val="008675E7"/>
    <w:rsid w:val="00867886"/>
    <w:rsid w:val="0087011F"/>
    <w:rsid w:val="00870518"/>
    <w:rsid w:val="00870563"/>
    <w:rsid w:val="0087067F"/>
    <w:rsid w:val="00870F81"/>
    <w:rsid w:val="008712C2"/>
    <w:rsid w:val="00871529"/>
    <w:rsid w:val="00871693"/>
    <w:rsid w:val="008716A3"/>
    <w:rsid w:val="008716CF"/>
    <w:rsid w:val="00871779"/>
    <w:rsid w:val="0087180B"/>
    <w:rsid w:val="00871E7A"/>
    <w:rsid w:val="0087215B"/>
    <w:rsid w:val="0087260B"/>
    <w:rsid w:val="00872DFE"/>
    <w:rsid w:val="00872FDC"/>
    <w:rsid w:val="008738D7"/>
    <w:rsid w:val="00874093"/>
    <w:rsid w:val="00874D4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C6E"/>
    <w:rsid w:val="00880FBF"/>
    <w:rsid w:val="0088170F"/>
    <w:rsid w:val="00881D4F"/>
    <w:rsid w:val="00882324"/>
    <w:rsid w:val="008825BB"/>
    <w:rsid w:val="00882E73"/>
    <w:rsid w:val="00882EF8"/>
    <w:rsid w:val="00883336"/>
    <w:rsid w:val="008835D1"/>
    <w:rsid w:val="008837A4"/>
    <w:rsid w:val="0088408C"/>
    <w:rsid w:val="00884215"/>
    <w:rsid w:val="008845FF"/>
    <w:rsid w:val="008846AC"/>
    <w:rsid w:val="008846B0"/>
    <w:rsid w:val="00884BD3"/>
    <w:rsid w:val="00884E0B"/>
    <w:rsid w:val="008852DE"/>
    <w:rsid w:val="008853FD"/>
    <w:rsid w:val="008857FC"/>
    <w:rsid w:val="00885E47"/>
    <w:rsid w:val="00885FFE"/>
    <w:rsid w:val="0088607D"/>
    <w:rsid w:val="00886232"/>
    <w:rsid w:val="008863D3"/>
    <w:rsid w:val="008866EC"/>
    <w:rsid w:val="00886B90"/>
    <w:rsid w:val="008875B0"/>
    <w:rsid w:val="0088770B"/>
    <w:rsid w:val="00887BF4"/>
    <w:rsid w:val="00891593"/>
    <w:rsid w:val="00891769"/>
    <w:rsid w:val="008918E2"/>
    <w:rsid w:val="00891DAC"/>
    <w:rsid w:val="008925AD"/>
    <w:rsid w:val="008925C8"/>
    <w:rsid w:val="00892CE1"/>
    <w:rsid w:val="00892CF1"/>
    <w:rsid w:val="0089368C"/>
    <w:rsid w:val="008937E5"/>
    <w:rsid w:val="00893A08"/>
    <w:rsid w:val="00893A53"/>
    <w:rsid w:val="00893BC5"/>
    <w:rsid w:val="00893D17"/>
    <w:rsid w:val="0089447E"/>
    <w:rsid w:val="0089465A"/>
    <w:rsid w:val="0089537F"/>
    <w:rsid w:val="0089563F"/>
    <w:rsid w:val="00895DFC"/>
    <w:rsid w:val="008963DF"/>
    <w:rsid w:val="0089728B"/>
    <w:rsid w:val="0089759A"/>
    <w:rsid w:val="00897D74"/>
    <w:rsid w:val="008A029A"/>
    <w:rsid w:val="008A038D"/>
    <w:rsid w:val="008A0406"/>
    <w:rsid w:val="008A073C"/>
    <w:rsid w:val="008A0BB8"/>
    <w:rsid w:val="008A100F"/>
    <w:rsid w:val="008A1356"/>
    <w:rsid w:val="008A1D9B"/>
    <w:rsid w:val="008A1F1B"/>
    <w:rsid w:val="008A21F4"/>
    <w:rsid w:val="008A22CF"/>
    <w:rsid w:val="008A2507"/>
    <w:rsid w:val="008A288F"/>
    <w:rsid w:val="008A29FF"/>
    <w:rsid w:val="008A33BD"/>
    <w:rsid w:val="008A33D8"/>
    <w:rsid w:val="008A353C"/>
    <w:rsid w:val="008A37DB"/>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5C"/>
    <w:rsid w:val="008A7BB6"/>
    <w:rsid w:val="008B0103"/>
    <w:rsid w:val="008B0197"/>
    <w:rsid w:val="008B0549"/>
    <w:rsid w:val="008B0A1F"/>
    <w:rsid w:val="008B179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B7EC1"/>
    <w:rsid w:val="008C0ACB"/>
    <w:rsid w:val="008C0E69"/>
    <w:rsid w:val="008C0FF1"/>
    <w:rsid w:val="008C0FF5"/>
    <w:rsid w:val="008C143B"/>
    <w:rsid w:val="008C1FA1"/>
    <w:rsid w:val="008C1FB4"/>
    <w:rsid w:val="008C23E3"/>
    <w:rsid w:val="008C2956"/>
    <w:rsid w:val="008C2AE3"/>
    <w:rsid w:val="008C2E00"/>
    <w:rsid w:val="008C316C"/>
    <w:rsid w:val="008C4272"/>
    <w:rsid w:val="008C45AF"/>
    <w:rsid w:val="008C46A1"/>
    <w:rsid w:val="008C46D8"/>
    <w:rsid w:val="008C4C8D"/>
    <w:rsid w:val="008C516A"/>
    <w:rsid w:val="008C52EE"/>
    <w:rsid w:val="008C57EC"/>
    <w:rsid w:val="008C59FC"/>
    <w:rsid w:val="008C5CCF"/>
    <w:rsid w:val="008C5F49"/>
    <w:rsid w:val="008C601E"/>
    <w:rsid w:val="008C6048"/>
    <w:rsid w:val="008C6714"/>
    <w:rsid w:val="008C6A5E"/>
    <w:rsid w:val="008C6BBE"/>
    <w:rsid w:val="008C6CEB"/>
    <w:rsid w:val="008C6E95"/>
    <w:rsid w:val="008C7460"/>
    <w:rsid w:val="008C7774"/>
    <w:rsid w:val="008C7899"/>
    <w:rsid w:val="008C7B52"/>
    <w:rsid w:val="008C7FBE"/>
    <w:rsid w:val="008D1917"/>
    <w:rsid w:val="008D19B4"/>
    <w:rsid w:val="008D25D5"/>
    <w:rsid w:val="008D292C"/>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864"/>
    <w:rsid w:val="008E0983"/>
    <w:rsid w:val="008E2346"/>
    <w:rsid w:val="008E2353"/>
    <w:rsid w:val="008E25B9"/>
    <w:rsid w:val="008E2DCC"/>
    <w:rsid w:val="008E2EF5"/>
    <w:rsid w:val="008E362B"/>
    <w:rsid w:val="008E3714"/>
    <w:rsid w:val="008E3C47"/>
    <w:rsid w:val="008E3FEB"/>
    <w:rsid w:val="008E4194"/>
    <w:rsid w:val="008E4803"/>
    <w:rsid w:val="008E4FB1"/>
    <w:rsid w:val="008E50CE"/>
    <w:rsid w:val="008E54BC"/>
    <w:rsid w:val="008E57BC"/>
    <w:rsid w:val="008E5F8A"/>
    <w:rsid w:val="008E613A"/>
    <w:rsid w:val="008E62CB"/>
    <w:rsid w:val="008E63F5"/>
    <w:rsid w:val="008E684F"/>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BD6"/>
    <w:rsid w:val="008F2C41"/>
    <w:rsid w:val="008F3066"/>
    <w:rsid w:val="008F3265"/>
    <w:rsid w:val="008F3524"/>
    <w:rsid w:val="008F3637"/>
    <w:rsid w:val="008F3775"/>
    <w:rsid w:val="008F3987"/>
    <w:rsid w:val="008F403A"/>
    <w:rsid w:val="008F41EF"/>
    <w:rsid w:val="008F41F7"/>
    <w:rsid w:val="008F43C8"/>
    <w:rsid w:val="008F4466"/>
    <w:rsid w:val="008F4628"/>
    <w:rsid w:val="008F47A2"/>
    <w:rsid w:val="008F4A14"/>
    <w:rsid w:val="008F589C"/>
    <w:rsid w:val="008F6071"/>
    <w:rsid w:val="008F61B1"/>
    <w:rsid w:val="008F633B"/>
    <w:rsid w:val="008F6685"/>
    <w:rsid w:val="008F6B5A"/>
    <w:rsid w:val="008F6DD7"/>
    <w:rsid w:val="008F769B"/>
    <w:rsid w:val="008F76BB"/>
    <w:rsid w:val="008F7813"/>
    <w:rsid w:val="008F7A72"/>
    <w:rsid w:val="008F7C65"/>
    <w:rsid w:val="00901137"/>
    <w:rsid w:val="00901ADC"/>
    <w:rsid w:val="00901CDD"/>
    <w:rsid w:val="00901E8E"/>
    <w:rsid w:val="0090203C"/>
    <w:rsid w:val="00902465"/>
    <w:rsid w:val="00902680"/>
    <w:rsid w:val="0090295C"/>
    <w:rsid w:val="00902F90"/>
    <w:rsid w:val="00902FF8"/>
    <w:rsid w:val="00903117"/>
    <w:rsid w:val="00903145"/>
    <w:rsid w:val="009033D0"/>
    <w:rsid w:val="00903403"/>
    <w:rsid w:val="00903476"/>
    <w:rsid w:val="009038B8"/>
    <w:rsid w:val="00903F38"/>
    <w:rsid w:val="0090442C"/>
    <w:rsid w:val="00904551"/>
    <w:rsid w:val="009045E7"/>
    <w:rsid w:val="009047A8"/>
    <w:rsid w:val="00904DFB"/>
    <w:rsid w:val="009051E8"/>
    <w:rsid w:val="009057E6"/>
    <w:rsid w:val="00905D7F"/>
    <w:rsid w:val="00905DE2"/>
    <w:rsid w:val="00906088"/>
    <w:rsid w:val="00906A91"/>
    <w:rsid w:val="00906FDA"/>
    <w:rsid w:val="0091016E"/>
    <w:rsid w:val="00910631"/>
    <w:rsid w:val="009109FA"/>
    <w:rsid w:val="009115B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1AFF"/>
    <w:rsid w:val="00922A33"/>
    <w:rsid w:val="00922C75"/>
    <w:rsid w:val="009230C2"/>
    <w:rsid w:val="00923669"/>
    <w:rsid w:val="009236F3"/>
    <w:rsid w:val="00923D37"/>
    <w:rsid w:val="00923D61"/>
    <w:rsid w:val="00923E0B"/>
    <w:rsid w:val="00924167"/>
    <w:rsid w:val="00924A90"/>
    <w:rsid w:val="00925342"/>
    <w:rsid w:val="009253F3"/>
    <w:rsid w:val="009262E4"/>
    <w:rsid w:val="00926C21"/>
    <w:rsid w:val="00927968"/>
    <w:rsid w:val="00930098"/>
    <w:rsid w:val="0093012D"/>
    <w:rsid w:val="009301E5"/>
    <w:rsid w:val="0093061F"/>
    <w:rsid w:val="009312ED"/>
    <w:rsid w:val="00931927"/>
    <w:rsid w:val="009324D1"/>
    <w:rsid w:val="009327E3"/>
    <w:rsid w:val="00932B95"/>
    <w:rsid w:val="00932C98"/>
    <w:rsid w:val="009331D6"/>
    <w:rsid w:val="009332F9"/>
    <w:rsid w:val="009339A2"/>
    <w:rsid w:val="0093433B"/>
    <w:rsid w:val="009352D1"/>
    <w:rsid w:val="0093569E"/>
    <w:rsid w:val="0093592C"/>
    <w:rsid w:val="00935AFC"/>
    <w:rsid w:val="00935FA0"/>
    <w:rsid w:val="00936514"/>
    <w:rsid w:val="00936ACB"/>
    <w:rsid w:val="00936B41"/>
    <w:rsid w:val="009370DE"/>
    <w:rsid w:val="0093753A"/>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4C12"/>
    <w:rsid w:val="00945018"/>
    <w:rsid w:val="009450DC"/>
    <w:rsid w:val="009451C1"/>
    <w:rsid w:val="009451D6"/>
    <w:rsid w:val="00945B72"/>
    <w:rsid w:val="009460BA"/>
    <w:rsid w:val="00946A91"/>
    <w:rsid w:val="009477DE"/>
    <w:rsid w:val="00947A9A"/>
    <w:rsid w:val="00950090"/>
    <w:rsid w:val="0095020E"/>
    <w:rsid w:val="00950978"/>
    <w:rsid w:val="009509E1"/>
    <w:rsid w:val="00950B1A"/>
    <w:rsid w:val="009512B4"/>
    <w:rsid w:val="00951584"/>
    <w:rsid w:val="009518A5"/>
    <w:rsid w:val="009529CD"/>
    <w:rsid w:val="00953201"/>
    <w:rsid w:val="00953225"/>
    <w:rsid w:val="00953503"/>
    <w:rsid w:val="009536E6"/>
    <w:rsid w:val="00953DC9"/>
    <w:rsid w:val="00953EE0"/>
    <w:rsid w:val="009542D3"/>
    <w:rsid w:val="0095470F"/>
    <w:rsid w:val="00954ACF"/>
    <w:rsid w:val="00954DC3"/>
    <w:rsid w:val="00954FEA"/>
    <w:rsid w:val="00955827"/>
    <w:rsid w:val="00955B04"/>
    <w:rsid w:val="00955B77"/>
    <w:rsid w:val="0095611F"/>
    <w:rsid w:val="0095622A"/>
    <w:rsid w:val="00956542"/>
    <w:rsid w:val="0095674D"/>
    <w:rsid w:val="0095733A"/>
    <w:rsid w:val="009576FC"/>
    <w:rsid w:val="00957CC4"/>
    <w:rsid w:val="00957D2E"/>
    <w:rsid w:val="00960CA1"/>
    <w:rsid w:val="00961173"/>
    <w:rsid w:val="00961564"/>
    <w:rsid w:val="00961C18"/>
    <w:rsid w:val="00961D39"/>
    <w:rsid w:val="00962661"/>
    <w:rsid w:val="0096268A"/>
    <w:rsid w:val="00962771"/>
    <w:rsid w:val="00962CF6"/>
    <w:rsid w:val="00962D15"/>
    <w:rsid w:val="009631D3"/>
    <w:rsid w:val="0096350B"/>
    <w:rsid w:val="00963B95"/>
    <w:rsid w:val="009648B4"/>
    <w:rsid w:val="00964CFB"/>
    <w:rsid w:val="00964D6C"/>
    <w:rsid w:val="00964FAC"/>
    <w:rsid w:val="00965451"/>
    <w:rsid w:val="00965463"/>
    <w:rsid w:val="009654D0"/>
    <w:rsid w:val="009655DE"/>
    <w:rsid w:val="00965B28"/>
    <w:rsid w:val="00966BD8"/>
    <w:rsid w:val="00967384"/>
    <w:rsid w:val="009674F5"/>
    <w:rsid w:val="00967DEB"/>
    <w:rsid w:val="009708A0"/>
    <w:rsid w:val="00971DE1"/>
    <w:rsid w:val="00971E26"/>
    <w:rsid w:val="00972462"/>
    <w:rsid w:val="009724C3"/>
    <w:rsid w:val="00973160"/>
    <w:rsid w:val="009739DD"/>
    <w:rsid w:val="00973BD9"/>
    <w:rsid w:val="0097477F"/>
    <w:rsid w:val="00975130"/>
    <w:rsid w:val="009756C1"/>
    <w:rsid w:val="00975740"/>
    <w:rsid w:val="00975936"/>
    <w:rsid w:val="00975B3A"/>
    <w:rsid w:val="00975BEF"/>
    <w:rsid w:val="00975C9A"/>
    <w:rsid w:val="009765C0"/>
    <w:rsid w:val="00976BE5"/>
    <w:rsid w:val="00976DAF"/>
    <w:rsid w:val="00977045"/>
    <w:rsid w:val="0097714A"/>
    <w:rsid w:val="0097733C"/>
    <w:rsid w:val="00977D7C"/>
    <w:rsid w:val="00980F44"/>
    <w:rsid w:val="0098123F"/>
    <w:rsid w:val="0098135C"/>
    <w:rsid w:val="00981527"/>
    <w:rsid w:val="009815C6"/>
    <w:rsid w:val="009816AA"/>
    <w:rsid w:val="00981A31"/>
    <w:rsid w:val="009837CB"/>
    <w:rsid w:val="00983D1F"/>
    <w:rsid w:val="00983F46"/>
    <w:rsid w:val="009841EB"/>
    <w:rsid w:val="009848D9"/>
    <w:rsid w:val="00984CC8"/>
    <w:rsid w:val="00985622"/>
    <w:rsid w:val="0098584F"/>
    <w:rsid w:val="00985869"/>
    <w:rsid w:val="00985A74"/>
    <w:rsid w:val="00985B07"/>
    <w:rsid w:val="00985F0A"/>
    <w:rsid w:val="00986370"/>
    <w:rsid w:val="009869BF"/>
    <w:rsid w:val="00986DE6"/>
    <w:rsid w:val="00987043"/>
    <w:rsid w:val="0098705D"/>
    <w:rsid w:val="009871C2"/>
    <w:rsid w:val="009872B9"/>
    <w:rsid w:val="009877C4"/>
    <w:rsid w:val="00990081"/>
    <w:rsid w:val="00990659"/>
    <w:rsid w:val="00990AEA"/>
    <w:rsid w:val="00990C99"/>
    <w:rsid w:val="0099115F"/>
    <w:rsid w:val="00991266"/>
    <w:rsid w:val="009914A5"/>
    <w:rsid w:val="0099169E"/>
    <w:rsid w:val="009916A5"/>
    <w:rsid w:val="009919FE"/>
    <w:rsid w:val="009927D6"/>
    <w:rsid w:val="00992D54"/>
    <w:rsid w:val="00992DA5"/>
    <w:rsid w:val="009931E8"/>
    <w:rsid w:val="0099350A"/>
    <w:rsid w:val="009943B1"/>
    <w:rsid w:val="00994466"/>
    <w:rsid w:val="0099452B"/>
    <w:rsid w:val="00994578"/>
    <w:rsid w:val="0099536F"/>
    <w:rsid w:val="009957C7"/>
    <w:rsid w:val="00995886"/>
    <w:rsid w:val="00995AAF"/>
    <w:rsid w:val="00995F02"/>
    <w:rsid w:val="00996538"/>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C4C"/>
    <w:rsid w:val="009A2D48"/>
    <w:rsid w:val="009A2DA9"/>
    <w:rsid w:val="009A36E7"/>
    <w:rsid w:val="009A370B"/>
    <w:rsid w:val="009A3C26"/>
    <w:rsid w:val="009A4671"/>
    <w:rsid w:val="009A4921"/>
    <w:rsid w:val="009A4CA2"/>
    <w:rsid w:val="009A4CEB"/>
    <w:rsid w:val="009A51F5"/>
    <w:rsid w:val="009A524B"/>
    <w:rsid w:val="009A570C"/>
    <w:rsid w:val="009A5DE3"/>
    <w:rsid w:val="009A6333"/>
    <w:rsid w:val="009A6B5B"/>
    <w:rsid w:val="009A6EB3"/>
    <w:rsid w:val="009A73AB"/>
    <w:rsid w:val="009A7582"/>
    <w:rsid w:val="009A767E"/>
    <w:rsid w:val="009A7DC2"/>
    <w:rsid w:val="009A7EEC"/>
    <w:rsid w:val="009B00E4"/>
    <w:rsid w:val="009B01F8"/>
    <w:rsid w:val="009B0264"/>
    <w:rsid w:val="009B0372"/>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64CE"/>
    <w:rsid w:val="009B667B"/>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0F23"/>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98"/>
    <w:rsid w:val="009C7BC5"/>
    <w:rsid w:val="009D01E1"/>
    <w:rsid w:val="009D2617"/>
    <w:rsid w:val="009D32D1"/>
    <w:rsid w:val="009D331A"/>
    <w:rsid w:val="009D37CC"/>
    <w:rsid w:val="009D3A47"/>
    <w:rsid w:val="009D3BF8"/>
    <w:rsid w:val="009D408D"/>
    <w:rsid w:val="009D4412"/>
    <w:rsid w:val="009D4AFA"/>
    <w:rsid w:val="009D4BE0"/>
    <w:rsid w:val="009D4C88"/>
    <w:rsid w:val="009D5260"/>
    <w:rsid w:val="009D59E7"/>
    <w:rsid w:val="009D5DF7"/>
    <w:rsid w:val="009D60B5"/>
    <w:rsid w:val="009D622A"/>
    <w:rsid w:val="009D62EF"/>
    <w:rsid w:val="009D6545"/>
    <w:rsid w:val="009D6A53"/>
    <w:rsid w:val="009D6A8F"/>
    <w:rsid w:val="009D6B8E"/>
    <w:rsid w:val="009D6BCA"/>
    <w:rsid w:val="009D6CE9"/>
    <w:rsid w:val="009D7195"/>
    <w:rsid w:val="009D74A5"/>
    <w:rsid w:val="009D76C2"/>
    <w:rsid w:val="009D78A6"/>
    <w:rsid w:val="009D7EFE"/>
    <w:rsid w:val="009E0917"/>
    <w:rsid w:val="009E0E73"/>
    <w:rsid w:val="009E137E"/>
    <w:rsid w:val="009E1AB9"/>
    <w:rsid w:val="009E1D53"/>
    <w:rsid w:val="009E26F4"/>
    <w:rsid w:val="009E3A73"/>
    <w:rsid w:val="009E3C41"/>
    <w:rsid w:val="009E49F7"/>
    <w:rsid w:val="009E4CE3"/>
    <w:rsid w:val="009E4D29"/>
    <w:rsid w:val="009E504A"/>
    <w:rsid w:val="009E52C9"/>
    <w:rsid w:val="009E588B"/>
    <w:rsid w:val="009E6AA9"/>
    <w:rsid w:val="009E6AF2"/>
    <w:rsid w:val="009E6ED8"/>
    <w:rsid w:val="009E7F4E"/>
    <w:rsid w:val="009F0012"/>
    <w:rsid w:val="009F0D3D"/>
    <w:rsid w:val="009F16FE"/>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113"/>
    <w:rsid w:val="00A051AE"/>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6F73"/>
    <w:rsid w:val="00A205D3"/>
    <w:rsid w:val="00A2125E"/>
    <w:rsid w:val="00A214E8"/>
    <w:rsid w:val="00A21CA7"/>
    <w:rsid w:val="00A21E33"/>
    <w:rsid w:val="00A21ED7"/>
    <w:rsid w:val="00A21EE9"/>
    <w:rsid w:val="00A22369"/>
    <w:rsid w:val="00A22542"/>
    <w:rsid w:val="00A225E5"/>
    <w:rsid w:val="00A225F2"/>
    <w:rsid w:val="00A22605"/>
    <w:rsid w:val="00A234FC"/>
    <w:rsid w:val="00A23901"/>
    <w:rsid w:val="00A239B3"/>
    <w:rsid w:val="00A239F3"/>
    <w:rsid w:val="00A23A31"/>
    <w:rsid w:val="00A24624"/>
    <w:rsid w:val="00A25125"/>
    <w:rsid w:val="00A25188"/>
    <w:rsid w:val="00A256BE"/>
    <w:rsid w:val="00A25D13"/>
    <w:rsid w:val="00A26937"/>
    <w:rsid w:val="00A27534"/>
    <w:rsid w:val="00A305AE"/>
    <w:rsid w:val="00A306CF"/>
    <w:rsid w:val="00A31436"/>
    <w:rsid w:val="00A31703"/>
    <w:rsid w:val="00A319B3"/>
    <w:rsid w:val="00A31F02"/>
    <w:rsid w:val="00A31FFD"/>
    <w:rsid w:val="00A32F43"/>
    <w:rsid w:val="00A333C1"/>
    <w:rsid w:val="00A34F17"/>
    <w:rsid w:val="00A354EA"/>
    <w:rsid w:val="00A35826"/>
    <w:rsid w:val="00A35C0E"/>
    <w:rsid w:val="00A3619E"/>
    <w:rsid w:val="00A362EB"/>
    <w:rsid w:val="00A3688D"/>
    <w:rsid w:val="00A36931"/>
    <w:rsid w:val="00A37158"/>
    <w:rsid w:val="00A40A23"/>
    <w:rsid w:val="00A40CEF"/>
    <w:rsid w:val="00A40E02"/>
    <w:rsid w:val="00A4184B"/>
    <w:rsid w:val="00A422F5"/>
    <w:rsid w:val="00A429C3"/>
    <w:rsid w:val="00A42A23"/>
    <w:rsid w:val="00A43236"/>
    <w:rsid w:val="00A434E5"/>
    <w:rsid w:val="00A437D4"/>
    <w:rsid w:val="00A44928"/>
    <w:rsid w:val="00A44DD1"/>
    <w:rsid w:val="00A44EEA"/>
    <w:rsid w:val="00A46040"/>
    <w:rsid w:val="00A46650"/>
    <w:rsid w:val="00A466F8"/>
    <w:rsid w:val="00A46929"/>
    <w:rsid w:val="00A46A16"/>
    <w:rsid w:val="00A46A8C"/>
    <w:rsid w:val="00A46CDE"/>
    <w:rsid w:val="00A50887"/>
    <w:rsid w:val="00A50B2E"/>
    <w:rsid w:val="00A50D76"/>
    <w:rsid w:val="00A512DD"/>
    <w:rsid w:val="00A517EE"/>
    <w:rsid w:val="00A52224"/>
    <w:rsid w:val="00A522AF"/>
    <w:rsid w:val="00A52384"/>
    <w:rsid w:val="00A523F3"/>
    <w:rsid w:val="00A5247D"/>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CE3"/>
    <w:rsid w:val="00A57D55"/>
    <w:rsid w:val="00A6035F"/>
    <w:rsid w:val="00A60561"/>
    <w:rsid w:val="00A60666"/>
    <w:rsid w:val="00A6075F"/>
    <w:rsid w:val="00A60AB4"/>
    <w:rsid w:val="00A60FC6"/>
    <w:rsid w:val="00A6162F"/>
    <w:rsid w:val="00A61841"/>
    <w:rsid w:val="00A618FF"/>
    <w:rsid w:val="00A61993"/>
    <w:rsid w:val="00A624FD"/>
    <w:rsid w:val="00A62D56"/>
    <w:rsid w:val="00A62E9B"/>
    <w:rsid w:val="00A64187"/>
    <w:rsid w:val="00A641FA"/>
    <w:rsid w:val="00A64A43"/>
    <w:rsid w:val="00A64C7A"/>
    <w:rsid w:val="00A64DCF"/>
    <w:rsid w:val="00A64E83"/>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A7E"/>
    <w:rsid w:val="00A72D9D"/>
    <w:rsid w:val="00A73E14"/>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3DA"/>
    <w:rsid w:val="00A83413"/>
    <w:rsid w:val="00A838F5"/>
    <w:rsid w:val="00A83A5D"/>
    <w:rsid w:val="00A83BC6"/>
    <w:rsid w:val="00A83CCB"/>
    <w:rsid w:val="00A83DED"/>
    <w:rsid w:val="00A84047"/>
    <w:rsid w:val="00A84316"/>
    <w:rsid w:val="00A849EC"/>
    <w:rsid w:val="00A84C34"/>
    <w:rsid w:val="00A84E36"/>
    <w:rsid w:val="00A852F5"/>
    <w:rsid w:val="00A86823"/>
    <w:rsid w:val="00A869F8"/>
    <w:rsid w:val="00A86C7D"/>
    <w:rsid w:val="00A8701E"/>
    <w:rsid w:val="00A871D8"/>
    <w:rsid w:val="00A874B5"/>
    <w:rsid w:val="00A877EC"/>
    <w:rsid w:val="00A8785B"/>
    <w:rsid w:val="00A8791E"/>
    <w:rsid w:val="00A87BAC"/>
    <w:rsid w:val="00A904A4"/>
    <w:rsid w:val="00A9099B"/>
    <w:rsid w:val="00A90AA8"/>
    <w:rsid w:val="00A90B10"/>
    <w:rsid w:val="00A90FF1"/>
    <w:rsid w:val="00A91C6E"/>
    <w:rsid w:val="00A91E82"/>
    <w:rsid w:val="00A9283B"/>
    <w:rsid w:val="00A934A6"/>
    <w:rsid w:val="00A934EF"/>
    <w:rsid w:val="00A9404D"/>
    <w:rsid w:val="00A94413"/>
    <w:rsid w:val="00A945AD"/>
    <w:rsid w:val="00A945C5"/>
    <w:rsid w:val="00A94829"/>
    <w:rsid w:val="00A949A1"/>
    <w:rsid w:val="00A94B65"/>
    <w:rsid w:val="00A94DD8"/>
    <w:rsid w:val="00A95291"/>
    <w:rsid w:val="00A959F4"/>
    <w:rsid w:val="00A96AC4"/>
    <w:rsid w:val="00A96BE3"/>
    <w:rsid w:val="00A96F10"/>
    <w:rsid w:val="00A9781E"/>
    <w:rsid w:val="00A97B1A"/>
    <w:rsid w:val="00A97E3E"/>
    <w:rsid w:val="00AA0AA4"/>
    <w:rsid w:val="00AA0DF9"/>
    <w:rsid w:val="00AA0F94"/>
    <w:rsid w:val="00AA0FEE"/>
    <w:rsid w:val="00AA178C"/>
    <w:rsid w:val="00AA20F7"/>
    <w:rsid w:val="00AA2205"/>
    <w:rsid w:val="00AA26EF"/>
    <w:rsid w:val="00AA27FA"/>
    <w:rsid w:val="00AA282D"/>
    <w:rsid w:val="00AA2D73"/>
    <w:rsid w:val="00AA35EF"/>
    <w:rsid w:val="00AA3690"/>
    <w:rsid w:val="00AA3F23"/>
    <w:rsid w:val="00AA4167"/>
    <w:rsid w:val="00AA4848"/>
    <w:rsid w:val="00AA4866"/>
    <w:rsid w:val="00AA5379"/>
    <w:rsid w:val="00AA5591"/>
    <w:rsid w:val="00AA5CC6"/>
    <w:rsid w:val="00AA5E93"/>
    <w:rsid w:val="00AA5FF3"/>
    <w:rsid w:val="00AA690C"/>
    <w:rsid w:val="00AA692D"/>
    <w:rsid w:val="00AA6BFE"/>
    <w:rsid w:val="00AA6CF1"/>
    <w:rsid w:val="00AA710F"/>
    <w:rsid w:val="00AA74F5"/>
    <w:rsid w:val="00AA7650"/>
    <w:rsid w:val="00AB00F5"/>
    <w:rsid w:val="00AB144D"/>
    <w:rsid w:val="00AB14FD"/>
    <w:rsid w:val="00AB158E"/>
    <w:rsid w:val="00AB1AC0"/>
    <w:rsid w:val="00AB1C8B"/>
    <w:rsid w:val="00AB1DB5"/>
    <w:rsid w:val="00AB1E8B"/>
    <w:rsid w:val="00AB21A2"/>
    <w:rsid w:val="00AB2451"/>
    <w:rsid w:val="00AB268F"/>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B77E5"/>
    <w:rsid w:val="00AC00C7"/>
    <w:rsid w:val="00AC0127"/>
    <w:rsid w:val="00AC0A35"/>
    <w:rsid w:val="00AC1515"/>
    <w:rsid w:val="00AC17C5"/>
    <w:rsid w:val="00AC1A2D"/>
    <w:rsid w:val="00AC1E69"/>
    <w:rsid w:val="00AC201E"/>
    <w:rsid w:val="00AC2147"/>
    <w:rsid w:val="00AC235C"/>
    <w:rsid w:val="00AC2935"/>
    <w:rsid w:val="00AC2E48"/>
    <w:rsid w:val="00AC2EB0"/>
    <w:rsid w:val="00AC2FFF"/>
    <w:rsid w:val="00AC361A"/>
    <w:rsid w:val="00AC3E8B"/>
    <w:rsid w:val="00AC413C"/>
    <w:rsid w:val="00AC463E"/>
    <w:rsid w:val="00AC66AD"/>
    <w:rsid w:val="00AC678D"/>
    <w:rsid w:val="00AC68C3"/>
    <w:rsid w:val="00AC694E"/>
    <w:rsid w:val="00AC73EE"/>
    <w:rsid w:val="00AC76AC"/>
    <w:rsid w:val="00AD02A0"/>
    <w:rsid w:val="00AD0497"/>
    <w:rsid w:val="00AD0D8D"/>
    <w:rsid w:val="00AD1190"/>
    <w:rsid w:val="00AD1293"/>
    <w:rsid w:val="00AD1340"/>
    <w:rsid w:val="00AD1F5B"/>
    <w:rsid w:val="00AD2247"/>
    <w:rsid w:val="00AD232A"/>
    <w:rsid w:val="00AD2AB6"/>
    <w:rsid w:val="00AD2D2C"/>
    <w:rsid w:val="00AD2D59"/>
    <w:rsid w:val="00AD3856"/>
    <w:rsid w:val="00AD3962"/>
    <w:rsid w:val="00AD3C92"/>
    <w:rsid w:val="00AD53EF"/>
    <w:rsid w:val="00AD55B0"/>
    <w:rsid w:val="00AD56DD"/>
    <w:rsid w:val="00AD588A"/>
    <w:rsid w:val="00AD606A"/>
    <w:rsid w:val="00AD7264"/>
    <w:rsid w:val="00AD74E2"/>
    <w:rsid w:val="00AD7563"/>
    <w:rsid w:val="00AD7C8A"/>
    <w:rsid w:val="00AE0895"/>
    <w:rsid w:val="00AE0B04"/>
    <w:rsid w:val="00AE0CEA"/>
    <w:rsid w:val="00AE1069"/>
    <w:rsid w:val="00AE1167"/>
    <w:rsid w:val="00AE1249"/>
    <w:rsid w:val="00AE1C6C"/>
    <w:rsid w:val="00AE2A91"/>
    <w:rsid w:val="00AE335F"/>
    <w:rsid w:val="00AE34B5"/>
    <w:rsid w:val="00AE3ACF"/>
    <w:rsid w:val="00AE4CEE"/>
    <w:rsid w:val="00AE5068"/>
    <w:rsid w:val="00AE5370"/>
    <w:rsid w:val="00AE6600"/>
    <w:rsid w:val="00AE6BAE"/>
    <w:rsid w:val="00AE6F99"/>
    <w:rsid w:val="00AE715C"/>
    <w:rsid w:val="00AE71D0"/>
    <w:rsid w:val="00AE771A"/>
    <w:rsid w:val="00AF0126"/>
    <w:rsid w:val="00AF019F"/>
    <w:rsid w:val="00AF02DE"/>
    <w:rsid w:val="00AF0542"/>
    <w:rsid w:val="00AF0670"/>
    <w:rsid w:val="00AF0A2F"/>
    <w:rsid w:val="00AF0EB9"/>
    <w:rsid w:val="00AF0F4C"/>
    <w:rsid w:val="00AF1C12"/>
    <w:rsid w:val="00AF1E9F"/>
    <w:rsid w:val="00AF2460"/>
    <w:rsid w:val="00AF2C49"/>
    <w:rsid w:val="00AF3171"/>
    <w:rsid w:val="00AF34D2"/>
    <w:rsid w:val="00AF3626"/>
    <w:rsid w:val="00AF3A80"/>
    <w:rsid w:val="00AF3C82"/>
    <w:rsid w:val="00AF4A26"/>
    <w:rsid w:val="00AF4D45"/>
    <w:rsid w:val="00AF4E4A"/>
    <w:rsid w:val="00AF509F"/>
    <w:rsid w:val="00AF5B1F"/>
    <w:rsid w:val="00AF5C47"/>
    <w:rsid w:val="00AF61D3"/>
    <w:rsid w:val="00AF7042"/>
    <w:rsid w:val="00AF74CF"/>
    <w:rsid w:val="00AF76DF"/>
    <w:rsid w:val="00AF79D0"/>
    <w:rsid w:val="00B00356"/>
    <w:rsid w:val="00B004C9"/>
    <w:rsid w:val="00B00B87"/>
    <w:rsid w:val="00B00C92"/>
    <w:rsid w:val="00B014D2"/>
    <w:rsid w:val="00B01508"/>
    <w:rsid w:val="00B01DE7"/>
    <w:rsid w:val="00B02302"/>
    <w:rsid w:val="00B02526"/>
    <w:rsid w:val="00B02841"/>
    <w:rsid w:val="00B02854"/>
    <w:rsid w:val="00B02A47"/>
    <w:rsid w:val="00B02C93"/>
    <w:rsid w:val="00B02F46"/>
    <w:rsid w:val="00B031B4"/>
    <w:rsid w:val="00B038D8"/>
    <w:rsid w:val="00B048E5"/>
    <w:rsid w:val="00B04D59"/>
    <w:rsid w:val="00B05086"/>
    <w:rsid w:val="00B05390"/>
    <w:rsid w:val="00B05473"/>
    <w:rsid w:val="00B05E7F"/>
    <w:rsid w:val="00B06010"/>
    <w:rsid w:val="00B0650D"/>
    <w:rsid w:val="00B06783"/>
    <w:rsid w:val="00B068B9"/>
    <w:rsid w:val="00B06CDF"/>
    <w:rsid w:val="00B070BD"/>
    <w:rsid w:val="00B07582"/>
    <w:rsid w:val="00B077DB"/>
    <w:rsid w:val="00B07CBC"/>
    <w:rsid w:val="00B07DA6"/>
    <w:rsid w:val="00B07F04"/>
    <w:rsid w:val="00B1059A"/>
    <w:rsid w:val="00B109EC"/>
    <w:rsid w:val="00B10A4C"/>
    <w:rsid w:val="00B10DD1"/>
    <w:rsid w:val="00B113F0"/>
    <w:rsid w:val="00B114B7"/>
    <w:rsid w:val="00B1155B"/>
    <w:rsid w:val="00B1191C"/>
    <w:rsid w:val="00B1243E"/>
    <w:rsid w:val="00B12982"/>
    <w:rsid w:val="00B12C06"/>
    <w:rsid w:val="00B12D8D"/>
    <w:rsid w:val="00B13398"/>
    <w:rsid w:val="00B13DD4"/>
    <w:rsid w:val="00B13F63"/>
    <w:rsid w:val="00B13F72"/>
    <w:rsid w:val="00B144C4"/>
    <w:rsid w:val="00B148A7"/>
    <w:rsid w:val="00B1590D"/>
    <w:rsid w:val="00B15FBD"/>
    <w:rsid w:val="00B16102"/>
    <w:rsid w:val="00B16466"/>
    <w:rsid w:val="00B16B9D"/>
    <w:rsid w:val="00B16BCF"/>
    <w:rsid w:val="00B17366"/>
    <w:rsid w:val="00B1774D"/>
    <w:rsid w:val="00B17770"/>
    <w:rsid w:val="00B17792"/>
    <w:rsid w:val="00B17D12"/>
    <w:rsid w:val="00B17EC7"/>
    <w:rsid w:val="00B200C7"/>
    <w:rsid w:val="00B20499"/>
    <w:rsid w:val="00B21023"/>
    <w:rsid w:val="00B21920"/>
    <w:rsid w:val="00B219D7"/>
    <w:rsid w:val="00B21AC2"/>
    <w:rsid w:val="00B21FED"/>
    <w:rsid w:val="00B22542"/>
    <w:rsid w:val="00B22CE3"/>
    <w:rsid w:val="00B22D61"/>
    <w:rsid w:val="00B2300F"/>
    <w:rsid w:val="00B232C5"/>
    <w:rsid w:val="00B23BF9"/>
    <w:rsid w:val="00B246A2"/>
    <w:rsid w:val="00B24975"/>
    <w:rsid w:val="00B24A3F"/>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346"/>
    <w:rsid w:val="00B308F9"/>
    <w:rsid w:val="00B30C91"/>
    <w:rsid w:val="00B30D50"/>
    <w:rsid w:val="00B3161A"/>
    <w:rsid w:val="00B317F0"/>
    <w:rsid w:val="00B319AC"/>
    <w:rsid w:val="00B31B6A"/>
    <w:rsid w:val="00B32E92"/>
    <w:rsid w:val="00B332F5"/>
    <w:rsid w:val="00B3335A"/>
    <w:rsid w:val="00B3355F"/>
    <w:rsid w:val="00B3387F"/>
    <w:rsid w:val="00B3391B"/>
    <w:rsid w:val="00B33BEB"/>
    <w:rsid w:val="00B344CF"/>
    <w:rsid w:val="00B3451D"/>
    <w:rsid w:val="00B34C0B"/>
    <w:rsid w:val="00B34E01"/>
    <w:rsid w:val="00B35F4E"/>
    <w:rsid w:val="00B35FCE"/>
    <w:rsid w:val="00B361A3"/>
    <w:rsid w:val="00B3673B"/>
    <w:rsid w:val="00B36AB3"/>
    <w:rsid w:val="00B36D5D"/>
    <w:rsid w:val="00B36E05"/>
    <w:rsid w:val="00B36EC1"/>
    <w:rsid w:val="00B36EC5"/>
    <w:rsid w:val="00B370C5"/>
    <w:rsid w:val="00B378FE"/>
    <w:rsid w:val="00B37EE3"/>
    <w:rsid w:val="00B41008"/>
    <w:rsid w:val="00B41139"/>
    <w:rsid w:val="00B41383"/>
    <w:rsid w:val="00B413BD"/>
    <w:rsid w:val="00B41A05"/>
    <w:rsid w:val="00B41DA2"/>
    <w:rsid w:val="00B4292F"/>
    <w:rsid w:val="00B42F7F"/>
    <w:rsid w:val="00B43191"/>
    <w:rsid w:val="00B432EF"/>
    <w:rsid w:val="00B438E4"/>
    <w:rsid w:val="00B439A4"/>
    <w:rsid w:val="00B44231"/>
    <w:rsid w:val="00B44CE3"/>
    <w:rsid w:val="00B44DB1"/>
    <w:rsid w:val="00B455D6"/>
    <w:rsid w:val="00B459D0"/>
    <w:rsid w:val="00B462A2"/>
    <w:rsid w:val="00B47C82"/>
    <w:rsid w:val="00B50324"/>
    <w:rsid w:val="00B50A94"/>
    <w:rsid w:val="00B51070"/>
    <w:rsid w:val="00B52453"/>
    <w:rsid w:val="00B52561"/>
    <w:rsid w:val="00B52C97"/>
    <w:rsid w:val="00B531EB"/>
    <w:rsid w:val="00B539AB"/>
    <w:rsid w:val="00B53C74"/>
    <w:rsid w:val="00B53EA8"/>
    <w:rsid w:val="00B5425E"/>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6AA1"/>
    <w:rsid w:val="00B671CC"/>
    <w:rsid w:val="00B700C1"/>
    <w:rsid w:val="00B7015E"/>
    <w:rsid w:val="00B703D1"/>
    <w:rsid w:val="00B703EE"/>
    <w:rsid w:val="00B705FB"/>
    <w:rsid w:val="00B70D4B"/>
    <w:rsid w:val="00B70E93"/>
    <w:rsid w:val="00B7101F"/>
    <w:rsid w:val="00B715B4"/>
    <w:rsid w:val="00B7170D"/>
    <w:rsid w:val="00B726B7"/>
    <w:rsid w:val="00B72E8A"/>
    <w:rsid w:val="00B73115"/>
    <w:rsid w:val="00B732BC"/>
    <w:rsid w:val="00B735C6"/>
    <w:rsid w:val="00B7410C"/>
    <w:rsid w:val="00B74283"/>
    <w:rsid w:val="00B7484D"/>
    <w:rsid w:val="00B74D6B"/>
    <w:rsid w:val="00B75345"/>
    <w:rsid w:val="00B75869"/>
    <w:rsid w:val="00B75A9C"/>
    <w:rsid w:val="00B75BB2"/>
    <w:rsid w:val="00B75F97"/>
    <w:rsid w:val="00B76664"/>
    <w:rsid w:val="00B76774"/>
    <w:rsid w:val="00B77402"/>
    <w:rsid w:val="00B775EE"/>
    <w:rsid w:val="00B77720"/>
    <w:rsid w:val="00B779EC"/>
    <w:rsid w:val="00B77EBD"/>
    <w:rsid w:val="00B77F9D"/>
    <w:rsid w:val="00B8023A"/>
    <w:rsid w:val="00B805BB"/>
    <w:rsid w:val="00B8078D"/>
    <w:rsid w:val="00B812E5"/>
    <w:rsid w:val="00B81BFA"/>
    <w:rsid w:val="00B82DD0"/>
    <w:rsid w:val="00B82ED6"/>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0D2"/>
    <w:rsid w:val="00B916FC"/>
    <w:rsid w:val="00B91E2C"/>
    <w:rsid w:val="00B92312"/>
    <w:rsid w:val="00B92401"/>
    <w:rsid w:val="00B937C1"/>
    <w:rsid w:val="00B93893"/>
    <w:rsid w:val="00B93C3E"/>
    <w:rsid w:val="00B94107"/>
    <w:rsid w:val="00B949B7"/>
    <w:rsid w:val="00B956C7"/>
    <w:rsid w:val="00B957CD"/>
    <w:rsid w:val="00B9597F"/>
    <w:rsid w:val="00B95AB9"/>
    <w:rsid w:val="00B95C71"/>
    <w:rsid w:val="00B96190"/>
    <w:rsid w:val="00B96374"/>
    <w:rsid w:val="00B96922"/>
    <w:rsid w:val="00B97831"/>
    <w:rsid w:val="00B97A8E"/>
    <w:rsid w:val="00BA08AB"/>
    <w:rsid w:val="00BA0EC7"/>
    <w:rsid w:val="00BA104A"/>
    <w:rsid w:val="00BA1A4B"/>
    <w:rsid w:val="00BA1AFE"/>
    <w:rsid w:val="00BA2047"/>
    <w:rsid w:val="00BA2628"/>
    <w:rsid w:val="00BA2ED2"/>
    <w:rsid w:val="00BA339C"/>
    <w:rsid w:val="00BA39F1"/>
    <w:rsid w:val="00BA3EBB"/>
    <w:rsid w:val="00BA43DF"/>
    <w:rsid w:val="00BA481E"/>
    <w:rsid w:val="00BA4B5A"/>
    <w:rsid w:val="00BA4BC7"/>
    <w:rsid w:val="00BA518A"/>
    <w:rsid w:val="00BA5197"/>
    <w:rsid w:val="00BA5289"/>
    <w:rsid w:val="00BA53FA"/>
    <w:rsid w:val="00BA5518"/>
    <w:rsid w:val="00BA5527"/>
    <w:rsid w:val="00BA5781"/>
    <w:rsid w:val="00BA672B"/>
    <w:rsid w:val="00BA69B3"/>
    <w:rsid w:val="00BA6C46"/>
    <w:rsid w:val="00BA6F72"/>
    <w:rsid w:val="00BB0468"/>
    <w:rsid w:val="00BB08A6"/>
    <w:rsid w:val="00BB0BC9"/>
    <w:rsid w:val="00BB0D24"/>
    <w:rsid w:val="00BB1611"/>
    <w:rsid w:val="00BB18CD"/>
    <w:rsid w:val="00BB1EB7"/>
    <w:rsid w:val="00BB2123"/>
    <w:rsid w:val="00BB2BA9"/>
    <w:rsid w:val="00BB2DAC"/>
    <w:rsid w:val="00BB316C"/>
    <w:rsid w:val="00BB382B"/>
    <w:rsid w:val="00BB383C"/>
    <w:rsid w:val="00BB385A"/>
    <w:rsid w:val="00BB38D0"/>
    <w:rsid w:val="00BB3916"/>
    <w:rsid w:val="00BB3B26"/>
    <w:rsid w:val="00BB3E94"/>
    <w:rsid w:val="00BB41B8"/>
    <w:rsid w:val="00BB491D"/>
    <w:rsid w:val="00BB4BF3"/>
    <w:rsid w:val="00BB4C87"/>
    <w:rsid w:val="00BB5DB9"/>
    <w:rsid w:val="00BB653F"/>
    <w:rsid w:val="00BB7549"/>
    <w:rsid w:val="00BB798E"/>
    <w:rsid w:val="00BB7D06"/>
    <w:rsid w:val="00BC019B"/>
    <w:rsid w:val="00BC05F9"/>
    <w:rsid w:val="00BC06F9"/>
    <w:rsid w:val="00BC078D"/>
    <w:rsid w:val="00BC0A33"/>
    <w:rsid w:val="00BC1811"/>
    <w:rsid w:val="00BC1AB8"/>
    <w:rsid w:val="00BC28AD"/>
    <w:rsid w:val="00BC2FAA"/>
    <w:rsid w:val="00BC3926"/>
    <w:rsid w:val="00BC431C"/>
    <w:rsid w:val="00BC44A0"/>
    <w:rsid w:val="00BC475F"/>
    <w:rsid w:val="00BC5425"/>
    <w:rsid w:val="00BC55D8"/>
    <w:rsid w:val="00BC5BF0"/>
    <w:rsid w:val="00BC5CE4"/>
    <w:rsid w:val="00BC614F"/>
    <w:rsid w:val="00BC6452"/>
    <w:rsid w:val="00BC678B"/>
    <w:rsid w:val="00BC68CB"/>
    <w:rsid w:val="00BC6A18"/>
    <w:rsid w:val="00BC6B5C"/>
    <w:rsid w:val="00BC6F7C"/>
    <w:rsid w:val="00BC71A3"/>
    <w:rsid w:val="00BC755B"/>
    <w:rsid w:val="00BD0165"/>
    <w:rsid w:val="00BD0409"/>
    <w:rsid w:val="00BD08E1"/>
    <w:rsid w:val="00BD0A90"/>
    <w:rsid w:val="00BD0D80"/>
    <w:rsid w:val="00BD165F"/>
    <w:rsid w:val="00BD16AA"/>
    <w:rsid w:val="00BD1928"/>
    <w:rsid w:val="00BD1945"/>
    <w:rsid w:val="00BD1A95"/>
    <w:rsid w:val="00BD1DA2"/>
    <w:rsid w:val="00BD1FD2"/>
    <w:rsid w:val="00BD220A"/>
    <w:rsid w:val="00BD294C"/>
    <w:rsid w:val="00BD2D61"/>
    <w:rsid w:val="00BD3020"/>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958"/>
    <w:rsid w:val="00BE1A75"/>
    <w:rsid w:val="00BE1B6D"/>
    <w:rsid w:val="00BE204F"/>
    <w:rsid w:val="00BE20AC"/>
    <w:rsid w:val="00BE281F"/>
    <w:rsid w:val="00BE29B4"/>
    <w:rsid w:val="00BE2D25"/>
    <w:rsid w:val="00BE3A35"/>
    <w:rsid w:val="00BE3A76"/>
    <w:rsid w:val="00BE41A7"/>
    <w:rsid w:val="00BE44BA"/>
    <w:rsid w:val="00BE45AE"/>
    <w:rsid w:val="00BE50DF"/>
    <w:rsid w:val="00BE53B9"/>
    <w:rsid w:val="00BE5411"/>
    <w:rsid w:val="00BE5520"/>
    <w:rsid w:val="00BE5D2F"/>
    <w:rsid w:val="00BE6016"/>
    <w:rsid w:val="00BE6044"/>
    <w:rsid w:val="00BE6628"/>
    <w:rsid w:val="00BE6714"/>
    <w:rsid w:val="00BE68AE"/>
    <w:rsid w:val="00BE6EA6"/>
    <w:rsid w:val="00BE70D3"/>
    <w:rsid w:val="00BE7129"/>
    <w:rsid w:val="00BE732C"/>
    <w:rsid w:val="00BE77C8"/>
    <w:rsid w:val="00BF0FC8"/>
    <w:rsid w:val="00BF106D"/>
    <w:rsid w:val="00BF1367"/>
    <w:rsid w:val="00BF1945"/>
    <w:rsid w:val="00BF1D73"/>
    <w:rsid w:val="00BF1E7D"/>
    <w:rsid w:val="00BF21D2"/>
    <w:rsid w:val="00BF2264"/>
    <w:rsid w:val="00BF25A8"/>
    <w:rsid w:val="00BF28B1"/>
    <w:rsid w:val="00BF303F"/>
    <w:rsid w:val="00BF3085"/>
    <w:rsid w:val="00BF332E"/>
    <w:rsid w:val="00BF362D"/>
    <w:rsid w:val="00BF3816"/>
    <w:rsid w:val="00BF3DFD"/>
    <w:rsid w:val="00BF4174"/>
    <w:rsid w:val="00BF4261"/>
    <w:rsid w:val="00BF4263"/>
    <w:rsid w:val="00BF4511"/>
    <w:rsid w:val="00BF48E0"/>
    <w:rsid w:val="00BF4BA0"/>
    <w:rsid w:val="00BF4D30"/>
    <w:rsid w:val="00BF55FF"/>
    <w:rsid w:val="00BF57D5"/>
    <w:rsid w:val="00BF5962"/>
    <w:rsid w:val="00BF5C73"/>
    <w:rsid w:val="00BF6D96"/>
    <w:rsid w:val="00BF77A0"/>
    <w:rsid w:val="00BF7B16"/>
    <w:rsid w:val="00BF7E70"/>
    <w:rsid w:val="00BF7EFA"/>
    <w:rsid w:val="00BF7FB0"/>
    <w:rsid w:val="00C00251"/>
    <w:rsid w:val="00C004F3"/>
    <w:rsid w:val="00C006FC"/>
    <w:rsid w:val="00C008B2"/>
    <w:rsid w:val="00C010C6"/>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5CEF"/>
    <w:rsid w:val="00C064D1"/>
    <w:rsid w:val="00C064E9"/>
    <w:rsid w:val="00C06924"/>
    <w:rsid w:val="00C06A6F"/>
    <w:rsid w:val="00C06BBF"/>
    <w:rsid w:val="00C06D25"/>
    <w:rsid w:val="00C06D92"/>
    <w:rsid w:val="00C06DBD"/>
    <w:rsid w:val="00C07564"/>
    <w:rsid w:val="00C076F0"/>
    <w:rsid w:val="00C07F33"/>
    <w:rsid w:val="00C1031A"/>
    <w:rsid w:val="00C10882"/>
    <w:rsid w:val="00C116DB"/>
    <w:rsid w:val="00C11709"/>
    <w:rsid w:val="00C11AF5"/>
    <w:rsid w:val="00C11B9A"/>
    <w:rsid w:val="00C11BE9"/>
    <w:rsid w:val="00C11D0A"/>
    <w:rsid w:val="00C12070"/>
    <w:rsid w:val="00C12158"/>
    <w:rsid w:val="00C13716"/>
    <w:rsid w:val="00C137DF"/>
    <w:rsid w:val="00C13916"/>
    <w:rsid w:val="00C13BAE"/>
    <w:rsid w:val="00C13DC3"/>
    <w:rsid w:val="00C15548"/>
    <w:rsid w:val="00C1633C"/>
    <w:rsid w:val="00C16777"/>
    <w:rsid w:val="00C168F0"/>
    <w:rsid w:val="00C17091"/>
    <w:rsid w:val="00C170E2"/>
    <w:rsid w:val="00C177D2"/>
    <w:rsid w:val="00C17B87"/>
    <w:rsid w:val="00C17C1A"/>
    <w:rsid w:val="00C20292"/>
    <w:rsid w:val="00C205DA"/>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8CA"/>
    <w:rsid w:val="00C24B7C"/>
    <w:rsid w:val="00C24FAF"/>
    <w:rsid w:val="00C25281"/>
    <w:rsid w:val="00C257AC"/>
    <w:rsid w:val="00C259D6"/>
    <w:rsid w:val="00C25E74"/>
    <w:rsid w:val="00C261AB"/>
    <w:rsid w:val="00C266C7"/>
    <w:rsid w:val="00C26E1C"/>
    <w:rsid w:val="00C270D1"/>
    <w:rsid w:val="00C277E9"/>
    <w:rsid w:val="00C3019E"/>
    <w:rsid w:val="00C303A3"/>
    <w:rsid w:val="00C3059C"/>
    <w:rsid w:val="00C30B84"/>
    <w:rsid w:val="00C30BBE"/>
    <w:rsid w:val="00C3105D"/>
    <w:rsid w:val="00C318F1"/>
    <w:rsid w:val="00C3228E"/>
    <w:rsid w:val="00C32978"/>
    <w:rsid w:val="00C32B8A"/>
    <w:rsid w:val="00C33D66"/>
    <w:rsid w:val="00C33F06"/>
    <w:rsid w:val="00C33F6C"/>
    <w:rsid w:val="00C3447C"/>
    <w:rsid w:val="00C3479C"/>
    <w:rsid w:val="00C34899"/>
    <w:rsid w:val="00C348CA"/>
    <w:rsid w:val="00C3500B"/>
    <w:rsid w:val="00C3501A"/>
    <w:rsid w:val="00C3575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39E7"/>
    <w:rsid w:val="00C441DF"/>
    <w:rsid w:val="00C44329"/>
    <w:rsid w:val="00C443BB"/>
    <w:rsid w:val="00C445C6"/>
    <w:rsid w:val="00C44755"/>
    <w:rsid w:val="00C44AB0"/>
    <w:rsid w:val="00C45374"/>
    <w:rsid w:val="00C453B5"/>
    <w:rsid w:val="00C458FA"/>
    <w:rsid w:val="00C45B96"/>
    <w:rsid w:val="00C46518"/>
    <w:rsid w:val="00C4654C"/>
    <w:rsid w:val="00C46A06"/>
    <w:rsid w:val="00C4772D"/>
    <w:rsid w:val="00C47887"/>
    <w:rsid w:val="00C47933"/>
    <w:rsid w:val="00C47A05"/>
    <w:rsid w:val="00C47E01"/>
    <w:rsid w:val="00C47E23"/>
    <w:rsid w:val="00C47F88"/>
    <w:rsid w:val="00C50E13"/>
    <w:rsid w:val="00C51095"/>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6BB"/>
    <w:rsid w:val="00C61AA9"/>
    <w:rsid w:val="00C61C58"/>
    <w:rsid w:val="00C62148"/>
    <w:rsid w:val="00C626B8"/>
    <w:rsid w:val="00C62808"/>
    <w:rsid w:val="00C6283C"/>
    <w:rsid w:val="00C63273"/>
    <w:rsid w:val="00C633A9"/>
    <w:rsid w:val="00C63A22"/>
    <w:rsid w:val="00C63D14"/>
    <w:rsid w:val="00C63E6D"/>
    <w:rsid w:val="00C63E83"/>
    <w:rsid w:val="00C640F8"/>
    <w:rsid w:val="00C6417C"/>
    <w:rsid w:val="00C641B8"/>
    <w:rsid w:val="00C64544"/>
    <w:rsid w:val="00C6508F"/>
    <w:rsid w:val="00C6584A"/>
    <w:rsid w:val="00C65D2A"/>
    <w:rsid w:val="00C66035"/>
    <w:rsid w:val="00C66109"/>
    <w:rsid w:val="00C66760"/>
    <w:rsid w:val="00C66989"/>
    <w:rsid w:val="00C67A81"/>
    <w:rsid w:val="00C705F3"/>
    <w:rsid w:val="00C7082B"/>
    <w:rsid w:val="00C70D62"/>
    <w:rsid w:val="00C70EE4"/>
    <w:rsid w:val="00C7192F"/>
    <w:rsid w:val="00C71DFE"/>
    <w:rsid w:val="00C71F2F"/>
    <w:rsid w:val="00C72415"/>
    <w:rsid w:val="00C72451"/>
    <w:rsid w:val="00C72EEC"/>
    <w:rsid w:val="00C73E5D"/>
    <w:rsid w:val="00C73E6D"/>
    <w:rsid w:val="00C7424B"/>
    <w:rsid w:val="00C74920"/>
    <w:rsid w:val="00C75E75"/>
    <w:rsid w:val="00C76947"/>
    <w:rsid w:val="00C76B63"/>
    <w:rsid w:val="00C76CA5"/>
    <w:rsid w:val="00C76F8F"/>
    <w:rsid w:val="00C7764B"/>
    <w:rsid w:val="00C77953"/>
    <w:rsid w:val="00C80781"/>
    <w:rsid w:val="00C8115E"/>
    <w:rsid w:val="00C812A5"/>
    <w:rsid w:val="00C81A97"/>
    <w:rsid w:val="00C81E6F"/>
    <w:rsid w:val="00C8208E"/>
    <w:rsid w:val="00C8271D"/>
    <w:rsid w:val="00C8274D"/>
    <w:rsid w:val="00C82818"/>
    <w:rsid w:val="00C829BF"/>
    <w:rsid w:val="00C83088"/>
    <w:rsid w:val="00C83538"/>
    <w:rsid w:val="00C836E4"/>
    <w:rsid w:val="00C83806"/>
    <w:rsid w:val="00C84166"/>
    <w:rsid w:val="00C85173"/>
    <w:rsid w:val="00C8607E"/>
    <w:rsid w:val="00C862A7"/>
    <w:rsid w:val="00C86853"/>
    <w:rsid w:val="00C86DA3"/>
    <w:rsid w:val="00C87397"/>
    <w:rsid w:val="00C87742"/>
    <w:rsid w:val="00C87B5A"/>
    <w:rsid w:val="00C87E12"/>
    <w:rsid w:val="00C87F8C"/>
    <w:rsid w:val="00C9019B"/>
    <w:rsid w:val="00C90563"/>
    <w:rsid w:val="00C907D7"/>
    <w:rsid w:val="00C90EA7"/>
    <w:rsid w:val="00C91EBD"/>
    <w:rsid w:val="00C92763"/>
    <w:rsid w:val="00C927C2"/>
    <w:rsid w:val="00C92821"/>
    <w:rsid w:val="00C9294D"/>
    <w:rsid w:val="00C92EA7"/>
    <w:rsid w:val="00C93287"/>
    <w:rsid w:val="00C93995"/>
    <w:rsid w:val="00C93AB7"/>
    <w:rsid w:val="00C946BB"/>
    <w:rsid w:val="00C94837"/>
    <w:rsid w:val="00C94847"/>
    <w:rsid w:val="00C9501F"/>
    <w:rsid w:val="00C95394"/>
    <w:rsid w:val="00C953AD"/>
    <w:rsid w:val="00C9554A"/>
    <w:rsid w:val="00C95C3C"/>
    <w:rsid w:val="00C95F3E"/>
    <w:rsid w:val="00C95F4C"/>
    <w:rsid w:val="00C960CA"/>
    <w:rsid w:val="00C96CAB"/>
    <w:rsid w:val="00C970A7"/>
    <w:rsid w:val="00C976D9"/>
    <w:rsid w:val="00C97C3C"/>
    <w:rsid w:val="00C97F6F"/>
    <w:rsid w:val="00CA09D1"/>
    <w:rsid w:val="00CA0AF9"/>
    <w:rsid w:val="00CA0DB0"/>
    <w:rsid w:val="00CA0ECB"/>
    <w:rsid w:val="00CA1438"/>
    <w:rsid w:val="00CA1468"/>
    <w:rsid w:val="00CA1807"/>
    <w:rsid w:val="00CA18FE"/>
    <w:rsid w:val="00CA1BE6"/>
    <w:rsid w:val="00CA246A"/>
    <w:rsid w:val="00CA253A"/>
    <w:rsid w:val="00CA32D8"/>
    <w:rsid w:val="00CA39B2"/>
    <w:rsid w:val="00CA39F4"/>
    <w:rsid w:val="00CA3DF0"/>
    <w:rsid w:val="00CA3E5A"/>
    <w:rsid w:val="00CA4D13"/>
    <w:rsid w:val="00CA5459"/>
    <w:rsid w:val="00CA5612"/>
    <w:rsid w:val="00CA5B25"/>
    <w:rsid w:val="00CA6450"/>
    <w:rsid w:val="00CA70DD"/>
    <w:rsid w:val="00CA7103"/>
    <w:rsid w:val="00CA73D1"/>
    <w:rsid w:val="00CA78B1"/>
    <w:rsid w:val="00CA79E6"/>
    <w:rsid w:val="00CA7B95"/>
    <w:rsid w:val="00CB0367"/>
    <w:rsid w:val="00CB160A"/>
    <w:rsid w:val="00CB1E27"/>
    <w:rsid w:val="00CB1EC9"/>
    <w:rsid w:val="00CB2088"/>
    <w:rsid w:val="00CB22B4"/>
    <w:rsid w:val="00CB22DE"/>
    <w:rsid w:val="00CB2331"/>
    <w:rsid w:val="00CB2662"/>
    <w:rsid w:val="00CB2912"/>
    <w:rsid w:val="00CB2B6A"/>
    <w:rsid w:val="00CB2C8C"/>
    <w:rsid w:val="00CB2DC5"/>
    <w:rsid w:val="00CB3023"/>
    <w:rsid w:val="00CB3C98"/>
    <w:rsid w:val="00CB3D85"/>
    <w:rsid w:val="00CB3F82"/>
    <w:rsid w:val="00CB4610"/>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0D92"/>
    <w:rsid w:val="00CC0E26"/>
    <w:rsid w:val="00CC14B5"/>
    <w:rsid w:val="00CC192B"/>
    <w:rsid w:val="00CC1B2C"/>
    <w:rsid w:val="00CC1E64"/>
    <w:rsid w:val="00CC25C0"/>
    <w:rsid w:val="00CC351A"/>
    <w:rsid w:val="00CC36C4"/>
    <w:rsid w:val="00CC3700"/>
    <w:rsid w:val="00CC3A30"/>
    <w:rsid w:val="00CC3CC4"/>
    <w:rsid w:val="00CC4079"/>
    <w:rsid w:val="00CC40B7"/>
    <w:rsid w:val="00CC4991"/>
    <w:rsid w:val="00CC5080"/>
    <w:rsid w:val="00CC508C"/>
    <w:rsid w:val="00CC50E9"/>
    <w:rsid w:val="00CC52FB"/>
    <w:rsid w:val="00CC54C7"/>
    <w:rsid w:val="00CC55CE"/>
    <w:rsid w:val="00CC577E"/>
    <w:rsid w:val="00CC5B08"/>
    <w:rsid w:val="00CC5CBE"/>
    <w:rsid w:val="00CC699E"/>
    <w:rsid w:val="00CC6C4C"/>
    <w:rsid w:val="00CC73D7"/>
    <w:rsid w:val="00CC7582"/>
    <w:rsid w:val="00CC78D1"/>
    <w:rsid w:val="00CD05F0"/>
    <w:rsid w:val="00CD0A2B"/>
    <w:rsid w:val="00CD0E15"/>
    <w:rsid w:val="00CD1496"/>
    <w:rsid w:val="00CD1584"/>
    <w:rsid w:val="00CD1A9C"/>
    <w:rsid w:val="00CD1CE2"/>
    <w:rsid w:val="00CD1E86"/>
    <w:rsid w:val="00CD1F5A"/>
    <w:rsid w:val="00CD240C"/>
    <w:rsid w:val="00CD2A83"/>
    <w:rsid w:val="00CD2FE4"/>
    <w:rsid w:val="00CD346F"/>
    <w:rsid w:val="00CD34CC"/>
    <w:rsid w:val="00CD3A08"/>
    <w:rsid w:val="00CD3A71"/>
    <w:rsid w:val="00CD43D5"/>
    <w:rsid w:val="00CD47EE"/>
    <w:rsid w:val="00CD4908"/>
    <w:rsid w:val="00CD4A74"/>
    <w:rsid w:val="00CD4DBD"/>
    <w:rsid w:val="00CD56F7"/>
    <w:rsid w:val="00CD5BD8"/>
    <w:rsid w:val="00CD61FB"/>
    <w:rsid w:val="00CD624A"/>
    <w:rsid w:val="00CD682E"/>
    <w:rsid w:val="00CD79F5"/>
    <w:rsid w:val="00CD7CFB"/>
    <w:rsid w:val="00CE0BEF"/>
    <w:rsid w:val="00CE122C"/>
    <w:rsid w:val="00CE1B34"/>
    <w:rsid w:val="00CE2830"/>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34C"/>
    <w:rsid w:val="00CF34C4"/>
    <w:rsid w:val="00CF3A37"/>
    <w:rsid w:val="00CF3B1A"/>
    <w:rsid w:val="00CF4198"/>
    <w:rsid w:val="00CF4371"/>
    <w:rsid w:val="00CF4837"/>
    <w:rsid w:val="00CF5FDD"/>
    <w:rsid w:val="00CF6446"/>
    <w:rsid w:val="00CF6552"/>
    <w:rsid w:val="00CF656C"/>
    <w:rsid w:val="00CF6AE6"/>
    <w:rsid w:val="00CF6FD3"/>
    <w:rsid w:val="00CF7FE7"/>
    <w:rsid w:val="00D0035F"/>
    <w:rsid w:val="00D004BD"/>
    <w:rsid w:val="00D0084C"/>
    <w:rsid w:val="00D00D79"/>
    <w:rsid w:val="00D01035"/>
    <w:rsid w:val="00D0124F"/>
    <w:rsid w:val="00D012AE"/>
    <w:rsid w:val="00D0151A"/>
    <w:rsid w:val="00D01AD6"/>
    <w:rsid w:val="00D01D9B"/>
    <w:rsid w:val="00D02287"/>
    <w:rsid w:val="00D024D5"/>
    <w:rsid w:val="00D032E0"/>
    <w:rsid w:val="00D03A07"/>
    <w:rsid w:val="00D03B9A"/>
    <w:rsid w:val="00D03CAA"/>
    <w:rsid w:val="00D03F98"/>
    <w:rsid w:val="00D048C4"/>
    <w:rsid w:val="00D0506B"/>
    <w:rsid w:val="00D0507F"/>
    <w:rsid w:val="00D051CD"/>
    <w:rsid w:val="00D0549D"/>
    <w:rsid w:val="00D059E7"/>
    <w:rsid w:val="00D05A31"/>
    <w:rsid w:val="00D05F72"/>
    <w:rsid w:val="00D061E0"/>
    <w:rsid w:val="00D0660F"/>
    <w:rsid w:val="00D06A00"/>
    <w:rsid w:val="00D0716B"/>
    <w:rsid w:val="00D077EE"/>
    <w:rsid w:val="00D10258"/>
    <w:rsid w:val="00D104CD"/>
    <w:rsid w:val="00D105F3"/>
    <w:rsid w:val="00D106C0"/>
    <w:rsid w:val="00D10B4F"/>
    <w:rsid w:val="00D10C91"/>
    <w:rsid w:val="00D110E4"/>
    <w:rsid w:val="00D116C8"/>
    <w:rsid w:val="00D11EF5"/>
    <w:rsid w:val="00D12727"/>
    <w:rsid w:val="00D128AD"/>
    <w:rsid w:val="00D12EE2"/>
    <w:rsid w:val="00D13FEC"/>
    <w:rsid w:val="00D14E38"/>
    <w:rsid w:val="00D15051"/>
    <w:rsid w:val="00D15194"/>
    <w:rsid w:val="00D1555F"/>
    <w:rsid w:val="00D157B7"/>
    <w:rsid w:val="00D1591B"/>
    <w:rsid w:val="00D15B19"/>
    <w:rsid w:val="00D162A8"/>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4E"/>
    <w:rsid w:val="00D24D56"/>
    <w:rsid w:val="00D25556"/>
    <w:rsid w:val="00D262FE"/>
    <w:rsid w:val="00D2695A"/>
    <w:rsid w:val="00D26A42"/>
    <w:rsid w:val="00D277B1"/>
    <w:rsid w:val="00D27A92"/>
    <w:rsid w:val="00D30300"/>
    <w:rsid w:val="00D3083C"/>
    <w:rsid w:val="00D3112F"/>
    <w:rsid w:val="00D311CC"/>
    <w:rsid w:val="00D311F1"/>
    <w:rsid w:val="00D31605"/>
    <w:rsid w:val="00D3164A"/>
    <w:rsid w:val="00D31A86"/>
    <w:rsid w:val="00D31C1C"/>
    <w:rsid w:val="00D321A8"/>
    <w:rsid w:val="00D323AD"/>
    <w:rsid w:val="00D325E5"/>
    <w:rsid w:val="00D32C23"/>
    <w:rsid w:val="00D32D3C"/>
    <w:rsid w:val="00D333B9"/>
    <w:rsid w:val="00D33A68"/>
    <w:rsid w:val="00D33B71"/>
    <w:rsid w:val="00D33E3B"/>
    <w:rsid w:val="00D341DD"/>
    <w:rsid w:val="00D344DD"/>
    <w:rsid w:val="00D3491F"/>
    <w:rsid w:val="00D34B49"/>
    <w:rsid w:val="00D34C13"/>
    <w:rsid w:val="00D34DF8"/>
    <w:rsid w:val="00D35085"/>
    <w:rsid w:val="00D358C8"/>
    <w:rsid w:val="00D35EF0"/>
    <w:rsid w:val="00D374AF"/>
    <w:rsid w:val="00D37BF6"/>
    <w:rsid w:val="00D37EF6"/>
    <w:rsid w:val="00D40227"/>
    <w:rsid w:val="00D405A5"/>
    <w:rsid w:val="00D405E7"/>
    <w:rsid w:val="00D41153"/>
    <w:rsid w:val="00D413E1"/>
    <w:rsid w:val="00D41A34"/>
    <w:rsid w:val="00D41C9D"/>
    <w:rsid w:val="00D41F01"/>
    <w:rsid w:val="00D422AA"/>
    <w:rsid w:val="00D427A2"/>
    <w:rsid w:val="00D428F3"/>
    <w:rsid w:val="00D42C92"/>
    <w:rsid w:val="00D42F06"/>
    <w:rsid w:val="00D4350B"/>
    <w:rsid w:val="00D43E3E"/>
    <w:rsid w:val="00D43E8B"/>
    <w:rsid w:val="00D43F47"/>
    <w:rsid w:val="00D442CA"/>
    <w:rsid w:val="00D44393"/>
    <w:rsid w:val="00D44532"/>
    <w:rsid w:val="00D44B07"/>
    <w:rsid w:val="00D450E8"/>
    <w:rsid w:val="00D451E3"/>
    <w:rsid w:val="00D45470"/>
    <w:rsid w:val="00D46332"/>
    <w:rsid w:val="00D4741E"/>
    <w:rsid w:val="00D47442"/>
    <w:rsid w:val="00D47597"/>
    <w:rsid w:val="00D50BA2"/>
    <w:rsid w:val="00D5126A"/>
    <w:rsid w:val="00D5145A"/>
    <w:rsid w:val="00D51626"/>
    <w:rsid w:val="00D516EA"/>
    <w:rsid w:val="00D51769"/>
    <w:rsid w:val="00D521A0"/>
    <w:rsid w:val="00D521FC"/>
    <w:rsid w:val="00D52332"/>
    <w:rsid w:val="00D52384"/>
    <w:rsid w:val="00D52726"/>
    <w:rsid w:val="00D527E8"/>
    <w:rsid w:val="00D52AFD"/>
    <w:rsid w:val="00D52B6C"/>
    <w:rsid w:val="00D52C3A"/>
    <w:rsid w:val="00D52EAF"/>
    <w:rsid w:val="00D53B9A"/>
    <w:rsid w:val="00D53DA9"/>
    <w:rsid w:val="00D53EA8"/>
    <w:rsid w:val="00D545E4"/>
    <w:rsid w:val="00D545E9"/>
    <w:rsid w:val="00D55777"/>
    <w:rsid w:val="00D55D94"/>
    <w:rsid w:val="00D5686E"/>
    <w:rsid w:val="00D56B78"/>
    <w:rsid w:val="00D56D75"/>
    <w:rsid w:val="00D56FDF"/>
    <w:rsid w:val="00D575FA"/>
    <w:rsid w:val="00D5799A"/>
    <w:rsid w:val="00D57B1D"/>
    <w:rsid w:val="00D57CEB"/>
    <w:rsid w:val="00D57F3C"/>
    <w:rsid w:val="00D57FC1"/>
    <w:rsid w:val="00D6003B"/>
    <w:rsid w:val="00D602C1"/>
    <w:rsid w:val="00D602EA"/>
    <w:rsid w:val="00D602F0"/>
    <w:rsid w:val="00D60454"/>
    <w:rsid w:val="00D6057F"/>
    <w:rsid w:val="00D60F9D"/>
    <w:rsid w:val="00D61566"/>
    <w:rsid w:val="00D61726"/>
    <w:rsid w:val="00D61EB6"/>
    <w:rsid w:val="00D62075"/>
    <w:rsid w:val="00D62467"/>
    <w:rsid w:val="00D62648"/>
    <w:rsid w:val="00D6278A"/>
    <w:rsid w:val="00D6294C"/>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3375"/>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77F11"/>
    <w:rsid w:val="00D8004E"/>
    <w:rsid w:val="00D80108"/>
    <w:rsid w:val="00D8033C"/>
    <w:rsid w:val="00D80795"/>
    <w:rsid w:val="00D8086F"/>
    <w:rsid w:val="00D80DA6"/>
    <w:rsid w:val="00D80DE4"/>
    <w:rsid w:val="00D80F04"/>
    <w:rsid w:val="00D810C7"/>
    <w:rsid w:val="00D81430"/>
    <w:rsid w:val="00D81ADE"/>
    <w:rsid w:val="00D8289B"/>
    <w:rsid w:val="00D82B38"/>
    <w:rsid w:val="00D82D76"/>
    <w:rsid w:val="00D82D99"/>
    <w:rsid w:val="00D833A2"/>
    <w:rsid w:val="00D8394A"/>
    <w:rsid w:val="00D83DBE"/>
    <w:rsid w:val="00D8424E"/>
    <w:rsid w:val="00D84284"/>
    <w:rsid w:val="00D8477D"/>
    <w:rsid w:val="00D8494A"/>
    <w:rsid w:val="00D84BEE"/>
    <w:rsid w:val="00D84DD9"/>
    <w:rsid w:val="00D8522B"/>
    <w:rsid w:val="00D85370"/>
    <w:rsid w:val="00D853D8"/>
    <w:rsid w:val="00D85623"/>
    <w:rsid w:val="00D8596E"/>
    <w:rsid w:val="00D86252"/>
    <w:rsid w:val="00D864F8"/>
    <w:rsid w:val="00D865E8"/>
    <w:rsid w:val="00D86AEE"/>
    <w:rsid w:val="00D86D1C"/>
    <w:rsid w:val="00D8771D"/>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456"/>
    <w:rsid w:val="00D94B75"/>
    <w:rsid w:val="00D95249"/>
    <w:rsid w:val="00D95A48"/>
    <w:rsid w:val="00D95CD3"/>
    <w:rsid w:val="00D96A23"/>
    <w:rsid w:val="00D96FB2"/>
    <w:rsid w:val="00D9759E"/>
    <w:rsid w:val="00D97655"/>
    <w:rsid w:val="00D976C0"/>
    <w:rsid w:val="00DA06B3"/>
    <w:rsid w:val="00DA094E"/>
    <w:rsid w:val="00DA0958"/>
    <w:rsid w:val="00DA0B14"/>
    <w:rsid w:val="00DA0FDB"/>
    <w:rsid w:val="00DA10DA"/>
    <w:rsid w:val="00DA1470"/>
    <w:rsid w:val="00DA1BD3"/>
    <w:rsid w:val="00DA207D"/>
    <w:rsid w:val="00DA21D0"/>
    <w:rsid w:val="00DA233E"/>
    <w:rsid w:val="00DA2665"/>
    <w:rsid w:val="00DA3929"/>
    <w:rsid w:val="00DA3C24"/>
    <w:rsid w:val="00DA3D21"/>
    <w:rsid w:val="00DA42A8"/>
    <w:rsid w:val="00DA476D"/>
    <w:rsid w:val="00DA4DFC"/>
    <w:rsid w:val="00DA5562"/>
    <w:rsid w:val="00DA55FA"/>
    <w:rsid w:val="00DA594B"/>
    <w:rsid w:val="00DA5D64"/>
    <w:rsid w:val="00DA707E"/>
    <w:rsid w:val="00DA7492"/>
    <w:rsid w:val="00DA74AE"/>
    <w:rsid w:val="00DA76BD"/>
    <w:rsid w:val="00DB0709"/>
    <w:rsid w:val="00DB0DC2"/>
    <w:rsid w:val="00DB1288"/>
    <w:rsid w:val="00DB1374"/>
    <w:rsid w:val="00DB1836"/>
    <w:rsid w:val="00DB199F"/>
    <w:rsid w:val="00DB1A8B"/>
    <w:rsid w:val="00DB1AB9"/>
    <w:rsid w:val="00DB1F6F"/>
    <w:rsid w:val="00DB205E"/>
    <w:rsid w:val="00DB2090"/>
    <w:rsid w:val="00DB29E1"/>
    <w:rsid w:val="00DB2A16"/>
    <w:rsid w:val="00DB2BA9"/>
    <w:rsid w:val="00DB2CDC"/>
    <w:rsid w:val="00DB2E55"/>
    <w:rsid w:val="00DB3300"/>
    <w:rsid w:val="00DB3371"/>
    <w:rsid w:val="00DB33F2"/>
    <w:rsid w:val="00DB3D82"/>
    <w:rsid w:val="00DB3FA0"/>
    <w:rsid w:val="00DB40C4"/>
    <w:rsid w:val="00DB40D4"/>
    <w:rsid w:val="00DB42BD"/>
    <w:rsid w:val="00DB4F55"/>
    <w:rsid w:val="00DB50A5"/>
    <w:rsid w:val="00DB553D"/>
    <w:rsid w:val="00DB573D"/>
    <w:rsid w:val="00DB575E"/>
    <w:rsid w:val="00DB5D0B"/>
    <w:rsid w:val="00DB6599"/>
    <w:rsid w:val="00DB66D0"/>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A91"/>
    <w:rsid w:val="00DC3E25"/>
    <w:rsid w:val="00DC4022"/>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9BD"/>
    <w:rsid w:val="00DD3A49"/>
    <w:rsid w:val="00DD3E7B"/>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5E5"/>
    <w:rsid w:val="00DE0724"/>
    <w:rsid w:val="00DE08B6"/>
    <w:rsid w:val="00DE0DCE"/>
    <w:rsid w:val="00DE15E9"/>
    <w:rsid w:val="00DE1CD7"/>
    <w:rsid w:val="00DE3640"/>
    <w:rsid w:val="00DE3A6D"/>
    <w:rsid w:val="00DE3FB3"/>
    <w:rsid w:val="00DE420F"/>
    <w:rsid w:val="00DE4488"/>
    <w:rsid w:val="00DE4AEA"/>
    <w:rsid w:val="00DE526B"/>
    <w:rsid w:val="00DE5817"/>
    <w:rsid w:val="00DE5CF7"/>
    <w:rsid w:val="00DE637C"/>
    <w:rsid w:val="00DE65AE"/>
    <w:rsid w:val="00DE6649"/>
    <w:rsid w:val="00DE69EF"/>
    <w:rsid w:val="00DE6B2B"/>
    <w:rsid w:val="00DE6F03"/>
    <w:rsid w:val="00DE6F44"/>
    <w:rsid w:val="00DE7A05"/>
    <w:rsid w:val="00DF0557"/>
    <w:rsid w:val="00DF0744"/>
    <w:rsid w:val="00DF0DED"/>
    <w:rsid w:val="00DF0FE6"/>
    <w:rsid w:val="00DF10FB"/>
    <w:rsid w:val="00DF1153"/>
    <w:rsid w:val="00DF156D"/>
    <w:rsid w:val="00DF1745"/>
    <w:rsid w:val="00DF1816"/>
    <w:rsid w:val="00DF1FB0"/>
    <w:rsid w:val="00DF2563"/>
    <w:rsid w:val="00DF25AF"/>
    <w:rsid w:val="00DF2B80"/>
    <w:rsid w:val="00DF2CE7"/>
    <w:rsid w:val="00DF2CF2"/>
    <w:rsid w:val="00DF3644"/>
    <w:rsid w:val="00DF4D63"/>
    <w:rsid w:val="00DF562D"/>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A5"/>
    <w:rsid w:val="00E025BA"/>
    <w:rsid w:val="00E02AC2"/>
    <w:rsid w:val="00E02EED"/>
    <w:rsid w:val="00E02EF6"/>
    <w:rsid w:val="00E037E7"/>
    <w:rsid w:val="00E03AC3"/>
    <w:rsid w:val="00E04291"/>
    <w:rsid w:val="00E04885"/>
    <w:rsid w:val="00E04A30"/>
    <w:rsid w:val="00E04B5B"/>
    <w:rsid w:val="00E04BF3"/>
    <w:rsid w:val="00E05486"/>
    <w:rsid w:val="00E056B1"/>
    <w:rsid w:val="00E05724"/>
    <w:rsid w:val="00E05A0A"/>
    <w:rsid w:val="00E05ADE"/>
    <w:rsid w:val="00E05C25"/>
    <w:rsid w:val="00E07490"/>
    <w:rsid w:val="00E07E54"/>
    <w:rsid w:val="00E10E79"/>
    <w:rsid w:val="00E11303"/>
    <w:rsid w:val="00E11379"/>
    <w:rsid w:val="00E12020"/>
    <w:rsid w:val="00E12035"/>
    <w:rsid w:val="00E1240F"/>
    <w:rsid w:val="00E12D9E"/>
    <w:rsid w:val="00E13BF5"/>
    <w:rsid w:val="00E13C35"/>
    <w:rsid w:val="00E13E1F"/>
    <w:rsid w:val="00E14069"/>
    <w:rsid w:val="00E1430E"/>
    <w:rsid w:val="00E14868"/>
    <w:rsid w:val="00E15220"/>
    <w:rsid w:val="00E155FB"/>
    <w:rsid w:val="00E15814"/>
    <w:rsid w:val="00E16ACA"/>
    <w:rsid w:val="00E17008"/>
    <w:rsid w:val="00E171D9"/>
    <w:rsid w:val="00E17494"/>
    <w:rsid w:val="00E17EBE"/>
    <w:rsid w:val="00E20053"/>
    <w:rsid w:val="00E2073B"/>
    <w:rsid w:val="00E21057"/>
    <w:rsid w:val="00E21080"/>
    <w:rsid w:val="00E21479"/>
    <w:rsid w:val="00E21B6E"/>
    <w:rsid w:val="00E21C00"/>
    <w:rsid w:val="00E21C2E"/>
    <w:rsid w:val="00E22105"/>
    <w:rsid w:val="00E2304D"/>
    <w:rsid w:val="00E23FA3"/>
    <w:rsid w:val="00E23FDF"/>
    <w:rsid w:val="00E247E7"/>
    <w:rsid w:val="00E24BBE"/>
    <w:rsid w:val="00E2543A"/>
    <w:rsid w:val="00E2588B"/>
    <w:rsid w:val="00E25F5F"/>
    <w:rsid w:val="00E26079"/>
    <w:rsid w:val="00E26632"/>
    <w:rsid w:val="00E2674A"/>
    <w:rsid w:val="00E273AE"/>
    <w:rsid w:val="00E27C90"/>
    <w:rsid w:val="00E27F07"/>
    <w:rsid w:val="00E30122"/>
    <w:rsid w:val="00E30291"/>
    <w:rsid w:val="00E31538"/>
    <w:rsid w:val="00E31569"/>
    <w:rsid w:val="00E31737"/>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AD8"/>
    <w:rsid w:val="00E35C0B"/>
    <w:rsid w:val="00E36A8F"/>
    <w:rsid w:val="00E3742C"/>
    <w:rsid w:val="00E37799"/>
    <w:rsid w:val="00E379D9"/>
    <w:rsid w:val="00E406E7"/>
    <w:rsid w:val="00E409C2"/>
    <w:rsid w:val="00E40B44"/>
    <w:rsid w:val="00E411C7"/>
    <w:rsid w:val="00E415C1"/>
    <w:rsid w:val="00E41A08"/>
    <w:rsid w:val="00E42196"/>
    <w:rsid w:val="00E4267B"/>
    <w:rsid w:val="00E42AE4"/>
    <w:rsid w:val="00E42D31"/>
    <w:rsid w:val="00E4326F"/>
    <w:rsid w:val="00E43A38"/>
    <w:rsid w:val="00E43B91"/>
    <w:rsid w:val="00E4420B"/>
    <w:rsid w:val="00E44328"/>
    <w:rsid w:val="00E44447"/>
    <w:rsid w:val="00E44689"/>
    <w:rsid w:val="00E44A93"/>
    <w:rsid w:val="00E45EB2"/>
    <w:rsid w:val="00E45F0D"/>
    <w:rsid w:val="00E461F0"/>
    <w:rsid w:val="00E46471"/>
    <w:rsid w:val="00E46476"/>
    <w:rsid w:val="00E46D92"/>
    <w:rsid w:val="00E46E67"/>
    <w:rsid w:val="00E46E79"/>
    <w:rsid w:val="00E47454"/>
    <w:rsid w:val="00E47866"/>
    <w:rsid w:val="00E479EA"/>
    <w:rsid w:val="00E47ECB"/>
    <w:rsid w:val="00E50740"/>
    <w:rsid w:val="00E50E97"/>
    <w:rsid w:val="00E510A3"/>
    <w:rsid w:val="00E51389"/>
    <w:rsid w:val="00E51449"/>
    <w:rsid w:val="00E51D3B"/>
    <w:rsid w:val="00E52041"/>
    <w:rsid w:val="00E5231D"/>
    <w:rsid w:val="00E526CB"/>
    <w:rsid w:val="00E52723"/>
    <w:rsid w:val="00E527A9"/>
    <w:rsid w:val="00E52C3C"/>
    <w:rsid w:val="00E53247"/>
    <w:rsid w:val="00E53390"/>
    <w:rsid w:val="00E53F00"/>
    <w:rsid w:val="00E540C2"/>
    <w:rsid w:val="00E54131"/>
    <w:rsid w:val="00E55473"/>
    <w:rsid w:val="00E55696"/>
    <w:rsid w:val="00E55753"/>
    <w:rsid w:val="00E55797"/>
    <w:rsid w:val="00E557AE"/>
    <w:rsid w:val="00E55BAF"/>
    <w:rsid w:val="00E5625E"/>
    <w:rsid w:val="00E564B3"/>
    <w:rsid w:val="00E5724C"/>
    <w:rsid w:val="00E57426"/>
    <w:rsid w:val="00E57459"/>
    <w:rsid w:val="00E57E4D"/>
    <w:rsid w:val="00E6003D"/>
    <w:rsid w:val="00E6010F"/>
    <w:rsid w:val="00E603F0"/>
    <w:rsid w:val="00E60E35"/>
    <w:rsid w:val="00E614E0"/>
    <w:rsid w:val="00E615F9"/>
    <w:rsid w:val="00E61700"/>
    <w:rsid w:val="00E61909"/>
    <w:rsid w:val="00E62210"/>
    <w:rsid w:val="00E62620"/>
    <w:rsid w:val="00E62B6E"/>
    <w:rsid w:val="00E62C5C"/>
    <w:rsid w:val="00E6341D"/>
    <w:rsid w:val="00E634C4"/>
    <w:rsid w:val="00E636E6"/>
    <w:rsid w:val="00E63788"/>
    <w:rsid w:val="00E63F84"/>
    <w:rsid w:val="00E6405A"/>
    <w:rsid w:val="00E649E1"/>
    <w:rsid w:val="00E6505F"/>
    <w:rsid w:val="00E654C8"/>
    <w:rsid w:val="00E655AE"/>
    <w:rsid w:val="00E65C91"/>
    <w:rsid w:val="00E65DE4"/>
    <w:rsid w:val="00E66982"/>
    <w:rsid w:val="00E66A34"/>
    <w:rsid w:val="00E67D3C"/>
    <w:rsid w:val="00E7005D"/>
    <w:rsid w:val="00E70112"/>
    <w:rsid w:val="00E70BE5"/>
    <w:rsid w:val="00E70E66"/>
    <w:rsid w:val="00E712B6"/>
    <w:rsid w:val="00E71FE7"/>
    <w:rsid w:val="00E727C8"/>
    <w:rsid w:val="00E72A3D"/>
    <w:rsid w:val="00E72A85"/>
    <w:rsid w:val="00E735A0"/>
    <w:rsid w:val="00E73817"/>
    <w:rsid w:val="00E7455C"/>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77FB4"/>
    <w:rsid w:val="00E80B4D"/>
    <w:rsid w:val="00E80E27"/>
    <w:rsid w:val="00E8147B"/>
    <w:rsid w:val="00E835B2"/>
    <w:rsid w:val="00E83A47"/>
    <w:rsid w:val="00E841FE"/>
    <w:rsid w:val="00E85DC9"/>
    <w:rsid w:val="00E86108"/>
    <w:rsid w:val="00E86480"/>
    <w:rsid w:val="00E8667C"/>
    <w:rsid w:val="00E86921"/>
    <w:rsid w:val="00E86AF1"/>
    <w:rsid w:val="00E86C6F"/>
    <w:rsid w:val="00E874AA"/>
    <w:rsid w:val="00E87A33"/>
    <w:rsid w:val="00E87AE3"/>
    <w:rsid w:val="00E90396"/>
    <w:rsid w:val="00E905BA"/>
    <w:rsid w:val="00E91396"/>
    <w:rsid w:val="00E91543"/>
    <w:rsid w:val="00E91FB0"/>
    <w:rsid w:val="00E91FC0"/>
    <w:rsid w:val="00E92079"/>
    <w:rsid w:val="00E93A3C"/>
    <w:rsid w:val="00E93D89"/>
    <w:rsid w:val="00E94050"/>
    <w:rsid w:val="00E9484E"/>
    <w:rsid w:val="00E94C71"/>
    <w:rsid w:val="00E94E59"/>
    <w:rsid w:val="00E952F7"/>
    <w:rsid w:val="00E95967"/>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151"/>
    <w:rsid w:val="00EA4425"/>
    <w:rsid w:val="00EA5178"/>
    <w:rsid w:val="00EA55A6"/>
    <w:rsid w:val="00EA5A13"/>
    <w:rsid w:val="00EA5C20"/>
    <w:rsid w:val="00EA6A32"/>
    <w:rsid w:val="00EA6FB5"/>
    <w:rsid w:val="00EA710F"/>
    <w:rsid w:val="00EA72D2"/>
    <w:rsid w:val="00EA7A3B"/>
    <w:rsid w:val="00EA7CE3"/>
    <w:rsid w:val="00EA7E6F"/>
    <w:rsid w:val="00EB0492"/>
    <w:rsid w:val="00EB0972"/>
    <w:rsid w:val="00EB0D09"/>
    <w:rsid w:val="00EB13F0"/>
    <w:rsid w:val="00EB1908"/>
    <w:rsid w:val="00EB1F29"/>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AD7"/>
    <w:rsid w:val="00EC0EA6"/>
    <w:rsid w:val="00EC1E4F"/>
    <w:rsid w:val="00EC25B1"/>
    <w:rsid w:val="00EC2726"/>
    <w:rsid w:val="00EC28CB"/>
    <w:rsid w:val="00EC2E5C"/>
    <w:rsid w:val="00EC33F4"/>
    <w:rsid w:val="00EC3A78"/>
    <w:rsid w:val="00EC3DEC"/>
    <w:rsid w:val="00EC3FF7"/>
    <w:rsid w:val="00EC40F2"/>
    <w:rsid w:val="00EC4C85"/>
    <w:rsid w:val="00EC4FCB"/>
    <w:rsid w:val="00EC5630"/>
    <w:rsid w:val="00EC5893"/>
    <w:rsid w:val="00EC5C1D"/>
    <w:rsid w:val="00EC6FAA"/>
    <w:rsid w:val="00ED0019"/>
    <w:rsid w:val="00ED02AE"/>
    <w:rsid w:val="00ED050F"/>
    <w:rsid w:val="00ED0868"/>
    <w:rsid w:val="00ED0FF9"/>
    <w:rsid w:val="00ED14E1"/>
    <w:rsid w:val="00ED152E"/>
    <w:rsid w:val="00ED199E"/>
    <w:rsid w:val="00ED1A42"/>
    <w:rsid w:val="00ED1A51"/>
    <w:rsid w:val="00ED1D4A"/>
    <w:rsid w:val="00ED23FC"/>
    <w:rsid w:val="00ED2424"/>
    <w:rsid w:val="00ED25B6"/>
    <w:rsid w:val="00ED30E7"/>
    <w:rsid w:val="00ED3188"/>
    <w:rsid w:val="00ED34D2"/>
    <w:rsid w:val="00ED34F1"/>
    <w:rsid w:val="00ED3759"/>
    <w:rsid w:val="00ED3B3D"/>
    <w:rsid w:val="00ED4039"/>
    <w:rsid w:val="00ED4768"/>
    <w:rsid w:val="00ED4B69"/>
    <w:rsid w:val="00ED4C57"/>
    <w:rsid w:val="00ED4D7F"/>
    <w:rsid w:val="00ED50C6"/>
    <w:rsid w:val="00ED5AF8"/>
    <w:rsid w:val="00ED6608"/>
    <w:rsid w:val="00ED6855"/>
    <w:rsid w:val="00ED693E"/>
    <w:rsid w:val="00ED710A"/>
    <w:rsid w:val="00EE09B9"/>
    <w:rsid w:val="00EE0BE3"/>
    <w:rsid w:val="00EE0DFC"/>
    <w:rsid w:val="00EE0E44"/>
    <w:rsid w:val="00EE0ED4"/>
    <w:rsid w:val="00EE0F0A"/>
    <w:rsid w:val="00EE1BF4"/>
    <w:rsid w:val="00EE20E6"/>
    <w:rsid w:val="00EE223D"/>
    <w:rsid w:val="00EE2896"/>
    <w:rsid w:val="00EE2910"/>
    <w:rsid w:val="00EE2CD1"/>
    <w:rsid w:val="00EE2E68"/>
    <w:rsid w:val="00EE3558"/>
    <w:rsid w:val="00EE3A32"/>
    <w:rsid w:val="00EE3A5D"/>
    <w:rsid w:val="00EE3CF5"/>
    <w:rsid w:val="00EE3F35"/>
    <w:rsid w:val="00EE4361"/>
    <w:rsid w:val="00EE4AA3"/>
    <w:rsid w:val="00EE4BEB"/>
    <w:rsid w:val="00EE4CEE"/>
    <w:rsid w:val="00EE4F97"/>
    <w:rsid w:val="00EE4FC3"/>
    <w:rsid w:val="00EE5150"/>
    <w:rsid w:val="00EE54CF"/>
    <w:rsid w:val="00EE6396"/>
    <w:rsid w:val="00EE679F"/>
    <w:rsid w:val="00EE76CE"/>
    <w:rsid w:val="00EE7D11"/>
    <w:rsid w:val="00EF014E"/>
    <w:rsid w:val="00EF02F1"/>
    <w:rsid w:val="00EF0897"/>
    <w:rsid w:val="00EF08B4"/>
    <w:rsid w:val="00EF09F0"/>
    <w:rsid w:val="00EF0C72"/>
    <w:rsid w:val="00EF0D00"/>
    <w:rsid w:val="00EF1220"/>
    <w:rsid w:val="00EF1788"/>
    <w:rsid w:val="00EF20FB"/>
    <w:rsid w:val="00EF25AF"/>
    <w:rsid w:val="00EF2B6A"/>
    <w:rsid w:val="00EF2CCE"/>
    <w:rsid w:val="00EF321E"/>
    <w:rsid w:val="00EF3563"/>
    <w:rsid w:val="00EF361D"/>
    <w:rsid w:val="00EF3F21"/>
    <w:rsid w:val="00EF407B"/>
    <w:rsid w:val="00EF44E5"/>
    <w:rsid w:val="00EF4753"/>
    <w:rsid w:val="00EF4904"/>
    <w:rsid w:val="00EF4F45"/>
    <w:rsid w:val="00EF5140"/>
    <w:rsid w:val="00EF5260"/>
    <w:rsid w:val="00EF542C"/>
    <w:rsid w:val="00EF5883"/>
    <w:rsid w:val="00EF5A45"/>
    <w:rsid w:val="00EF5CB7"/>
    <w:rsid w:val="00EF5F4A"/>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2EA"/>
    <w:rsid w:val="00F0171B"/>
    <w:rsid w:val="00F0227E"/>
    <w:rsid w:val="00F02313"/>
    <w:rsid w:val="00F0234D"/>
    <w:rsid w:val="00F02CB9"/>
    <w:rsid w:val="00F03668"/>
    <w:rsid w:val="00F038D9"/>
    <w:rsid w:val="00F03912"/>
    <w:rsid w:val="00F03D33"/>
    <w:rsid w:val="00F03F69"/>
    <w:rsid w:val="00F03F83"/>
    <w:rsid w:val="00F0456B"/>
    <w:rsid w:val="00F046B3"/>
    <w:rsid w:val="00F0474C"/>
    <w:rsid w:val="00F05EE4"/>
    <w:rsid w:val="00F0600E"/>
    <w:rsid w:val="00F06079"/>
    <w:rsid w:val="00F06E8F"/>
    <w:rsid w:val="00F07105"/>
    <w:rsid w:val="00F10127"/>
    <w:rsid w:val="00F103CA"/>
    <w:rsid w:val="00F104CF"/>
    <w:rsid w:val="00F104D3"/>
    <w:rsid w:val="00F107AA"/>
    <w:rsid w:val="00F10845"/>
    <w:rsid w:val="00F1089E"/>
    <w:rsid w:val="00F10B4B"/>
    <w:rsid w:val="00F10FEB"/>
    <w:rsid w:val="00F11327"/>
    <w:rsid w:val="00F11932"/>
    <w:rsid w:val="00F11A52"/>
    <w:rsid w:val="00F11AA5"/>
    <w:rsid w:val="00F11D73"/>
    <w:rsid w:val="00F11FA7"/>
    <w:rsid w:val="00F12428"/>
    <w:rsid w:val="00F12568"/>
    <w:rsid w:val="00F127BD"/>
    <w:rsid w:val="00F12986"/>
    <w:rsid w:val="00F13015"/>
    <w:rsid w:val="00F13506"/>
    <w:rsid w:val="00F13C31"/>
    <w:rsid w:val="00F141B8"/>
    <w:rsid w:val="00F1499E"/>
    <w:rsid w:val="00F149E7"/>
    <w:rsid w:val="00F15512"/>
    <w:rsid w:val="00F15692"/>
    <w:rsid w:val="00F156EF"/>
    <w:rsid w:val="00F161A1"/>
    <w:rsid w:val="00F16710"/>
    <w:rsid w:val="00F16792"/>
    <w:rsid w:val="00F16A40"/>
    <w:rsid w:val="00F16D1F"/>
    <w:rsid w:val="00F16EC2"/>
    <w:rsid w:val="00F174BF"/>
    <w:rsid w:val="00F17673"/>
    <w:rsid w:val="00F17883"/>
    <w:rsid w:val="00F17920"/>
    <w:rsid w:val="00F17EF0"/>
    <w:rsid w:val="00F201CA"/>
    <w:rsid w:val="00F2039E"/>
    <w:rsid w:val="00F20E5C"/>
    <w:rsid w:val="00F21811"/>
    <w:rsid w:val="00F21D84"/>
    <w:rsid w:val="00F223DB"/>
    <w:rsid w:val="00F22467"/>
    <w:rsid w:val="00F22572"/>
    <w:rsid w:val="00F22607"/>
    <w:rsid w:val="00F22792"/>
    <w:rsid w:val="00F22BEA"/>
    <w:rsid w:val="00F22CC6"/>
    <w:rsid w:val="00F22D7B"/>
    <w:rsid w:val="00F23234"/>
    <w:rsid w:val="00F23373"/>
    <w:rsid w:val="00F239D9"/>
    <w:rsid w:val="00F23D42"/>
    <w:rsid w:val="00F25149"/>
    <w:rsid w:val="00F2546A"/>
    <w:rsid w:val="00F2554A"/>
    <w:rsid w:val="00F2601E"/>
    <w:rsid w:val="00F2690A"/>
    <w:rsid w:val="00F26B91"/>
    <w:rsid w:val="00F2715E"/>
    <w:rsid w:val="00F27A7F"/>
    <w:rsid w:val="00F30016"/>
    <w:rsid w:val="00F30627"/>
    <w:rsid w:val="00F306FA"/>
    <w:rsid w:val="00F30C41"/>
    <w:rsid w:val="00F30F67"/>
    <w:rsid w:val="00F31130"/>
    <w:rsid w:val="00F31282"/>
    <w:rsid w:val="00F319DA"/>
    <w:rsid w:val="00F320B5"/>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0FF1"/>
    <w:rsid w:val="00F4101B"/>
    <w:rsid w:val="00F41034"/>
    <w:rsid w:val="00F41529"/>
    <w:rsid w:val="00F426CF"/>
    <w:rsid w:val="00F43608"/>
    <w:rsid w:val="00F43F6B"/>
    <w:rsid w:val="00F4435F"/>
    <w:rsid w:val="00F4451B"/>
    <w:rsid w:val="00F45045"/>
    <w:rsid w:val="00F453B9"/>
    <w:rsid w:val="00F4548C"/>
    <w:rsid w:val="00F4565D"/>
    <w:rsid w:val="00F45FC9"/>
    <w:rsid w:val="00F46663"/>
    <w:rsid w:val="00F4698D"/>
    <w:rsid w:val="00F46B09"/>
    <w:rsid w:val="00F46E50"/>
    <w:rsid w:val="00F502DD"/>
    <w:rsid w:val="00F50A31"/>
    <w:rsid w:val="00F50FD1"/>
    <w:rsid w:val="00F511D0"/>
    <w:rsid w:val="00F51672"/>
    <w:rsid w:val="00F51878"/>
    <w:rsid w:val="00F51E89"/>
    <w:rsid w:val="00F5221E"/>
    <w:rsid w:val="00F52366"/>
    <w:rsid w:val="00F527A6"/>
    <w:rsid w:val="00F52981"/>
    <w:rsid w:val="00F529C6"/>
    <w:rsid w:val="00F52DEC"/>
    <w:rsid w:val="00F52E6D"/>
    <w:rsid w:val="00F532CE"/>
    <w:rsid w:val="00F533C9"/>
    <w:rsid w:val="00F53413"/>
    <w:rsid w:val="00F537B4"/>
    <w:rsid w:val="00F53E56"/>
    <w:rsid w:val="00F54221"/>
    <w:rsid w:val="00F55315"/>
    <w:rsid w:val="00F556F4"/>
    <w:rsid w:val="00F558D2"/>
    <w:rsid w:val="00F55975"/>
    <w:rsid w:val="00F55D11"/>
    <w:rsid w:val="00F561BD"/>
    <w:rsid w:val="00F5685E"/>
    <w:rsid w:val="00F56F75"/>
    <w:rsid w:val="00F56FB7"/>
    <w:rsid w:val="00F572D6"/>
    <w:rsid w:val="00F57538"/>
    <w:rsid w:val="00F576F0"/>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3E33"/>
    <w:rsid w:val="00F645F9"/>
    <w:rsid w:val="00F64A2F"/>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1E"/>
    <w:rsid w:val="00F70686"/>
    <w:rsid w:val="00F70723"/>
    <w:rsid w:val="00F7076F"/>
    <w:rsid w:val="00F70785"/>
    <w:rsid w:val="00F711A5"/>
    <w:rsid w:val="00F713BA"/>
    <w:rsid w:val="00F717AF"/>
    <w:rsid w:val="00F71920"/>
    <w:rsid w:val="00F71AF1"/>
    <w:rsid w:val="00F71B23"/>
    <w:rsid w:val="00F7205F"/>
    <w:rsid w:val="00F72BE5"/>
    <w:rsid w:val="00F72D2B"/>
    <w:rsid w:val="00F73265"/>
    <w:rsid w:val="00F7338A"/>
    <w:rsid w:val="00F74B27"/>
    <w:rsid w:val="00F7532B"/>
    <w:rsid w:val="00F7632E"/>
    <w:rsid w:val="00F76858"/>
    <w:rsid w:val="00F769A6"/>
    <w:rsid w:val="00F77266"/>
    <w:rsid w:val="00F776CA"/>
    <w:rsid w:val="00F77796"/>
    <w:rsid w:val="00F80BFF"/>
    <w:rsid w:val="00F8144F"/>
    <w:rsid w:val="00F81CB5"/>
    <w:rsid w:val="00F82510"/>
    <w:rsid w:val="00F82710"/>
    <w:rsid w:val="00F82743"/>
    <w:rsid w:val="00F83FE9"/>
    <w:rsid w:val="00F840FD"/>
    <w:rsid w:val="00F84270"/>
    <w:rsid w:val="00F84338"/>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1FA6"/>
    <w:rsid w:val="00F92A02"/>
    <w:rsid w:val="00F92E99"/>
    <w:rsid w:val="00F930D9"/>
    <w:rsid w:val="00F93FEC"/>
    <w:rsid w:val="00F94403"/>
    <w:rsid w:val="00F94606"/>
    <w:rsid w:val="00F94ADD"/>
    <w:rsid w:val="00F94D08"/>
    <w:rsid w:val="00F95285"/>
    <w:rsid w:val="00F95ED2"/>
    <w:rsid w:val="00F969BE"/>
    <w:rsid w:val="00F97D2D"/>
    <w:rsid w:val="00FA01D4"/>
    <w:rsid w:val="00FA0622"/>
    <w:rsid w:val="00FA0D1F"/>
    <w:rsid w:val="00FA0D22"/>
    <w:rsid w:val="00FA17A5"/>
    <w:rsid w:val="00FA20E9"/>
    <w:rsid w:val="00FA2409"/>
    <w:rsid w:val="00FA2E4F"/>
    <w:rsid w:val="00FA30BD"/>
    <w:rsid w:val="00FA3757"/>
    <w:rsid w:val="00FA3D34"/>
    <w:rsid w:val="00FA3DC9"/>
    <w:rsid w:val="00FA3FA2"/>
    <w:rsid w:val="00FA4377"/>
    <w:rsid w:val="00FA461F"/>
    <w:rsid w:val="00FA47B6"/>
    <w:rsid w:val="00FA4978"/>
    <w:rsid w:val="00FA4E85"/>
    <w:rsid w:val="00FA50C7"/>
    <w:rsid w:val="00FA54D5"/>
    <w:rsid w:val="00FA567F"/>
    <w:rsid w:val="00FA5952"/>
    <w:rsid w:val="00FA59CB"/>
    <w:rsid w:val="00FA5CC3"/>
    <w:rsid w:val="00FA5D72"/>
    <w:rsid w:val="00FA5DDA"/>
    <w:rsid w:val="00FA5E3D"/>
    <w:rsid w:val="00FA5FCA"/>
    <w:rsid w:val="00FA6741"/>
    <w:rsid w:val="00FA68C7"/>
    <w:rsid w:val="00FA795B"/>
    <w:rsid w:val="00FB0FAC"/>
    <w:rsid w:val="00FB13A6"/>
    <w:rsid w:val="00FB1569"/>
    <w:rsid w:val="00FB16EF"/>
    <w:rsid w:val="00FB19D3"/>
    <w:rsid w:val="00FB1C30"/>
    <w:rsid w:val="00FB1E21"/>
    <w:rsid w:val="00FB1E69"/>
    <w:rsid w:val="00FB239E"/>
    <w:rsid w:val="00FB31AE"/>
    <w:rsid w:val="00FB3EB5"/>
    <w:rsid w:val="00FB4678"/>
    <w:rsid w:val="00FB46AB"/>
    <w:rsid w:val="00FB4DF5"/>
    <w:rsid w:val="00FB4E66"/>
    <w:rsid w:val="00FB50F9"/>
    <w:rsid w:val="00FB583C"/>
    <w:rsid w:val="00FB59E5"/>
    <w:rsid w:val="00FB6FA6"/>
    <w:rsid w:val="00FB7021"/>
    <w:rsid w:val="00FB718A"/>
    <w:rsid w:val="00FB73E3"/>
    <w:rsid w:val="00FB75DE"/>
    <w:rsid w:val="00FB7D15"/>
    <w:rsid w:val="00FB7D44"/>
    <w:rsid w:val="00FB7FFC"/>
    <w:rsid w:val="00FC02EF"/>
    <w:rsid w:val="00FC09B6"/>
    <w:rsid w:val="00FC0C24"/>
    <w:rsid w:val="00FC0D09"/>
    <w:rsid w:val="00FC0D89"/>
    <w:rsid w:val="00FC12E2"/>
    <w:rsid w:val="00FC1D05"/>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C7DA9"/>
    <w:rsid w:val="00FC7DF4"/>
    <w:rsid w:val="00FD0003"/>
    <w:rsid w:val="00FD07F1"/>
    <w:rsid w:val="00FD0B9D"/>
    <w:rsid w:val="00FD0C7A"/>
    <w:rsid w:val="00FD0C85"/>
    <w:rsid w:val="00FD0FAE"/>
    <w:rsid w:val="00FD14A0"/>
    <w:rsid w:val="00FD1666"/>
    <w:rsid w:val="00FD1E00"/>
    <w:rsid w:val="00FD229E"/>
    <w:rsid w:val="00FD26CE"/>
    <w:rsid w:val="00FD2A06"/>
    <w:rsid w:val="00FD2B25"/>
    <w:rsid w:val="00FD329B"/>
    <w:rsid w:val="00FD33DB"/>
    <w:rsid w:val="00FD35F0"/>
    <w:rsid w:val="00FD363A"/>
    <w:rsid w:val="00FD382C"/>
    <w:rsid w:val="00FD3BA6"/>
    <w:rsid w:val="00FD3C38"/>
    <w:rsid w:val="00FD3F7B"/>
    <w:rsid w:val="00FD3FC8"/>
    <w:rsid w:val="00FD4131"/>
    <w:rsid w:val="00FD4148"/>
    <w:rsid w:val="00FD4203"/>
    <w:rsid w:val="00FD497A"/>
    <w:rsid w:val="00FD4EAC"/>
    <w:rsid w:val="00FD52B0"/>
    <w:rsid w:val="00FD5346"/>
    <w:rsid w:val="00FD5729"/>
    <w:rsid w:val="00FD5758"/>
    <w:rsid w:val="00FD59BE"/>
    <w:rsid w:val="00FD62C7"/>
    <w:rsid w:val="00FD6C64"/>
    <w:rsid w:val="00FD6CDC"/>
    <w:rsid w:val="00FD70A2"/>
    <w:rsid w:val="00FD72F4"/>
    <w:rsid w:val="00FD76B2"/>
    <w:rsid w:val="00FD7F47"/>
    <w:rsid w:val="00FE0C7D"/>
    <w:rsid w:val="00FE126E"/>
    <w:rsid w:val="00FE1591"/>
    <w:rsid w:val="00FE1690"/>
    <w:rsid w:val="00FE1F1D"/>
    <w:rsid w:val="00FE20DC"/>
    <w:rsid w:val="00FE24A3"/>
    <w:rsid w:val="00FE2E45"/>
    <w:rsid w:val="00FE3175"/>
    <w:rsid w:val="00FE3258"/>
    <w:rsid w:val="00FE38E4"/>
    <w:rsid w:val="00FE3909"/>
    <w:rsid w:val="00FE3959"/>
    <w:rsid w:val="00FE3C3C"/>
    <w:rsid w:val="00FE3E3F"/>
    <w:rsid w:val="00FE3F87"/>
    <w:rsid w:val="00FE492B"/>
    <w:rsid w:val="00FE4B37"/>
    <w:rsid w:val="00FE4FB7"/>
    <w:rsid w:val="00FE51AB"/>
    <w:rsid w:val="00FE573D"/>
    <w:rsid w:val="00FE5A19"/>
    <w:rsid w:val="00FE5FCE"/>
    <w:rsid w:val="00FE5FFC"/>
    <w:rsid w:val="00FE602C"/>
    <w:rsid w:val="00FE6790"/>
    <w:rsid w:val="00FE6A73"/>
    <w:rsid w:val="00FE6B2C"/>
    <w:rsid w:val="00FE6EA5"/>
    <w:rsid w:val="00FE76C4"/>
    <w:rsid w:val="00FE7D4A"/>
    <w:rsid w:val="00FF040F"/>
    <w:rsid w:val="00FF09F3"/>
    <w:rsid w:val="00FF0A42"/>
    <w:rsid w:val="00FF193F"/>
    <w:rsid w:val="00FF1FC0"/>
    <w:rsid w:val="00FF2710"/>
    <w:rsid w:val="00FF3DE5"/>
    <w:rsid w:val="00FF444C"/>
    <w:rsid w:val="00FF4AED"/>
    <w:rsid w:val="00FF4BFA"/>
    <w:rsid w:val="00FF4FA0"/>
    <w:rsid w:val="00FF53A3"/>
    <w:rsid w:val="00FF54DB"/>
    <w:rsid w:val="00FF561C"/>
    <w:rsid w:val="00FF5988"/>
    <w:rsid w:val="00FF5E44"/>
    <w:rsid w:val="00FF5EC6"/>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81C131"/>
  <w15:chartTrackingRefBased/>
  <w15:docId w15:val="{0FD6EE70-C8A7-403D-A0E3-AB4AC4AEE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9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B0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049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qFormat/>
    <w:rsid w:val="00B26422"/>
  </w:style>
  <w:style w:type="character" w:customStyle="1" w:styleId="CommentTextChar">
    <w:name w:val="Comment Text Char"/>
    <w:link w:val="CommentText"/>
    <w:uiPriority w:val="99"/>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64D1"/>
    <w:rPr>
      <w:rFonts w:ascii="Arial" w:hAnsi="Arial"/>
      <w:b/>
      <w:noProof/>
      <w:sz w:val="18"/>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74192"/>
    <w:rPr>
      <w:rFonts w:eastAsia="MS Mincho"/>
      <w:lang w:val="en-GB" w:eastAsia="en-US"/>
    </w:rPr>
  </w:style>
  <w:style w:type="character" w:customStyle="1" w:styleId="Heading2Char">
    <w:name w:val="Heading 2 Char"/>
    <w:link w:val="Heading2"/>
    <w:qFormat/>
    <w:rsid w:val="00923E0B"/>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3240">
      <w:bodyDiv w:val="1"/>
      <w:marLeft w:val="0"/>
      <w:marRight w:val="0"/>
      <w:marTop w:val="0"/>
      <w:marBottom w:val="0"/>
      <w:divBdr>
        <w:top w:val="none" w:sz="0" w:space="0" w:color="auto"/>
        <w:left w:val="none" w:sz="0" w:space="0" w:color="auto"/>
        <w:bottom w:val="none" w:sz="0" w:space="0" w:color="auto"/>
        <w:right w:val="none" w:sz="0" w:space="0" w:color="auto"/>
      </w:divBdr>
      <w:divsChild>
        <w:div w:id="86342107">
          <w:marLeft w:val="1080"/>
          <w:marRight w:val="0"/>
          <w:marTop w:val="100"/>
          <w:marBottom w:val="0"/>
          <w:divBdr>
            <w:top w:val="none" w:sz="0" w:space="0" w:color="auto"/>
            <w:left w:val="none" w:sz="0" w:space="0" w:color="auto"/>
            <w:bottom w:val="none" w:sz="0" w:space="0" w:color="auto"/>
            <w:right w:val="none" w:sz="0" w:space="0" w:color="auto"/>
          </w:divBdr>
        </w:div>
        <w:div w:id="191186643">
          <w:marLeft w:val="1800"/>
          <w:marRight w:val="0"/>
          <w:marTop w:val="100"/>
          <w:marBottom w:val="0"/>
          <w:divBdr>
            <w:top w:val="none" w:sz="0" w:space="0" w:color="auto"/>
            <w:left w:val="none" w:sz="0" w:space="0" w:color="auto"/>
            <w:bottom w:val="none" w:sz="0" w:space="0" w:color="auto"/>
            <w:right w:val="none" w:sz="0" w:space="0" w:color="auto"/>
          </w:divBdr>
        </w:div>
        <w:div w:id="246111575">
          <w:marLeft w:val="1080"/>
          <w:marRight w:val="0"/>
          <w:marTop w:val="100"/>
          <w:marBottom w:val="0"/>
          <w:divBdr>
            <w:top w:val="none" w:sz="0" w:space="0" w:color="auto"/>
            <w:left w:val="none" w:sz="0" w:space="0" w:color="auto"/>
            <w:bottom w:val="none" w:sz="0" w:space="0" w:color="auto"/>
            <w:right w:val="none" w:sz="0" w:space="0" w:color="auto"/>
          </w:divBdr>
        </w:div>
        <w:div w:id="932322773">
          <w:marLeft w:val="1800"/>
          <w:marRight w:val="0"/>
          <w:marTop w:val="100"/>
          <w:marBottom w:val="0"/>
          <w:divBdr>
            <w:top w:val="none" w:sz="0" w:space="0" w:color="auto"/>
            <w:left w:val="none" w:sz="0" w:space="0" w:color="auto"/>
            <w:bottom w:val="none" w:sz="0" w:space="0" w:color="auto"/>
            <w:right w:val="none" w:sz="0" w:space="0" w:color="auto"/>
          </w:divBdr>
        </w:div>
        <w:div w:id="1063916468">
          <w:marLeft w:val="1800"/>
          <w:marRight w:val="0"/>
          <w:marTop w:val="100"/>
          <w:marBottom w:val="0"/>
          <w:divBdr>
            <w:top w:val="none" w:sz="0" w:space="0" w:color="auto"/>
            <w:left w:val="none" w:sz="0" w:space="0" w:color="auto"/>
            <w:bottom w:val="none" w:sz="0" w:space="0" w:color="auto"/>
            <w:right w:val="none" w:sz="0" w:space="0" w:color="auto"/>
          </w:divBdr>
        </w:div>
        <w:div w:id="1309483108">
          <w:marLeft w:val="1080"/>
          <w:marRight w:val="0"/>
          <w:marTop w:val="100"/>
          <w:marBottom w:val="0"/>
          <w:divBdr>
            <w:top w:val="none" w:sz="0" w:space="0" w:color="auto"/>
            <w:left w:val="none" w:sz="0" w:space="0" w:color="auto"/>
            <w:bottom w:val="none" w:sz="0" w:space="0" w:color="auto"/>
            <w:right w:val="none" w:sz="0" w:space="0" w:color="auto"/>
          </w:divBdr>
        </w:div>
        <w:div w:id="1374765781">
          <w:marLeft w:val="1080"/>
          <w:marRight w:val="0"/>
          <w:marTop w:val="100"/>
          <w:marBottom w:val="0"/>
          <w:divBdr>
            <w:top w:val="none" w:sz="0" w:space="0" w:color="auto"/>
            <w:left w:val="none" w:sz="0" w:space="0" w:color="auto"/>
            <w:bottom w:val="none" w:sz="0" w:space="0" w:color="auto"/>
            <w:right w:val="none" w:sz="0" w:space="0" w:color="auto"/>
          </w:divBdr>
        </w:div>
        <w:div w:id="1383139608">
          <w:marLeft w:val="360"/>
          <w:marRight w:val="0"/>
          <w:marTop w:val="200"/>
          <w:marBottom w:val="0"/>
          <w:divBdr>
            <w:top w:val="none" w:sz="0" w:space="0" w:color="auto"/>
            <w:left w:val="none" w:sz="0" w:space="0" w:color="auto"/>
            <w:bottom w:val="none" w:sz="0" w:space="0" w:color="auto"/>
            <w:right w:val="none" w:sz="0" w:space="0" w:color="auto"/>
          </w:divBdr>
        </w:div>
        <w:div w:id="1396120089">
          <w:marLeft w:val="1800"/>
          <w:marRight w:val="0"/>
          <w:marTop w:val="100"/>
          <w:marBottom w:val="0"/>
          <w:divBdr>
            <w:top w:val="none" w:sz="0" w:space="0" w:color="auto"/>
            <w:left w:val="none" w:sz="0" w:space="0" w:color="auto"/>
            <w:bottom w:val="none" w:sz="0" w:space="0" w:color="auto"/>
            <w:right w:val="none" w:sz="0" w:space="0" w:color="auto"/>
          </w:divBdr>
        </w:div>
        <w:div w:id="1586455205">
          <w:marLeft w:val="1800"/>
          <w:marRight w:val="0"/>
          <w:marTop w:val="100"/>
          <w:marBottom w:val="0"/>
          <w:divBdr>
            <w:top w:val="none" w:sz="0" w:space="0" w:color="auto"/>
            <w:left w:val="none" w:sz="0" w:space="0" w:color="auto"/>
            <w:bottom w:val="none" w:sz="0" w:space="0" w:color="auto"/>
            <w:right w:val="none" w:sz="0" w:space="0" w:color="auto"/>
          </w:divBdr>
        </w:div>
        <w:div w:id="1838761185">
          <w:marLeft w:val="1800"/>
          <w:marRight w:val="0"/>
          <w:marTop w:val="100"/>
          <w:marBottom w:val="0"/>
          <w:divBdr>
            <w:top w:val="none" w:sz="0" w:space="0" w:color="auto"/>
            <w:left w:val="none" w:sz="0" w:space="0" w:color="auto"/>
            <w:bottom w:val="none" w:sz="0" w:space="0" w:color="auto"/>
            <w:right w:val="none" w:sz="0" w:space="0" w:color="auto"/>
          </w:divBdr>
        </w:div>
      </w:divsChild>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1343947">
      <w:bodyDiv w:val="1"/>
      <w:marLeft w:val="0"/>
      <w:marRight w:val="0"/>
      <w:marTop w:val="0"/>
      <w:marBottom w:val="0"/>
      <w:divBdr>
        <w:top w:val="none" w:sz="0" w:space="0" w:color="auto"/>
        <w:left w:val="none" w:sz="0" w:space="0" w:color="auto"/>
        <w:bottom w:val="none" w:sz="0" w:space="0" w:color="auto"/>
        <w:right w:val="none" w:sz="0" w:space="0" w:color="auto"/>
      </w:divBdr>
      <w:divsChild>
        <w:div w:id="724521536">
          <w:marLeft w:val="360"/>
          <w:marRight w:val="0"/>
          <w:marTop w:val="200"/>
          <w:marBottom w:val="0"/>
          <w:divBdr>
            <w:top w:val="none" w:sz="0" w:space="0" w:color="auto"/>
            <w:left w:val="none" w:sz="0" w:space="0" w:color="auto"/>
            <w:bottom w:val="none" w:sz="0" w:space="0" w:color="auto"/>
            <w:right w:val="none" w:sz="0" w:space="0" w:color="auto"/>
          </w:divBdr>
        </w:div>
      </w:divsChild>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5219078">
      <w:bodyDiv w:val="1"/>
      <w:marLeft w:val="0"/>
      <w:marRight w:val="0"/>
      <w:marTop w:val="0"/>
      <w:marBottom w:val="0"/>
      <w:divBdr>
        <w:top w:val="none" w:sz="0" w:space="0" w:color="auto"/>
        <w:left w:val="none" w:sz="0" w:space="0" w:color="auto"/>
        <w:bottom w:val="none" w:sz="0" w:space="0" w:color="auto"/>
        <w:right w:val="none" w:sz="0" w:space="0" w:color="auto"/>
      </w:divBdr>
      <w:divsChild>
        <w:div w:id="713389536">
          <w:marLeft w:val="360"/>
          <w:marRight w:val="0"/>
          <w:marTop w:val="200"/>
          <w:marBottom w:val="0"/>
          <w:divBdr>
            <w:top w:val="none" w:sz="0" w:space="0" w:color="auto"/>
            <w:left w:val="none" w:sz="0" w:space="0" w:color="auto"/>
            <w:bottom w:val="none" w:sz="0" w:space="0" w:color="auto"/>
            <w:right w:val="none" w:sz="0" w:space="0" w:color="auto"/>
          </w:divBdr>
        </w:div>
        <w:div w:id="890337315">
          <w:marLeft w:val="360"/>
          <w:marRight w:val="0"/>
          <w:marTop w:val="200"/>
          <w:marBottom w:val="0"/>
          <w:divBdr>
            <w:top w:val="none" w:sz="0" w:space="0" w:color="auto"/>
            <w:left w:val="none" w:sz="0" w:space="0" w:color="auto"/>
            <w:bottom w:val="none" w:sz="0" w:space="0" w:color="auto"/>
            <w:right w:val="none" w:sz="0" w:space="0" w:color="auto"/>
          </w:divBdr>
        </w:div>
        <w:div w:id="914894016">
          <w:marLeft w:val="360"/>
          <w:marRight w:val="0"/>
          <w:marTop w:val="200"/>
          <w:marBottom w:val="0"/>
          <w:divBdr>
            <w:top w:val="none" w:sz="0" w:space="0" w:color="auto"/>
            <w:left w:val="none" w:sz="0" w:space="0" w:color="auto"/>
            <w:bottom w:val="none" w:sz="0" w:space="0" w:color="auto"/>
            <w:right w:val="none" w:sz="0" w:space="0" w:color="auto"/>
          </w:divBdr>
        </w:div>
        <w:div w:id="2046716012">
          <w:marLeft w:val="360"/>
          <w:marRight w:val="0"/>
          <w:marTop w:val="200"/>
          <w:marBottom w:val="0"/>
          <w:divBdr>
            <w:top w:val="none" w:sz="0" w:space="0" w:color="auto"/>
            <w:left w:val="none" w:sz="0" w:space="0" w:color="auto"/>
            <w:bottom w:val="none" w:sz="0" w:space="0" w:color="auto"/>
            <w:right w:val="none" w:sz="0" w:space="0" w:color="auto"/>
          </w:divBdr>
        </w:div>
      </w:divsChild>
    </w:div>
    <w:div w:id="166794178">
      <w:bodyDiv w:val="1"/>
      <w:marLeft w:val="0"/>
      <w:marRight w:val="0"/>
      <w:marTop w:val="0"/>
      <w:marBottom w:val="0"/>
      <w:divBdr>
        <w:top w:val="none" w:sz="0" w:space="0" w:color="auto"/>
        <w:left w:val="none" w:sz="0" w:space="0" w:color="auto"/>
        <w:bottom w:val="none" w:sz="0" w:space="0" w:color="auto"/>
        <w:right w:val="none" w:sz="0" w:space="0" w:color="auto"/>
      </w:divBdr>
      <w:divsChild>
        <w:div w:id="1165708594">
          <w:marLeft w:val="1080"/>
          <w:marRight w:val="0"/>
          <w:marTop w:val="100"/>
          <w:marBottom w:val="0"/>
          <w:divBdr>
            <w:top w:val="none" w:sz="0" w:space="0" w:color="auto"/>
            <w:left w:val="none" w:sz="0" w:space="0" w:color="auto"/>
            <w:bottom w:val="none" w:sz="0" w:space="0" w:color="auto"/>
            <w:right w:val="none" w:sz="0" w:space="0" w:color="auto"/>
          </w:divBdr>
        </w:div>
        <w:div w:id="2147309371">
          <w:marLeft w:val="1080"/>
          <w:marRight w:val="0"/>
          <w:marTop w:val="100"/>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478906">
      <w:bodyDiv w:val="1"/>
      <w:marLeft w:val="0"/>
      <w:marRight w:val="0"/>
      <w:marTop w:val="0"/>
      <w:marBottom w:val="0"/>
      <w:divBdr>
        <w:top w:val="none" w:sz="0" w:space="0" w:color="auto"/>
        <w:left w:val="none" w:sz="0" w:space="0" w:color="auto"/>
        <w:bottom w:val="none" w:sz="0" w:space="0" w:color="auto"/>
        <w:right w:val="none" w:sz="0" w:space="0" w:color="auto"/>
      </w:divBdr>
      <w:divsChild>
        <w:div w:id="187106732">
          <w:marLeft w:val="1080"/>
          <w:marRight w:val="0"/>
          <w:marTop w:val="100"/>
          <w:marBottom w:val="0"/>
          <w:divBdr>
            <w:top w:val="none" w:sz="0" w:space="0" w:color="auto"/>
            <w:left w:val="none" w:sz="0" w:space="0" w:color="auto"/>
            <w:bottom w:val="none" w:sz="0" w:space="0" w:color="auto"/>
            <w:right w:val="none" w:sz="0" w:space="0" w:color="auto"/>
          </w:divBdr>
        </w:div>
        <w:div w:id="195509413">
          <w:marLeft w:val="1080"/>
          <w:marRight w:val="0"/>
          <w:marTop w:val="100"/>
          <w:marBottom w:val="0"/>
          <w:divBdr>
            <w:top w:val="none" w:sz="0" w:space="0" w:color="auto"/>
            <w:left w:val="none" w:sz="0" w:space="0" w:color="auto"/>
            <w:bottom w:val="none" w:sz="0" w:space="0" w:color="auto"/>
            <w:right w:val="none" w:sz="0" w:space="0" w:color="auto"/>
          </w:divBdr>
        </w:div>
        <w:div w:id="232393281">
          <w:marLeft w:val="1080"/>
          <w:marRight w:val="0"/>
          <w:marTop w:val="100"/>
          <w:marBottom w:val="0"/>
          <w:divBdr>
            <w:top w:val="none" w:sz="0" w:space="0" w:color="auto"/>
            <w:left w:val="none" w:sz="0" w:space="0" w:color="auto"/>
            <w:bottom w:val="none" w:sz="0" w:space="0" w:color="auto"/>
            <w:right w:val="none" w:sz="0" w:space="0" w:color="auto"/>
          </w:divBdr>
        </w:div>
        <w:div w:id="442503723">
          <w:marLeft w:val="1080"/>
          <w:marRight w:val="0"/>
          <w:marTop w:val="100"/>
          <w:marBottom w:val="0"/>
          <w:divBdr>
            <w:top w:val="none" w:sz="0" w:space="0" w:color="auto"/>
            <w:left w:val="none" w:sz="0" w:space="0" w:color="auto"/>
            <w:bottom w:val="none" w:sz="0" w:space="0" w:color="auto"/>
            <w:right w:val="none" w:sz="0" w:space="0" w:color="auto"/>
          </w:divBdr>
        </w:div>
        <w:div w:id="566382103">
          <w:marLeft w:val="360"/>
          <w:marRight w:val="0"/>
          <w:marTop w:val="200"/>
          <w:marBottom w:val="0"/>
          <w:divBdr>
            <w:top w:val="none" w:sz="0" w:space="0" w:color="auto"/>
            <w:left w:val="none" w:sz="0" w:space="0" w:color="auto"/>
            <w:bottom w:val="none" w:sz="0" w:space="0" w:color="auto"/>
            <w:right w:val="none" w:sz="0" w:space="0" w:color="auto"/>
          </w:divBdr>
        </w:div>
        <w:div w:id="704402076">
          <w:marLeft w:val="1800"/>
          <w:marRight w:val="0"/>
          <w:marTop w:val="100"/>
          <w:marBottom w:val="0"/>
          <w:divBdr>
            <w:top w:val="none" w:sz="0" w:space="0" w:color="auto"/>
            <w:left w:val="none" w:sz="0" w:space="0" w:color="auto"/>
            <w:bottom w:val="none" w:sz="0" w:space="0" w:color="auto"/>
            <w:right w:val="none" w:sz="0" w:space="0" w:color="auto"/>
          </w:divBdr>
        </w:div>
        <w:div w:id="751002526">
          <w:marLeft w:val="1080"/>
          <w:marRight w:val="0"/>
          <w:marTop w:val="100"/>
          <w:marBottom w:val="0"/>
          <w:divBdr>
            <w:top w:val="none" w:sz="0" w:space="0" w:color="auto"/>
            <w:left w:val="none" w:sz="0" w:space="0" w:color="auto"/>
            <w:bottom w:val="none" w:sz="0" w:space="0" w:color="auto"/>
            <w:right w:val="none" w:sz="0" w:space="0" w:color="auto"/>
          </w:divBdr>
        </w:div>
        <w:div w:id="836264866">
          <w:marLeft w:val="1080"/>
          <w:marRight w:val="0"/>
          <w:marTop w:val="100"/>
          <w:marBottom w:val="0"/>
          <w:divBdr>
            <w:top w:val="none" w:sz="0" w:space="0" w:color="auto"/>
            <w:left w:val="none" w:sz="0" w:space="0" w:color="auto"/>
            <w:bottom w:val="none" w:sz="0" w:space="0" w:color="auto"/>
            <w:right w:val="none" w:sz="0" w:space="0" w:color="auto"/>
          </w:divBdr>
        </w:div>
        <w:div w:id="1431469268">
          <w:marLeft w:val="360"/>
          <w:marRight w:val="0"/>
          <w:marTop w:val="200"/>
          <w:marBottom w:val="0"/>
          <w:divBdr>
            <w:top w:val="none" w:sz="0" w:space="0" w:color="auto"/>
            <w:left w:val="none" w:sz="0" w:space="0" w:color="auto"/>
            <w:bottom w:val="none" w:sz="0" w:space="0" w:color="auto"/>
            <w:right w:val="none" w:sz="0" w:space="0" w:color="auto"/>
          </w:divBdr>
        </w:div>
        <w:div w:id="1823153142">
          <w:marLeft w:val="1080"/>
          <w:marRight w:val="0"/>
          <w:marTop w:val="100"/>
          <w:marBottom w:val="0"/>
          <w:divBdr>
            <w:top w:val="none" w:sz="0" w:space="0" w:color="auto"/>
            <w:left w:val="none" w:sz="0" w:space="0" w:color="auto"/>
            <w:bottom w:val="none" w:sz="0" w:space="0" w:color="auto"/>
            <w:right w:val="none" w:sz="0" w:space="0" w:color="auto"/>
          </w:divBdr>
        </w:div>
        <w:div w:id="2062441736">
          <w:marLeft w:val="360"/>
          <w:marRight w:val="0"/>
          <w:marTop w:val="200"/>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2503579">
      <w:bodyDiv w:val="1"/>
      <w:marLeft w:val="0"/>
      <w:marRight w:val="0"/>
      <w:marTop w:val="0"/>
      <w:marBottom w:val="0"/>
      <w:divBdr>
        <w:top w:val="none" w:sz="0" w:space="0" w:color="auto"/>
        <w:left w:val="none" w:sz="0" w:space="0" w:color="auto"/>
        <w:bottom w:val="none" w:sz="0" w:space="0" w:color="auto"/>
        <w:right w:val="none" w:sz="0" w:space="0" w:color="auto"/>
      </w:divBdr>
      <w:divsChild>
        <w:div w:id="55856427">
          <w:marLeft w:val="360"/>
          <w:marRight w:val="0"/>
          <w:marTop w:val="200"/>
          <w:marBottom w:val="0"/>
          <w:divBdr>
            <w:top w:val="none" w:sz="0" w:space="0" w:color="auto"/>
            <w:left w:val="none" w:sz="0" w:space="0" w:color="auto"/>
            <w:bottom w:val="none" w:sz="0" w:space="0" w:color="auto"/>
            <w:right w:val="none" w:sz="0" w:space="0" w:color="auto"/>
          </w:divBdr>
        </w:div>
        <w:div w:id="177935556">
          <w:marLeft w:val="1080"/>
          <w:marRight w:val="0"/>
          <w:marTop w:val="100"/>
          <w:marBottom w:val="0"/>
          <w:divBdr>
            <w:top w:val="none" w:sz="0" w:space="0" w:color="auto"/>
            <w:left w:val="none" w:sz="0" w:space="0" w:color="auto"/>
            <w:bottom w:val="none" w:sz="0" w:space="0" w:color="auto"/>
            <w:right w:val="none" w:sz="0" w:space="0" w:color="auto"/>
          </w:divBdr>
        </w:div>
        <w:div w:id="198058287">
          <w:marLeft w:val="1800"/>
          <w:marRight w:val="0"/>
          <w:marTop w:val="100"/>
          <w:marBottom w:val="0"/>
          <w:divBdr>
            <w:top w:val="none" w:sz="0" w:space="0" w:color="auto"/>
            <w:left w:val="none" w:sz="0" w:space="0" w:color="auto"/>
            <w:bottom w:val="none" w:sz="0" w:space="0" w:color="auto"/>
            <w:right w:val="none" w:sz="0" w:space="0" w:color="auto"/>
          </w:divBdr>
        </w:div>
        <w:div w:id="432014642">
          <w:marLeft w:val="1080"/>
          <w:marRight w:val="0"/>
          <w:marTop w:val="100"/>
          <w:marBottom w:val="0"/>
          <w:divBdr>
            <w:top w:val="none" w:sz="0" w:space="0" w:color="auto"/>
            <w:left w:val="none" w:sz="0" w:space="0" w:color="auto"/>
            <w:bottom w:val="none" w:sz="0" w:space="0" w:color="auto"/>
            <w:right w:val="none" w:sz="0" w:space="0" w:color="auto"/>
          </w:divBdr>
        </w:div>
        <w:div w:id="575941231">
          <w:marLeft w:val="1080"/>
          <w:marRight w:val="0"/>
          <w:marTop w:val="100"/>
          <w:marBottom w:val="0"/>
          <w:divBdr>
            <w:top w:val="none" w:sz="0" w:space="0" w:color="auto"/>
            <w:left w:val="none" w:sz="0" w:space="0" w:color="auto"/>
            <w:bottom w:val="none" w:sz="0" w:space="0" w:color="auto"/>
            <w:right w:val="none" w:sz="0" w:space="0" w:color="auto"/>
          </w:divBdr>
        </w:div>
        <w:div w:id="576787494">
          <w:marLeft w:val="1800"/>
          <w:marRight w:val="0"/>
          <w:marTop w:val="100"/>
          <w:marBottom w:val="0"/>
          <w:divBdr>
            <w:top w:val="none" w:sz="0" w:space="0" w:color="auto"/>
            <w:left w:val="none" w:sz="0" w:space="0" w:color="auto"/>
            <w:bottom w:val="none" w:sz="0" w:space="0" w:color="auto"/>
            <w:right w:val="none" w:sz="0" w:space="0" w:color="auto"/>
          </w:divBdr>
        </w:div>
        <w:div w:id="754547705">
          <w:marLeft w:val="360"/>
          <w:marRight w:val="0"/>
          <w:marTop w:val="200"/>
          <w:marBottom w:val="0"/>
          <w:divBdr>
            <w:top w:val="none" w:sz="0" w:space="0" w:color="auto"/>
            <w:left w:val="none" w:sz="0" w:space="0" w:color="auto"/>
            <w:bottom w:val="none" w:sz="0" w:space="0" w:color="auto"/>
            <w:right w:val="none" w:sz="0" w:space="0" w:color="auto"/>
          </w:divBdr>
        </w:div>
        <w:div w:id="1035157536">
          <w:marLeft w:val="1800"/>
          <w:marRight w:val="0"/>
          <w:marTop w:val="100"/>
          <w:marBottom w:val="0"/>
          <w:divBdr>
            <w:top w:val="none" w:sz="0" w:space="0" w:color="auto"/>
            <w:left w:val="none" w:sz="0" w:space="0" w:color="auto"/>
            <w:bottom w:val="none" w:sz="0" w:space="0" w:color="auto"/>
            <w:right w:val="none" w:sz="0" w:space="0" w:color="auto"/>
          </w:divBdr>
        </w:div>
        <w:div w:id="1301229827">
          <w:marLeft w:val="1800"/>
          <w:marRight w:val="0"/>
          <w:marTop w:val="100"/>
          <w:marBottom w:val="0"/>
          <w:divBdr>
            <w:top w:val="none" w:sz="0" w:space="0" w:color="auto"/>
            <w:left w:val="none" w:sz="0" w:space="0" w:color="auto"/>
            <w:bottom w:val="none" w:sz="0" w:space="0" w:color="auto"/>
            <w:right w:val="none" w:sz="0" w:space="0" w:color="auto"/>
          </w:divBdr>
        </w:div>
        <w:div w:id="1498107394">
          <w:marLeft w:val="1080"/>
          <w:marRight w:val="0"/>
          <w:marTop w:val="100"/>
          <w:marBottom w:val="0"/>
          <w:divBdr>
            <w:top w:val="none" w:sz="0" w:space="0" w:color="auto"/>
            <w:left w:val="none" w:sz="0" w:space="0" w:color="auto"/>
            <w:bottom w:val="none" w:sz="0" w:space="0" w:color="auto"/>
            <w:right w:val="none" w:sz="0" w:space="0" w:color="auto"/>
          </w:divBdr>
        </w:div>
        <w:div w:id="1571231263">
          <w:marLeft w:val="1080"/>
          <w:marRight w:val="0"/>
          <w:marTop w:val="100"/>
          <w:marBottom w:val="0"/>
          <w:divBdr>
            <w:top w:val="none" w:sz="0" w:space="0" w:color="auto"/>
            <w:left w:val="none" w:sz="0" w:space="0" w:color="auto"/>
            <w:bottom w:val="none" w:sz="0" w:space="0" w:color="auto"/>
            <w:right w:val="none" w:sz="0" w:space="0" w:color="auto"/>
          </w:divBdr>
        </w:div>
        <w:div w:id="1676613323">
          <w:marLeft w:val="360"/>
          <w:marRight w:val="0"/>
          <w:marTop w:val="200"/>
          <w:marBottom w:val="0"/>
          <w:divBdr>
            <w:top w:val="none" w:sz="0" w:space="0" w:color="auto"/>
            <w:left w:val="none" w:sz="0" w:space="0" w:color="auto"/>
            <w:bottom w:val="none" w:sz="0" w:space="0" w:color="auto"/>
            <w:right w:val="none" w:sz="0" w:space="0" w:color="auto"/>
          </w:divBdr>
        </w:div>
        <w:div w:id="1931695448">
          <w:marLeft w:val="1800"/>
          <w:marRight w:val="0"/>
          <w:marTop w:val="100"/>
          <w:marBottom w:val="0"/>
          <w:divBdr>
            <w:top w:val="none" w:sz="0" w:space="0" w:color="auto"/>
            <w:left w:val="none" w:sz="0" w:space="0" w:color="auto"/>
            <w:bottom w:val="none" w:sz="0" w:space="0" w:color="auto"/>
            <w:right w:val="none" w:sz="0" w:space="0" w:color="auto"/>
          </w:divBdr>
        </w:div>
        <w:div w:id="2098862288">
          <w:marLeft w:val="1080"/>
          <w:marRight w:val="0"/>
          <w:marTop w:val="1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92256732">
      <w:bodyDiv w:val="1"/>
      <w:marLeft w:val="0"/>
      <w:marRight w:val="0"/>
      <w:marTop w:val="0"/>
      <w:marBottom w:val="0"/>
      <w:divBdr>
        <w:top w:val="none" w:sz="0" w:space="0" w:color="auto"/>
        <w:left w:val="none" w:sz="0" w:space="0" w:color="auto"/>
        <w:bottom w:val="none" w:sz="0" w:space="0" w:color="auto"/>
        <w:right w:val="none" w:sz="0" w:space="0" w:color="auto"/>
      </w:divBdr>
    </w:div>
    <w:div w:id="500894989">
      <w:bodyDiv w:val="1"/>
      <w:marLeft w:val="0"/>
      <w:marRight w:val="0"/>
      <w:marTop w:val="0"/>
      <w:marBottom w:val="0"/>
      <w:divBdr>
        <w:top w:val="none" w:sz="0" w:space="0" w:color="auto"/>
        <w:left w:val="none" w:sz="0" w:space="0" w:color="auto"/>
        <w:bottom w:val="none" w:sz="0" w:space="0" w:color="auto"/>
        <w:right w:val="none" w:sz="0" w:space="0" w:color="auto"/>
      </w:divBdr>
      <w:divsChild>
        <w:div w:id="107235434">
          <w:marLeft w:val="360"/>
          <w:marRight w:val="0"/>
          <w:marTop w:val="200"/>
          <w:marBottom w:val="0"/>
          <w:divBdr>
            <w:top w:val="none" w:sz="0" w:space="0" w:color="auto"/>
            <w:left w:val="none" w:sz="0" w:space="0" w:color="auto"/>
            <w:bottom w:val="none" w:sz="0" w:space="0" w:color="auto"/>
            <w:right w:val="none" w:sz="0" w:space="0" w:color="auto"/>
          </w:divBdr>
        </w:div>
        <w:div w:id="118113303">
          <w:marLeft w:val="360"/>
          <w:marRight w:val="0"/>
          <w:marTop w:val="200"/>
          <w:marBottom w:val="0"/>
          <w:divBdr>
            <w:top w:val="none" w:sz="0" w:space="0" w:color="auto"/>
            <w:left w:val="none" w:sz="0" w:space="0" w:color="auto"/>
            <w:bottom w:val="none" w:sz="0" w:space="0" w:color="auto"/>
            <w:right w:val="none" w:sz="0" w:space="0" w:color="auto"/>
          </w:divBdr>
        </w:div>
        <w:div w:id="384524970">
          <w:marLeft w:val="1080"/>
          <w:marRight w:val="0"/>
          <w:marTop w:val="100"/>
          <w:marBottom w:val="0"/>
          <w:divBdr>
            <w:top w:val="none" w:sz="0" w:space="0" w:color="auto"/>
            <w:left w:val="none" w:sz="0" w:space="0" w:color="auto"/>
            <w:bottom w:val="none" w:sz="0" w:space="0" w:color="auto"/>
            <w:right w:val="none" w:sz="0" w:space="0" w:color="auto"/>
          </w:divBdr>
        </w:div>
        <w:div w:id="399253615">
          <w:marLeft w:val="1080"/>
          <w:marRight w:val="0"/>
          <w:marTop w:val="100"/>
          <w:marBottom w:val="0"/>
          <w:divBdr>
            <w:top w:val="none" w:sz="0" w:space="0" w:color="auto"/>
            <w:left w:val="none" w:sz="0" w:space="0" w:color="auto"/>
            <w:bottom w:val="none" w:sz="0" w:space="0" w:color="auto"/>
            <w:right w:val="none" w:sz="0" w:space="0" w:color="auto"/>
          </w:divBdr>
        </w:div>
        <w:div w:id="433332426">
          <w:marLeft w:val="1800"/>
          <w:marRight w:val="0"/>
          <w:marTop w:val="100"/>
          <w:marBottom w:val="0"/>
          <w:divBdr>
            <w:top w:val="none" w:sz="0" w:space="0" w:color="auto"/>
            <w:left w:val="none" w:sz="0" w:space="0" w:color="auto"/>
            <w:bottom w:val="none" w:sz="0" w:space="0" w:color="auto"/>
            <w:right w:val="none" w:sz="0" w:space="0" w:color="auto"/>
          </w:divBdr>
        </w:div>
        <w:div w:id="517041309">
          <w:marLeft w:val="360"/>
          <w:marRight w:val="0"/>
          <w:marTop w:val="200"/>
          <w:marBottom w:val="0"/>
          <w:divBdr>
            <w:top w:val="none" w:sz="0" w:space="0" w:color="auto"/>
            <w:left w:val="none" w:sz="0" w:space="0" w:color="auto"/>
            <w:bottom w:val="none" w:sz="0" w:space="0" w:color="auto"/>
            <w:right w:val="none" w:sz="0" w:space="0" w:color="auto"/>
          </w:divBdr>
        </w:div>
        <w:div w:id="689835965">
          <w:marLeft w:val="1080"/>
          <w:marRight w:val="0"/>
          <w:marTop w:val="100"/>
          <w:marBottom w:val="0"/>
          <w:divBdr>
            <w:top w:val="none" w:sz="0" w:space="0" w:color="auto"/>
            <w:left w:val="none" w:sz="0" w:space="0" w:color="auto"/>
            <w:bottom w:val="none" w:sz="0" w:space="0" w:color="auto"/>
            <w:right w:val="none" w:sz="0" w:space="0" w:color="auto"/>
          </w:divBdr>
        </w:div>
        <w:div w:id="1427462172">
          <w:marLeft w:val="1080"/>
          <w:marRight w:val="0"/>
          <w:marTop w:val="100"/>
          <w:marBottom w:val="0"/>
          <w:divBdr>
            <w:top w:val="none" w:sz="0" w:space="0" w:color="auto"/>
            <w:left w:val="none" w:sz="0" w:space="0" w:color="auto"/>
            <w:bottom w:val="none" w:sz="0" w:space="0" w:color="auto"/>
            <w:right w:val="none" w:sz="0" w:space="0" w:color="auto"/>
          </w:divBdr>
        </w:div>
        <w:div w:id="1627926286">
          <w:marLeft w:val="360"/>
          <w:marRight w:val="0"/>
          <w:marTop w:val="200"/>
          <w:marBottom w:val="0"/>
          <w:divBdr>
            <w:top w:val="none" w:sz="0" w:space="0" w:color="auto"/>
            <w:left w:val="none" w:sz="0" w:space="0" w:color="auto"/>
            <w:bottom w:val="none" w:sz="0" w:space="0" w:color="auto"/>
            <w:right w:val="none" w:sz="0" w:space="0" w:color="auto"/>
          </w:divBdr>
        </w:div>
        <w:div w:id="1732575721">
          <w:marLeft w:val="1080"/>
          <w:marRight w:val="0"/>
          <w:marTop w:val="100"/>
          <w:marBottom w:val="0"/>
          <w:divBdr>
            <w:top w:val="none" w:sz="0" w:space="0" w:color="auto"/>
            <w:left w:val="none" w:sz="0" w:space="0" w:color="auto"/>
            <w:bottom w:val="none" w:sz="0" w:space="0" w:color="auto"/>
            <w:right w:val="none" w:sz="0" w:space="0" w:color="auto"/>
          </w:divBdr>
        </w:div>
      </w:divsChild>
    </w:div>
    <w:div w:id="509560663">
      <w:bodyDiv w:val="1"/>
      <w:marLeft w:val="0"/>
      <w:marRight w:val="0"/>
      <w:marTop w:val="0"/>
      <w:marBottom w:val="0"/>
      <w:divBdr>
        <w:top w:val="none" w:sz="0" w:space="0" w:color="auto"/>
        <w:left w:val="none" w:sz="0" w:space="0" w:color="auto"/>
        <w:bottom w:val="none" w:sz="0" w:space="0" w:color="auto"/>
        <w:right w:val="none" w:sz="0" w:space="0" w:color="auto"/>
      </w:divBdr>
      <w:divsChild>
        <w:div w:id="284778694">
          <w:marLeft w:val="360"/>
          <w:marRight w:val="0"/>
          <w:marTop w:val="200"/>
          <w:marBottom w:val="0"/>
          <w:divBdr>
            <w:top w:val="none" w:sz="0" w:space="0" w:color="auto"/>
            <w:left w:val="none" w:sz="0" w:space="0" w:color="auto"/>
            <w:bottom w:val="none" w:sz="0" w:space="0" w:color="auto"/>
            <w:right w:val="none" w:sz="0" w:space="0" w:color="auto"/>
          </w:divBdr>
        </w:div>
        <w:div w:id="420681288">
          <w:marLeft w:val="360"/>
          <w:marRight w:val="0"/>
          <w:marTop w:val="200"/>
          <w:marBottom w:val="0"/>
          <w:divBdr>
            <w:top w:val="none" w:sz="0" w:space="0" w:color="auto"/>
            <w:left w:val="none" w:sz="0" w:space="0" w:color="auto"/>
            <w:bottom w:val="none" w:sz="0" w:space="0" w:color="auto"/>
            <w:right w:val="none" w:sz="0" w:space="0" w:color="auto"/>
          </w:divBdr>
        </w:div>
        <w:div w:id="533272887">
          <w:marLeft w:val="1080"/>
          <w:marRight w:val="0"/>
          <w:marTop w:val="100"/>
          <w:marBottom w:val="0"/>
          <w:divBdr>
            <w:top w:val="none" w:sz="0" w:space="0" w:color="auto"/>
            <w:left w:val="none" w:sz="0" w:space="0" w:color="auto"/>
            <w:bottom w:val="none" w:sz="0" w:space="0" w:color="auto"/>
            <w:right w:val="none" w:sz="0" w:space="0" w:color="auto"/>
          </w:divBdr>
        </w:div>
        <w:div w:id="736124529">
          <w:marLeft w:val="360"/>
          <w:marRight w:val="0"/>
          <w:marTop w:val="200"/>
          <w:marBottom w:val="0"/>
          <w:divBdr>
            <w:top w:val="none" w:sz="0" w:space="0" w:color="auto"/>
            <w:left w:val="none" w:sz="0" w:space="0" w:color="auto"/>
            <w:bottom w:val="none" w:sz="0" w:space="0" w:color="auto"/>
            <w:right w:val="none" w:sz="0" w:space="0" w:color="auto"/>
          </w:divBdr>
        </w:div>
        <w:div w:id="1074206498">
          <w:marLeft w:val="360"/>
          <w:marRight w:val="0"/>
          <w:marTop w:val="200"/>
          <w:marBottom w:val="0"/>
          <w:divBdr>
            <w:top w:val="none" w:sz="0" w:space="0" w:color="auto"/>
            <w:left w:val="none" w:sz="0" w:space="0" w:color="auto"/>
            <w:bottom w:val="none" w:sz="0" w:space="0" w:color="auto"/>
            <w:right w:val="none" w:sz="0" w:space="0" w:color="auto"/>
          </w:divBdr>
        </w:div>
        <w:div w:id="1521774725">
          <w:marLeft w:val="1080"/>
          <w:marRight w:val="0"/>
          <w:marTop w:val="100"/>
          <w:marBottom w:val="0"/>
          <w:divBdr>
            <w:top w:val="none" w:sz="0" w:space="0" w:color="auto"/>
            <w:left w:val="none" w:sz="0" w:space="0" w:color="auto"/>
            <w:bottom w:val="none" w:sz="0" w:space="0" w:color="auto"/>
            <w:right w:val="none" w:sz="0" w:space="0" w:color="auto"/>
          </w:divBdr>
        </w:div>
        <w:div w:id="2014523615">
          <w:marLeft w:val="108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5941876">
      <w:bodyDiv w:val="1"/>
      <w:marLeft w:val="0"/>
      <w:marRight w:val="0"/>
      <w:marTop w:val="0"/>
      <w:marBottom w:val="0"/>
      <w:divBdr>
        <w:top w:val="none" w:sz="0" w:space="0" w:color="auto"/>
        <w:left w:val="none" w:sz="0" w:space="0" w:color="auto"/>
        <w:bottom w:val="none" w:sz="0" w:space="0" w:color="auto"/>
        <w:right w:val="none" w:sz="0" w:space="0" w:color="auto"/>
      </w:divBdr>
      <w:divsChild>
        <w:div w:id="981542145">
          <w:marLeft w:val="1080"/>
          <w:marRight w:val="0"/>
          <w:marTop w:val="100"/>
          <w:marBottom w:val="0"/>
          <w:divBdr>
            <w:top w:val="none" w:sz="0" w:space="0" w:color="auto"/>
            <w:left w:val="none" w:sz="0" w:space="0" w:color="auto"/>
            <w:bottom w:val="none" w:sz="0" w:space="0" w:color="auto"/>
            <w:right w:val="none" w:sz="0" w:space="0" w:color="auto"/>
          </w:divBdr>
        </w:div>
        <w:div w:id="2132697990">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59579382">
      <w:bodyDiv w:val="1"/>
      <w:marLeft w:val="0"/>
      <w:marRight w:val="0"/>
      <w:marTop w:val="0"/>
      <w:marBottom w:val="0"/>
      <w:divBdr>
        <w:top w:val="none" w:sz="0" w:space="0" w:color="auto"/>
        <w:left w:val="none" w:sz="0" w:space="0" w:color="auto"/>
        <w:bottom w:val="none" w:sz="0" w:space="0" w:color="auto"/>
        <w:right w:val="none" w:sz="0" w:space="0" w:color="auto"/>
      </w:divBdr>
      <w:divsChild>
        <w:div w:id="199785955">
          <w:marLeft w:val="1080"/>
          <w:marRight w:val="0"/>
          <w:marTop w:val="100"/>
          <w:marBottom w:val="0"/>
          <w:divBdr>
            <w:top w:val="none" w:sz="0" w:space="0" w:color="auto"/>
            <w:left w:val="none" w:sz="0" w:space="0" w:color="auto"/>
            <w:bottom w:val="none" w:sz="0" w:space="0" w:color="auto"/>
            <w:right w:val="none" w:sz="0" w:space="0" w:color="auto"/>
          </w:divBdr>
        </w:div>
        <w:div w:id="200679449">
          <w:marLeft w:val="360"/>
          <w:marRight w:val="0"/>
          <w:marTop w:val="200"/>
          <w:marBottom w:val="0"/>
          <w:divBdr>
            <w:top w:val="none" w:sz="0" w:space="0" w:color="auto"/>
            <w:left w:val="none" w:sz="0" w:space="0" w:color="auto"/>
            <w:bottom w:val="none" w:sz="0" w:space="0" w:color="auto"/>
            <w:right w:val="none" w:sz="0" w:space="0" w:color="auto"/>
          </w:divBdr>
        </w:div>
        <w:div w:id="274336032">
          <w:marLeft w:val="1080"/>
          <w:marRight w:val="0"/>
          <w:marTop w:val="100"/>
          <w:marBottom w:val="0"/>
          <w:divBdr>
            <w:top w:val="none" w:sz="0" w:space="0" w:color="auto"/>
            <w:left w:val="none" w:sz="0" w:space="0" w:color="auto"/>
            <w:bottom w:val="none" w:sz="0" w:space="0" w:color="auto"/>
            <w:right w:val="none" w:sz="0" w:space="0" w:color="auto"/>
          </w:divBdr>
        </w:div>
        <w:div w:id="1024983746">
          <w:marLeft w:val="1080"/>
          <w:marRight w:val="0"/>
          <w:marTop w:val="100"/>
          <w:marBottom w:val="0"/>
          <w:divBdr>
            <w:top w:val="none" w:sz="0" w:space="0" w:color="auto"/>
            <w:left w:val="none" w:sz="0" w:space="0" w:color="auto"/>
            <w:bottom w:val="none" w:sz="0" w:space="0" w:color="auto"/>
            <w:right w:val="none" w:sz="0" w:space="0" w:color="auto"/>
          </w:divBdr>
        </w:div>
        <w:div w:id="1113524200">
          <w:marLeft w:val="360"/>
          <w:marRight w:val="0"/>
          <w:marTop w:val="200"/>
          <w:marBottom w:val="0"/>
          <w:divBdr>
            <w:top w:val="none" w:sz="0" w:space="0" w:color="auto"/>
            <w:left w:val="none" w:sz="0" w:space="0" w:color="auto"/>
            <w:bottom w:val="none" w:sz="0" w:space="0" w:color="auto"/>
            <w:right w:val="none" w:sz="0" w:space="0" w:color="auto"/>
          </w:divBdr>
        </w:div>
        <w:div w:id="1249266687">
          <w:marLeft w:val="360"/>
          <w:marRight w:val="0"/>
          <w:marTop w:val="200"/>
          <w:marBottom w:val="0"/>
          <w:divBdr>
            <w:top w:val="none" w:sz="0" w:space="0" w:color="auto"/>
            <w:left w:val="none" w:sz="0" w:space="0" w:color="auto"/>
            <w:bottom w:val="none" w:sz="0" w:space="0" w:color="auto"/>
            <w:right w:val="none" w:sz="0" w:space="0" w:color="auto"/>
          </w:divBdr>
        </w:div>
        <w:div w:id="1415787419">
          <w:marLeft w:val="1080"/>
          <w:marRight w:val="0"/>
          <w:marTop w:val="100"/>
          <w:marBottom w:val="0"/>
          <w:divBdr>
            <w:top w:val="none" w:sz="0" w:space="0" w:color="auto"/>
            <w:left w:val="none" w:sz="0" w:space="0" w:color="auto"/>
            <w:bottom w:val="none" w:sz="0" w:space="0" w:color="auto"/>
            <w:right w:val="none" w:sz="0" w:space="0" w:color="auto"/>
          </w:divBdr>
        </w:div>
        <w:div w:id="1652368381">
          <w:marLeft w:val="360"/>
          <w:marRight w:val="0"/>
          <w:marTop w:val="200"/>
          <w:marBottom w:val="0"/>
          <w:divBdr>
            <w:top w:val="none" w:sz="0" w:space="0" w:color="auto"/>
            <w:left w:val="none" w:sz="0" w:space="0" w:color="auto"/>
            <w:bottom w:val="none" w:sz="0" w:space="0" w:color="auto"/>
            <w:right w:val="none" w:sz="0" w:space="0" w:color="auto"/>
          </w:divBdr>
        </w:div>
        <w:div w:id="1660648641">
          <w:marLeft w:val="360"/>
          <w:marRight w:val="0"/>
          <w:marTop w:val="200"/>
          <w:marBottom w:val="0"/>
          <w:divBdr>
            <w:top w:val="none" w:sz="0" w:space="0" w:color="auto"/>
            <w:left w:val="none" w:sz="0" w:space="0" w:color="auto"/>
            <w:bottom w:val="none" w:sz="0" w:space="0" w:color="auto"/>
            <w:right w:val="none" w:sz="0" w:space="0" w:color="auto"/>
          </w:divBdr>
        </w:div>
        <w:div w:id="1747343005">
          <w:marLeft w:val="1080"/>
          <w:marRight w:val="0"/>
          <w:marTop w:val="100"/>
          <w:marBottom w:val="0"/>
          <w:divBdr>
            <w:top w:val="none" w:sz="0" w:space="0" w:color="auto"/>
            <w:left w:val="none" w:sz="0" w:space="0" w:color="auto"/>
            <w:bottom w:val="none" w:sz="0" w:space="0" w:color="auto"/>
            <w:right w:val="none" w:sz="0" w:space="0" w:color="auto"/>
          </w:divBdr>
        </w:div>
        <w:div w:id="1934824971">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246110">
      <w:bodyDiv w:val="1"/>
      <w:marLeft w:val="0"/>
      <w:marRight w:val="0"/>
      <w:marTop w:val="0"/>
      <w:marBottom w:val="0"/>
      <w:divBdr>
        <w:top w:val="none" w:sz="0" w:space="0" w:color="auto"/>
        <w:left w:val="none" w:sz="0" w:space="0" w:color="auto"/>
        <w:bottom w:val="none" w:sz="0" w:space="0" w:color="auto"/>
        <w:right w:val="none" w:sz="0" w:space="0" w:color="auto"/>
      </w:divBdr>
      <w:divsChild>
        <w:div w:id="100802877">
          <w:marLeft w:val="1800"/>
          <w:marRight w:val="0"/>
          <w:marTop w:val="100"/>
          <w:marBottom w:val="0"/>
          <w:divBdr>
            <w:top w:val="none" w:sz="0" w:space="0" w:color="auto"/>
            <w:left w:val="none" w:sz="0" w:space="0" w:color="auto"/>
            <w:bottom w:val="none" w:sz="0" w:space="0" w:color="auto"/>
            <w:right w:val="none" w:sz="0" w:space="0" w:color="auto"/>
          </w:divBdr>
        </w:div>
        <w:div w:id="116031268">
          <w:marLeft w:val="1080"/>
          <w:marRight w:val="0"/>
          <w:marTop w:val="100"/>
          <w:marBottom w:val="0"/>
          <w:divBdr>
            <w:top w:val="none" w:sz="0" w:space="0" w:color="auto"/>
            <w:left w:val="none" w:sz="0" w:space="0" w:color="auto"/>
            <w:bottom w:val="none" w:sz="0" w:space="0" w:color="auto"/>
            <w:right w:val="none" w:sz="0" w:space="0" w:color="auto"/>
          </w:divBdr>
        </w:div>
        <w:div w:id="211311981">
          <w:marLeft w:val="1800"/>
          <w:marRight w:val="0"/>
          <w:marTop w:val="100"/>
          <w:marBottom w:val="0"/>
          <w:divBdr>
            <w:top w:val="none" w:sz="0" w:space="0" w:color="auto"/>
            <w:left w:val="none" w:sz="0" w:space="0" w:color="auto"/>
            <w:bottom w:val="none" w:sz="0" w:space="0" w:color="auto"/>
            <w:right w:val="none" w:sz="0" w:space="0" w:color="auto"/>
          </w:divBdr>
        </w:div>
        <w:div w:id="549998245">
          <w:marLeft w:val="1080"/>
          <w:marRight w:val="0"/>
          <w:marTop w:val="100"/>
          <w:marBottom w:val="0"/>
          <w:divBdr>
            <w:top w:val="none" w:sz="0" w:space="0" w:color="auto"/>
            <w:left w:val="none" w:sz="0" w:space="0" w:color="auto"/>
            <w:bottom w:val="none" w:sz="0" w:space="0" w:color="auto"/>
            <w:right w:val="none" w:sz="0" w:space="0" w:color="auto"/>
          </w:divBdr>
        </w:div>
        <w:div w:id="628173975">
          <w:marLeft w:val="1080"/>
          <w:marRight w:val="0"/>
          <w:marTop w:val="100"/>
          <w:marBottom w:val="0"/>
          <w:divBdr>
            <w:top w:val="none" w:sz="0" w:space="0" w:color="auto"/>
            <w:left w:val="none" w:sz="0" w:space="0" w:color="auto"/>
            <w:bottom w:val="none" w:sz="0" w:space="0" w:color="auto"/>
            <w:right w:val="none" w:sz="0" w:space="0" w:color="auto"/>
          </w:divBdr>
        </w:div>
        <w:div w:id="1759867820">
          <w:marLeft w:val="1800"/>
          <w:marRight w:val="0"/>
          <w:marTop w:val="100"/>
          <w:marBottom w:val="0"/>
          <w:divBdr>
            <w:top w:val="none" w:sz="0" w:space="0" w:color="auto"/>
            <w:left w:val="none" w:sz="0" w:space="0" w:color="auto"/>
            <w:bottom w:val="none" w:sz="0" w:space="0" w:color="auto"/>
            <w:right w:val="none" w:sz="0" w:space="0" w:color="auto"/>
          </w:divBdr>
        </w:div>
        <w:div w:id="1946425099">
          <w:marLeft w:val="1080"/>
          <w:marRight w:val="0"/>
          <w:marTop w:val="100"/>
          <w:marBottom w:val="0"/>
          <w:divBdr>
            <w:top w:val="none" w:sz="0" w:space="0" w:color="auto"/>
            <w:left w:val="none" w:sz="0" w:space="0" w:color="auto"/>
            <w:bottom w:val="none" w:sz="0" w:space="0" w:color="auto"/>
            <w:right w:val="none" w:sz="0" w:space="0" w:color="auto"/>
          </w:divBdr>
        </w:div>
        <w:div w:id="1955209125">
          <w:marLeft w:val="1800"/>
          <w:marRight w:val="0"/>
          <w:marTop w:val="100"/>
          <w:marBottom w:val="0"/>
          <w:divBdr>
            <w:top w:val="none" w:sz="0" w:space="0" w:color="auto"/>
            <w:left w:val="none" w:sz="0" w:space="0" w:color="auto"/>
            <w:bottom w:val="none" w:sz="0" w:space="0" w:color="auto"/>
            <w:right w:val="none" w:sz="0" w:space="0" w:color="auto"/>
          </w:divBdr>
        </w:div>
        <w:div w:id="1976910837">
          <w:marLeft w:val="1800"/>
          <w:marRight w:val="0"/>
          <w:marTop w:val="100"/>
          <w:marBottom w:val="0"/>
          <w:divBdr>
            <w:top w:val="none" w:sz="0" w:space="0" w:color="auto"/>
            <w:left w:val="none" w:sz="0" w:space="0" w:color="auto"/>
            <w:bottom w:val="none" w:sz="0" w:space="0" w:color="auto"/>
            <w:right w:val="none" w:sz="0" w:space="0" w:color="auto"/>
          </w:divBdr>
        </w:div>
      </w:divsChild>
    </w:div>
    <w:div w:id="704643607">
      <w:bodyDiv w:val="1"/>
      <w:marLeft w:val="0"/>
      <w:marRight w:val="0"/>
      <w:marTop w:val="0"/>
      <w:marBottom w:val="0"/>
      <w:divBdr>
        <w:top w:val="none" w:sz="0" w:space="0" w:color="auto"/>
        <w:left w:val="none" w:sz="0" w:space="0" w:color="auto"/>
        <w:bottom w:val="none" w:sz="0" w:space="0" w:color="auto"/>
        <w:right w:val="none" w:sz="0" w:space="0" w:color="auto"/>
      </w:divBdr>
      <w:divsChild>
        <w:div w:id="1998218014">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034447">
      <w:bodyDiv w:val="1"/>
      <w:marLeft w:val="0"/>
      <w:marRight w:val="0"/>
      <w:marTop w:val="0"/>
      <w:marBottom w:val="0"/>
      <w:divBdr>
        <w:top w:val="none" w:sz="0" w:space="0" w:color="auto"/>
        <w:left w:val="none" w:sz="0" w:space="0" w:color="auto"/>
        <w:bottom w:val="none" w:sz="0" w:space="0" w:color="auto"/>
        <w:right w:val="none" w:sz="0" w:space="0" w:color="auto"/>
      </w:divBdr>
      <w:divsChild>
        <w:div w:id="3557918">
          <w:marLeft w:val="360"/>
          <w:marRight w:val="0"/>
          <w:marTop w:val="200"/>
          <w:marBottom w:val="0"/>
          <w:divBdr>
            <w:top w:val="none" w:sz="0" w:space="0" w:color="auto"/>
            <w:left w:val="none" w:sz="0" w:space="0" w:color="auto"/>
            <w:bottom w:val="none" w:sz="0" w:space="0" w:color="auto"/>
            <w:right w:val="none" w:sz="0" w:space="0" w:color="auto"/>
          </w:divBdr>
        </w:div>
        <w:div w:id="139272506">
          <w:marLeft w:val="1080"/>
          <w:marRight w:val="0"/>
          <w:marTop w:val="100"/>
          <w:marBottom w:val="0"/>
          <w:divBdr>
            <w:top w:val="none" w:sz="0" w:space="0" w:color="auto"/>
            <w:left w:val="none" w:sz="0" w:space="0" w:color="auto"/>
            <w:bottom w:val="none" w:sz="0" w:space="0" w:color="auto"/>
            <w:right w:val="none" w:sz="0" w:space="0" w:color="auto"/>
          </w:divBdr>
        </w:div>
        <w:div w:id="334918628">
          <w:marLeft w:val="1080"/>
          <w:marRight w:val="0"/>
          <w:marTop w:val="100"/>
          <w:marBottom w:val="0"/>
          <w:divBdr>
            <w:top w:val="none" w:sz="0" w:space="0" w:color="auto"/>
            <w:left w:val="none" w:sz="0" w:space="0" w:color="auto"/>
            <w:bottom w:val="none" w:sz="0" w:space="0" w:color="auto"/>
            <w:right w:val="none" w:sz="0" w:space="0" w:color="auto"/>
          </w:divBdr>
        </w:div>
        <w:div w:id="446506259">
          <w:marLeft w:val="1080"/>
          <w:marRight w:val="0"/>
          <w:marTop w:val="100"/>
          <w:marBottom w:val="0"/>
          <w:divBdr>
            <w:top w:val="none" w:sz="0" w:space="0" w:color="auto"/>
            <w:left w:val="none" w:sz="0" w:space="0" w:color="auto"/>
            <w:bottom w:val="none" w:sz="0" w:space="0" w:color="auto"/>
            <w:right w:val="none" w:sz="0" w:space="0" w:color="auto"/>
          </w:divBdr>
        </w:div>
        <w:div w:id="457530886">
          <w:marLeft w:val="360"/>
          <w:marRight w:val="0"/>
          <w:marTop w:val="200"/>
          <w:marBottom w:val="0"/>
          <w:divBdr>
            <w:top w:val="none" w:sz="0" w:space="0" w:color="auto"/>
            <w:left w:val="none" w:sz="0" w:space="0" w:color="auto"/>
            <w:bottom w:val="none" w:sz="0" w:space="0" w:color="auto"/>
            <w:right w:val="none" w:sz="0" w:space="0" w:color="auto"/>
          </w:divBdr>
        </w:div>
        <w:div w:id="540168910">
          <w:marLeft w:val="1080"/>
          <w:marRight w:val="0"/>
          <w:marTop w:val="100"/>
          <w:marBottom w:val="0"/>
          <w:divBdr>
            <w:top w:val="none" w:sz="0" w:space="0" w:color="auto"/>
            <w:left w:val="none" w:sz="0" w:space="0" w:color="auto"/>
            <w:bottom w:val="none" w:sz="0" w:space="0" w:color="auto"/>
            <w:right w:val="none" w:sz="0" w:space="0" w:color="auto"/>
          </w:divBdr>
        </w:div>
        <w:div w:id="604773576">
          <w:marLeft w:val="360"/>
          <w:marRight w:val="0"/>
          <w:marTop w:val="200"/>
          <w:marBottom w:val="0"/>
          <w:divBdr>
            <w:top w:val="none" w:sz="0" w:space="0" w:color="auto"/>
            <w:left w:val="none" w:sz="0" w:space="0" w:color="auto"/>
            <w:bottom w:val="none" w:sz="0" w:space="0" w:color="auto"/>
            <w:right w:val="none" w:sz="0" w:space="0" w:color="auto"/>
          </w:divBdr>
        </w:div>
        <w:div w:id="731924333">
          <w:marLeft w:val="1800"/>
          <w:marRight w:val="0"/>
          <w:marTop w:val="100"/>
          <w:marBottom w:val="0"/>
          <w:divBdr>
            <w:top w:val="none" w:sz="0" w:space="0" w:color="auto"/>
            <w:left w:val="none" w:sz="0" w:space="0" w:color="auto"/>
            <w:bottom w:val="none" w:sz="0" w:space="0" w:color="auto"/>
            <w:right w:val="none" w:sz="0" w:space="0" w:color="auto"/>
          </w:divBdr>
        </w:div>
        <w:div w:id="832986031">
          <w:marLeft w:val="360"/>
          <w:marRight w:val="0"/>
          <w:marTop w:val="200"/>
          <w:marBottom w:val="0"/>
          <w:divBdr>
            <w:top w:val="none" w:sz="0" w:space="0" w:color="auto"/>
            <w:left w:val="none" w:sz="0" w:space="0" w:color="auto"/>
            <w:bottom w:val="none" w:sz="0" w:space="0" w:color="auto"/>
            <w:right w:val="none" w:sz="0" w:space="0" w:color="auto"/>
          </w:divBdr>
        </w:div>
        <w:div w:id="1121149289">
          <w:marLeft w:val="1080"/>
          <w:marRight w:val="0"/>
          <w:marTop w:val="1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701456">
      <w:bodyDiv w:val="1"/>
      <w:marLeft w:val="0"/>
      <w:marRight w:val="0"/>
      <w:marTop w:val="0"/>
      <w:marBottom w:val="0"/>
      <w:divBdr>
        <w:top w:val="none" w:sz="0" w:space="0" w:color="auto"/>
        <w:left w:val="none" w:sz="0" w:space="0" w:color="auto"/>
        <w:bottom w:val="none" w:sz="0" w:space="0" w:color="auto"/>
        <w:right w:val="none" w:sz="0" w:space="0" w:color="auto"/>
      </w:divBdr>
      <w:divsChild>
        <w:div w:id="425881733">
          <w:marLeft w:val="1080"/>
          <w:marRight w:val="0"/>
          <w:marTop w:val="100"/>
          <w:marBottom w:val="0"/>
          <w:divBdr>
            <w:top w:val="none" w:sz="0" w:space="0" w:color="auto"/>
            <w:left w:val="none" w:sz="0" w:space="0" w:color="auto"/>
            <w:bottom w:val="none" w:sz="0" w:space="0" w:color="auto"/>
            <w:right w:val="none" w:sz="0" w:space="0" w:color="auto"/>
          </w:divBdr>
        </w:div>
        <w:div w:id="504131655">
          <w:marLeft w:val="360"/>
          <w:marRight w:val="0"/>
          <w:marTop w:val="200"/>
          <w:marBottom w:val="0"/>
          <w:divBdr>
            <w:top w:val="none" w:sz="0" w:space="0" w:color="auto"/>
            <w:left w:val="none" w:sz="0" w:space="0" w:color="auto"/>
            <w:bottom w:val="none" w:sz="0" w:space="0" w:color="auto"/>
            <w:right w:val="none" w:sz="0" w:space="0" w:color="auto"/>
          </w:divBdr>
        </w:div>
        <w:div w:id="1140607846">
          <w:marLeft w:val="360"/>
          <w:marRight w:val="0"/>
          <w:marTop w:val="200"/>
          <w:marBottom w:val="0"/>
          <w:divBdr>
            <w:top w:val="none" w:sz="0" w:space="0" w:color="auto"/>
            <w:left w:val="none" w:sz="0" w:space="0" w:color="auto"/>
            <w:bottom w:val="none" w:sz="0" w:space="0" w:color="auto"/>
            <w:right w:val="none" w:sz="0" w:space="0" w:color="auto"/>
          </w:divBdr>
        </w:div>
        <w:div w:id="1415972201">
          <w:marLeft w:val="1080"/>
          <w:marRight w:val="0"/>
          <w:marTop w:val="100"/>
          <w:marBottom w:val="0"/>
          <w:divBdr>
            <w:top w:val="none" w:sz="0" w:space="0" w:color="auto"/>
            <w:left w:val="none" w:sz="0" w:space="0" w:color="auto"/>
            <w:bottom w:val="none" w:sz="0" w:space="0" w:color="auto"/>
            <w:right w:val="none" w:sz="0" w:space="0" w:color="auto"/>
          </w:divBdr>
        </w:div>
        <w:div w:id="1795562283">
          <w:marLeft w:val="1080"/>
          <w:marRight w:val="0"/>
          <w:marTop w:val="100"/>
          <w:marBottom w:val="0"/>
          <w:divBdr>
            <w:top w:val="none" w:sz="0" w:space="0" w:color="auto"/>
            <w:left w:val="none" w:sz="0" w:space="0" w:color="auto"/>
            <w:bottom w:val="none" w:sz="0" w:space="0" w:color="auto"/>
            <w:right w:val="none" w:sz="0" w:space="0" w:color="auto"/>
          </w:divBdr>
        </w:div>
        <w:div w:id="1956404918">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403902">
      <w:bodyDiv w:val="1"/>
      <w:marLeft w:val="0"/>
      <w:marRight w:val="0"/>
      <w:marTop w:val="0"/>
      <w:marBottom w:val="0"/>
      <w:divBdr>
        <w:top w:val="none" w:sz="0" w:space="0" w:color="auto"/>
        <w:left w:val="none" w:sz="0" w:space="0" w:color="auto"/>
        <w:bottom w:val="none" w:sz="0" w:space="0" w:color="auto"/>
        <w:right w:val="none" w:sz="0" w:space="0" w:color="auto"/>
      </w:divBdr>
      <w:divsChild>
        <w:div w:id="325867619">
          <w:marLeft w:val="360"/>
          <w:marRight w:val="0"/>
          <w:marTop w:val="200"/>
          <w:marBottom w:val="0"/>
          <w:divBdr>
            <w:top w:val="none" w:sz="0" w:space="0" w:color="auto"/>
            <w:left w:val="none" w:sz="0" w:space="0" w:color="auto"/>
            <w:bottom w:val="none" w:sz="0" w:space="0" w:color="auto"/>
            <w:right w:val="none" w:sz="0" w:space="0" w:color="auto"/>
          </w:divBdr>
        </w:div>
        <w:div w:id="407269147">
          <w:marLeft w:val="360"/>
          <w:marRight w:val="0"/>
          <w:marTop w:val="200"/>
          <w:marBottom w:val="0"/>
          <w:divBdr>
            <w:top w:val="none" w:sz="0" w:space="0" w:color="auto"/>
            <w:left w:val="none" w:sz="0" w:space="0" w:color="auto"/>
            <w:bottom w:val="none" w:sz="0" w:space="0" w:color="auto"/>
            <w:right w:val="none" w:sz="0" w:space="0" w:color="auto"/>
          </w:divBdr>
        </w:div>
        <w:div w:id="647516117">
          <w:marLeft w:val="360"/>
          <w:marRight w:val="0"/>
          <w:marTop w:val="200"/>
          <w:marBottom w:val="0"/>
          <w:divBdr>
            <w:top w:val="none" w:sz="0" w:space="0" w:color="auto"/>
            <w:left w:val="none" w:sz="0" w:space="0" w:color="auto"/>
            <w:bottom w:val="none" w:sz="0" w:space="0" w:color="auto"/>
            <w:right w:val="none" w:sz="0" w:space="0" w:color="auto"/>
          </w:divBdr>
        </w:div>
        <w:div w:id="774447153">
          <w:marLeft w:val="360"/>
          <w:marRight w:val="0"/>
          <w:marTop w:val="200"/>
          <w:marBottom w:val="0"/>
          <w:divBdr>
            <w:top w:val="none" w:sz="0" w:space="0" w:color="auto"/>
            <w:left w:val="none" w:sz="0" w:space="0" w:color="auto"/>
            <w:bottom w:val="none" w:sz="0" w:space="0" w:color="auto"/>
            <w:right w:val="none" w:sz="0" w:space="0" w:color="auto"/>
          </w:divBdr>
        </w:div>
        <w:div w:id="777287129">
          <w:marLeft w:val="1080"/>
          <w:marRight w:val="0"/>
          <w:marTop w:val="100"/>
          <w:marBottom w:val="0"/>
          <w:divBdr>
            <w:top w:val="none" w:sz="0" w:space="0" w:color="auto"/>
            <w:left w:val="none" w:sz="0" w:space="0" w:color="auto"/>
            <w:bottom w:val="none" w:sz="0" w:space="0" w:color="auto"/>
            <w:right w:val="none" w:sz="0" w:space="0" w:color="auto"/>
          </w:divBdr>
        </w:div>
        <w:div w:id="777406445">
          <w:marLeft w:val="1800"/>
          <w:marRight w:val="0"/>
          <w:marTop w:val="100"/>
          <w:marBottom w:val="0"/>
          <w:divBdr>
            <w:top w:val="none" w:sz="0" w:space="0" w:color="auto"/>
            <w:left w:val="none" w:sz="0" w:space="0" w:color="auto"/>
            <w:bottom w:val="none" w:sz="0" w:space="0" w:color="auto"/>
            <w:right w:val="none" w:sz="0" w:space="0" w:color="auto"/>
          </w:divBdr>
        </w:div>
        <w:div w:id="914973756">
          <w:marLeft w:val="1080"/>
          <w:marRight w:val="0"/>
          <w:marTop w:val="100"/>
          <w:marBottom w:val="0"/>
          <w:divBdr>
            <w:top w:val="none" w:sz="0" w:space="0" w:color="auto"/>
            <w:left w:val="none" w:sz="0" w:space="0" w:color="auto"/>
            <w:bottom w:val="none" w:sz="0" w:space="0" w:color="auto"/>
            <w:right w:val="none" w:sz="0" w:space="0" w:color="auto"/>
          </w:divBdr>
        </w:div>
        <w:div w:id="1079865755">
          <w:marLeft w:val="1800"/>
          <w:marRight w:val="0"/>
          <w:marTop w:val="100"/>
          <w:marBottom w:val="0"/>
          <w:divBdr>
            <w:top w:val="none" w:sz="0" w:space="0" w:color="auto"/>
            <w:left w:val="none" w:sz="0" w:space="0" w:color="auto"/>
            <w:bottom w:val="none" w:sz="0" w:space="0" w:color="auto"/>
            <w:right w:val="none" w:sz="0" w:space="0" w:color="auto"/>
          </w:divBdr>
        </w:div>
        <w:div w:id="1141386025">
          <w:marLeft w:val="1080"/>
          <w:marRight w:val="0"/>
          <w:marTop w:val="100"/>
          <w:marBottom w:val="0"/>
          <w:divBdr>
            <w:top w:val="none" w:sz="0" w:space="0" w:color="auto"/>
            <w:left w:val="none" w:sz="0" w:space="0" w:color="auto"/>
            <w:bottom w:val="none" w:sz="0" w:space="0" w:color="auto"/>
            <w:right w:val="none" w:sz="0" w:space="0" w:color="auto"/>
          </w:divBdr>
        </w:div>
        <w:div w:id="1164782057">
          <w:marLeft w:val="1080"/>
          <w:marRight w:val="0"/>
          <w:marTop w:val="100"/>
          <w:marBottom w:val="0"/>
          <w:divBdr>
            <w:top w:val="none" w:sz="0" w:space="0" w:color="auto"/>
            <w:left w:val="none" w:sz="0" w:space="0" w:color="auto"/>
            <w:bottom w:val="none" w:sz="0" w:space="0" w:color="auto"/>
            <w:right w:val="none" w:sz="0" w:space="0" w:color="auto"/>
          </w:divBdr>
        </w:div>
        <w:div w:id="1179811162">
          <w:marLeft w:val="1080"/>
          <w:marRight w:val="0"/>
          <w:marTop w:val="100"/>
          <w:marBottom w:val="0"/>
          <w:divBdr>
            <w:top w:val="none" w:sz="0" w:space="0" w:color="auto"/>
            <w:left w:val="none" w:sz="0" w:space="0" w:color="auto"/>
            <w:bottom w:val="none" w:sz="0" w:space="0" w:color="auto"/>
            <w:right w:val="none" w:sz="0" w:space="0" w:color="auto"/>
          </w:divBdr>
        </w:div>
        <w:div w:id="1325671188">
          <w:marLeft w:val="360"/>
          <w:marRight w:val="0"/>
          <w:marTop w:val="200"/>
          <w:marBottom w:val="0"/>
          <w:divBdr>
            <w:top w:val="none" w:sz="0" w:space="0" w:color="auto"/>
            <w:left w:val="none" w:sz="0" w:space="0" w:color="auto"/>
            <w:bottom w:val="none" w:sz="0" w:space="0" w:color="auto"/>
            <w:right w:val="none" w:sz="0" w:space="0" w:color="auto"/>
          </w:divBdr>
        </w:div>
        <w:div w:id="1716658415">
          <w:marLeft w:val="1080"/>
          <w:marRight w:val="0"/>
          <w:marTop w:val="100"/>
          <w:marBottom w:val="0"/>
          <w:divBdr>
            <w:top w:val="none" w:sz="0" w:space="0" w:color="auto"/>
            <w:left w:val="none" w:sz="0" w:space="0" w:color="auto"/>
            <w:bottom w:val="none" w:sz="0" w:space="0" w:color="auto"/>
            <w:right w:val="none" w:sz="0" w:space="0" w:color="auto"/>
          </w:divBdr>
        </w:div>
        <w:div w:id="1977299851">
          <w:marLeft w:val="1080"/>
          <w:marRight w:val="0"/>
          <w:marTop w:val="100"/>
          <w:marBottom w:val="0"/>
          <w:divBdr>
            <w:top w:val="none" w:sz="0" w:space="0" w:color="auto"/>
            <w:left w:val="none" w:sz="0" w:space="0" w:color="auto"/>
            <w:bottom w:val="none" w:sz="0" w:space="0" w:color="auto"/>
            <w:right w:val="none" w:sz="0" w:space="0" w:color="auto"/>
          </w:divBdr>
        </w:div>
        <w:div w:id="2100902302">
          <w:marLeft w:val="1080"/>
          <w:marRight w:val="0"/>
          <w:marTop w:val="100"/>
          <w:marBottom w:val="0"/>
          <w:divBdr>
            <w:top w:val="none" w:sz="0" w:space="0" w:color="auto"/>
            <w:left w:val="none" w:sz="0" w:space="0" w:color="auto"/>
            <w:bottom w:val="none" w:sz="0" w:space="0" w:color="auto"/>
            <w:right w:val="none" w:sz="0" w:space="0" w:color="auto"/>
          </w:divBdr>
        </w:div>
      </w:divsChild>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49966882">
      <w:bodyDiv w:val="1"/>
      <w:marLeft w:val="0"/>
      <w:marRight w:val="0"/>
      <w:marTop w:val="0"/>
      <w:marBottom w:val="0"/>
      <w:divBdr>
        <w:top w:val="none" w:sz="0" w:space="0" w:color="auto"/>
        <w:left w:val="none" w:sz="0" w:space="0" w:color="auto"/>
        <w:bottom w:val="none" w:sz="0" w:space="0" w:color="auto"/>
        <w:right w:val="none" w:sz="0" w:space="0" w:color="auto"/>
      </w:divBdr>
      <w:divsChild>
        <w:div w:id="161087593">
          <w:marLeft w:val="1080"/>
          <w:marRight w:val="0"/>
          <w:marTop w:val="100"/>
          <w:marBottom w:val="0"/>
          <w:divBdr>
            <w:top w:val="none" w:sz="0" w:space="0" w:color="auto"/>
            <w:left w:val="none" w:sz="0" w:space="0" w:color="auto"/>
            <w:bottom w:val="none" w:sz="0" w:space="0" w:color="auto"/>
            <w:right w:val="none" w:sz="0" w:space="0" w:color="auto"/>
          </w:divBdr>
        </w:div>
        <w:div w:id="287202067">
          <w:marLeft w:val="1080"/>
          <w:marRight w:val="0"/>
          <w:marTop w:val="100"/>
          <w:marBottom w:val="0"/>
          <w:divBdr>
            <w:top w:val="none" w:sz="0" w:space="0" w:color="auto"/>
            <w:left w:val="none" w:sz="0" w:space="0" w:color="auto"/>
            <w:bottom w:val="none" w:sz="0" w:space="0" w:color="auto"/>
            <w:right w:val="none" w:sz="0" w:space="0" w:color="auto"/>
          </w:divBdr>
        </w:div>
        <w:div w:id="341587675">
          <w:marLeft w:val="360"/>
          <w:marRight w:val="0"/>
          <w:marTop w:val="200"/>
          <w:marBottom w:val="0"/>
          <w:divBdr>
            <w:top w:val="none" w:sz="0" w:space="0" w:color="auto"/>
            <w:left w:val="none" w:sz="0" w:space="0" w:color="auto"/>
            <w:bottom w:val="none" w:sz="0" w:space="0" w:color="auto"/>
            <w:right w:val="none" w:sz="0" w:space="0" w:color="auto"/>
          </w:divBdr>
        </w:div>
        <w:div w:id="413868103">
          <w:marLeft w:val="1800"/>
          <w:marRight w:val="0"/>
          <w:marTop w:val="100"/>
          <w:marBottom w:val="0"/>
          <w:divBdr>
            <w:top w:val="none" w:sz="0" w:space="0" w:color="auto"/>
            <w:left w:val="none" w:sz="0" w:space="0" w:color="auto"/>
            <w:bottom w:val="none" w:sz="0" w:space="0" w:color="auto"/>
            <w:right w:val="none" w:sz="0" w:space="0" w:color="auto"/>
          </w:divBdr>
        </w:div>
        <w:div w:id="454251716">
          <w:marLeft w:val="1080"/>
          <w:marRight w:val="0"/>
          <w:marTop w:val="100"/>
          <w:marBottom w:val="0"/>
          <w:divBdr>
            <w:top w:val="none" w:sz="0" w:space="0" w:color="auto"/>
            <w:left w:val="none" w:sz="0" w:space="0" w:color="auto"/>
            <w:bottom w:val="none" w:sz="0" w:space="0" w:color="auto"/>
            <w:right w:val="none" w:sz="0" w:space="0" w:color="auto"/>
          </w:divBdr>
        </w:div>
        <w:div w:id="712508148">
          <w:marLeft w:val="360"/>
          <w:marRight w:val="0"/>
          <w:marTop w:val="200"/>
          <w:marBottom w:val="0"/>
          <w:divBdr>
            <w:top w:val="none" w:sz="0" w:space="0" w:color="auto"/>
            <w:left w:val="none" w:sz="0" w:space="0" w:color="auto"/>
            <w:bottom w:val="none" w:sz="0" w:space="0" w:color="auto"/>
            <w:right w:val="none" w:sz="0" w:space="0" w:color="auto"/>
          </w:divBdr>
        </w:div>
        <w:div w:id="895429593">
          <w:marLeft w:val="360"/>
          <w:marRight w:val="0"/>
          <w:marTop w:val="200"/>
          <w:marBottom w:val="0"/>
          <w:divBdr>
            <w:top w:val="none" w:sz="0" w:space="0" w:color="auto"/>
            <w:left w:val="none" w:sz="0" w:space="0" w:color="auto"/>
            <w:bottom w:val="none" w:sz="0" w:space="0" w:color="auto"/>
            <w:right w:val="none" w:sz="0" w:space="0" w:color="auto"/>
          </w:divBdr>
        </w:div>
        <w:div w:id="1364482299">
          <w:marLeft w:val="360"/>
          <w:marRight w:val="0"/>
          <w:marTop w:val="200"/>
          <w:marBottom w:val="0"/>
          <w:divBdr>
            <w:top w:val="none" w:sz="0" w:space="0" w:color="auto"/>
            <w:left w:val="none" w:sz="0" w:space="0" w:color="auto"/>
            <w:bottom w:val="none" w:sz="0" w:space="0" w:color="auto"/>
            <w:right w:val="none" w:sz="0" w:space="0" w:color="auto"/>
          </w:divBdr>
        </w:div>
        <w:div w:id="1652831642">
          <w:marLeft w:val="1080"/>
          <w:marRight w:val="0"/>
          <w:marTop w:val="100"/>
          <w:marBottom w:val="0"/>
          <w:divBdr>
            <w:top w:val="none" w:sz="0" w:space="0" w:color="auto"/>
            <w:left w:val="none" w:sz="0" w:space="0" w:color="auto"/>
            <w:bottom w:val="none" w:sz="0" w:space="0" w:color="auto"/>
            <w:right w:val="none" w:sz="0" w:space="0" w:color="auto"/>
          </w:divBdr>
        </w:div>
        <w:div w:id="1975258665">
          <w:marLeft w:val="108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1929921">
      <w:bodyDiv w:val="1"/>
      <w:marLeft w:val="0"/>
      <w:marRight w:val="0"/>
      <w:marTop w:val="0"/>
      <w:marBottom w:val="0"/>
      <w:divBdr>
        <w:top w:val="none" w:sz="0" w:space="0" w:color="auto"/>
        <w:left w:val="none" w:sz="0" w:space="0" w:color="auto"/>
        <w:bottom w:val="none" w:sz="0" w:space="0" w:color="auto"/>
        <w:right w:val="none" w:sz="0" w:space="0" w:color="auto"/>
      </w:divBdr>
      <w:divsChild>
        <w:div w:id="101193983">
          <w:marLeft w:val="360"/>
          <w:marRight w:val="0"/>
          <w:marTop w:val="200"/>
          <w:marBottom w:val="0"/>
          <w:divBdr>
            <w:top w:val="none" w:sz="0" w:space="0" w:color="auto"/>
            <w:left w:val="none" w:sz="0" w:space="0" w:color="auto"/>
            <w:bottom w:val="none" w:sz="0" w:space="0" w:color="auto"/>
            <w:right w:val="none" w:sz="0" w:space="0" w:color="auto"/>
          </w:divBdr>
        </w:div>
        <w:div w:id="657150320">
          <w:marLeft w:val="1080"/>
          <w:marRight w:val="0"/>
          <w:marTop w:val="100"/>
          <w:marBottom w:val="0"/>
          <w:divBdr>
            <w:top w:val="none" w:sz="0" w:space="0" w:color="auto"/>
            <w:left w:val="none" w:sz="0" w:space="0" w:color="auto"/>
            <w:bottom w:val="none" w:sz="0" w:space="0" w:color="auto"/>
            <w:right w:val="none" w:sz="0" w:space="0" w:color="auto"/>
          </w:divBdr>
        </w:div>
        <w:div w:id="1206530591">
          <w:marLeft w:val="1800"/>
          <w:marRight w:val="0"/>
          <w:marTop w:val="100"/>
          <w:marBottom w:val="0"/>
          <w:divBdr>
            <w:top w:val="none" w:sz="0" w:space="0" w:color="auto"/>
            <w:left w:val="none" w:sz="0" w:space="0" w:color="auto"/>
            <w:bottom w:val="none" w:sz="0" w:space="0" w:color="auto"/>
            <w:right w:val="none" w:sz="0" w:space="0" w:color="auto"/>
          </w:divBdr>
        </w:div>
        <w:div w:id="1249921000">
          <w:marLeft w:val="360"/>
          <w:marRight w:val="0"/>
          <w:marTop w:val="200"/>
          <w:marBottom w:val="0"/>
          <w:divBdr>
            <w:top w:val="none" w:sz="0" w:space="0" w:color="auto"/>
            <w:left w:val="none" w:sz="0" w:space="0" w:color="auto"/>
            <w:bottom w:val="none" w:sz="0" w:space="0" w:color="auto"/>
            <w:right w:val="none" w:sz="0" w:space="0" w:color="auto"/>
          </w:divBdr>
        </w:div>
        <w:div w:id="1301762801">
          <w:marLeft w:val="1080"/>
          <w:marRight w:val="0"/>
          <w:marTop w:val="100"/>
          <w:marBottom w:val="0"/>
          <w:divBdr>
            <w:top w:val="none" w:sz="0" w:space="0" w:color="auto"/>
            <w:left w:val="none" w:sz="0" w:space="0" w:color="auto"/>
            <w:bottom w:val="none" w:sz="0" w:space="0" w:color="auto"/>
            <w:right w:val="none" w:sz="0" w:space="0" w:color="auto"/>
          </w:divBdr>
        </w:div>
        <w:div w:id="1383794530">
          <w:marLeft w:val="1080"/>
          <w:marRight w:val="0"/>
          <w:marTop w:val="100"/>
          <w:marBottom w:val="0"/>
          <w:divBdr>
            <w:top w:val="none" w:sz="0" w:space="0" w:color="auto"/>
            <w:left w:val="none" w:sz="0" w:space="0" w:color="auto"/>
            <w:bottom w:val="none" w:sz="0" w:space="0" w:color="auto"/>
            <w:right w:val="none" w:sz="0" w:space="0" w:color="auto"/>
          </w:divBdr>
        </w:div>
        <w:div w:id="1477841919">
          <w:marLeft w:val="1080"/>
          <w:marRight w:val="0"/>
          <w:marTop w:val="100"/>
          <w:marBottom w:val="0"/>
          <w:divBdr>
            <w:top w:val="none" w:sz="0" w:space="0" w:color="auto"/>
            <w:left w:val="none" w:sz="0" w:space="0" w:color="auto"/>
            <w:bottom w:val="none" w:sz="0" w:space="0" w:color="auto"/>
            <w:right w:val="none" w:sz="0" w:space="0" w:color="auto"/>
          </w:divBdr>
        </w:div>
        <w:div w:id="1534996037">
          <w:marLeft w:val="360"/>
          <w:marRight w:val="0"/>
          <w:marTop w:val="200"/>
          <w:marBottom w:val="0"/>
          <w:divBdr>
            <w:top w:val="none" w:sz="0" w:space="0" w:color="auto"/>
            <w:left w:val="none" w:sz="0" w:space="0" w:color="auto"/>
            <w:bottom w:val="none" w:sz="0" w:space="0" w:color="auto"/>
            <w:right w:val="none" w:sz="0" w:space="0" w:color="auto"/>
          </w:divBdr>
        </w:div>
        <w:div w:id="1633249652">
          <w:marLeft w:val="360"/>
          <w:marRight w:val="0"/>
          <w:marTop w:val="200"/>
          <w:marBottom w:val="0"/>
          <w:divBdr>
            <w:top w:val="none" w:sz="0" w:space="0" w:color="auto"/>
            <w:left w:val="none" w:sz="0" w:space="0" w:color="auto"/>
            <w:bottom w:val="none" w:sz="0" w:space="0" w:color="auto"/>
            <w:right w:val="none" w:sz="0" w:space="0" w:color="auto"/>
          </w:divBdr>
        </w:div>
        <w:div w:id="2028677790">
          <w:marLeft w:val="1080"/>
          <w:marRight w:val="0"/>
          <w:marTop w:val="1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08063">
      <w:bodyDiv w:val="1"/>
      <w:marLeft w:val="0"/>
      <w:marRight w:val="0"/>
      <w:marTop w:val="0"/>
      <w:marBottom w:val="0"/>
      <w:divBdr>
        <w:top w:val="none" w:sz="0" w:space="0" w:color="auto"/>
        <w:left w:val="none" w:sz="0" w:space="0" w:color="auto"/>
        <w:bottom w:val="none" w:sz="0" w:space="0" w:color="auto"/>
        <w:right w:val="none" w:sz="0" w:space="0" w:color="auto"/>
      </w:divBdr>
      <w:divsChild>
        <w:div w:id="33770011">
          <w:marLeft w:val="1080"/>
          <w:marRight w:val="0"/>
          <w:marTop w:val="100"/>
          <w:marBottom w:val="0"/>
          <w:divBdr>
            <w:top w:val="none" w:sz="0" w:space="0" w:color="auto"/>
            <w:left w:val="none" w:sz="0" w:space="0" w:color="auto"/>
            <w:bottom w:val="none" w:sz="0" w:space="0" w:color="auto"/>
            <w:right w:val="none" w:sz="0" w:space="0" w:color="auto"/>
          </w:divBdr>
        </w:div>
        <w:div w:id="469246591">
          <w:marLeft w:val="1080"/>
          <w:marRight w:val="0"/>
          <w:marTop w:val="100"/>
          <w:marBottom w:val="0"/>
          <w:divBdr>
            <w:top w:val="none" w:sz="0" w:space="0" w:color="auto"/>
            <w:left w:val="none" w:sz="0" w:space="0" w:color="auto"/>
            <w:bottom w:val="none" w:sz="0" w:space="0" w:color="auto"/>
            <w:right w:val="none" w:sz="0" w:space="0" w:color="auto"/>
          </w:divBdr>
        </w:div>
        <w:div w:id="549071800">
          <w:marLeft w:val="360"/>
          <w:marRight w:val="0"/>
          <w:marTop w:val="200"/>
          <w:marBottom w:val="0"/>
          <w:divBdr>
            <w:top w:val="none" w:sz="0" w:space="0" w:color="auto"/>
            <w:left w:val="none" w:sz="0" w:space="0" w:color="auto"/>
            <w:bottom w:val="none" w:sz="0" w:space="0" w:color="auto"/>
            <w:right w:val="none" w:sz="0" w:space="0" w:color="auto"/>
          </w:divBdr>
        </w:div>
        <w:div w:id="731856423">
          <w:marLeft w:val="1080"/>
          <w:marRight w:val="0"/>
          <w:marTop w:val="100"/>
          <w:marBottom w:val="0"/>
          <w:divBdr>
            <w:top w:val="none" w:sz="0" w:space="0" w:color="auto"/>
            <w:left w:val="none" w:sz="0" w:space="0" w:color="auto"/>
            <w:bottom w:val="none" w:sz="0" w:space="0" w:color="auto"/>
            <w:right w:val="none" w:sz="0" w:space="0" w:color="auto"/>
          </w:divBdr>
        </w:div>
        <w:div w:id="822743150">
          <w:marLeft w:val="1080"/>
          <w:marRight w:val="0"/>
          <w:marTop w:val="100"/>
          <w:marBottom w:val="0"/>
          <w:divBdr>
            <w:top w:val="none" w:sz="0" w:space="0" w:color="auto"/>
            <w:left w:val="none" w:sz="0" w:space="0" w:color="auto"/>
            <w:bottom w:val="none" w:sz="0" w:space="0" w:color="auto"/>
            <w:right w:val="none" w:sz="0" w:space="0" w:color="auto"/>
          </w:divBdr>
        </w:div>
        <w:div w:id="998772236">
          <w:marLeft w:val="360"/>
          <w:marRight w:val="0"/>
          <w:marTop w:val="200"/>
          <w:marBottom w:val="0"/>
          <w:divBdr>
            <w:top w:val="none" w:sz="0" w:space="0" w:color="auto"/>
            <w:left w:val="none" w:sz="0" w:space="0" w:color="auto"/>
            <w:bottom w:val="none" w:sz="0" w:space="0" w:color="auto"/>
            <w:right w:val="none" w:sz="0" w:space="0" w:color="auto"/>
          </w:divBdr>
        </w:div>
        <w:div w:id="1645575246">
          <w:marLeft w:val="360"/>
          <w:marRight w:val="0"/>
          <w:marTop w:val="200"/>
          <w:marBottom w:val="0"/>
          <w:divBdr>
            <w:top w:val="none" w:sz="0" w:space="0" w:color="auto"/>
            <w:left w:val="none" w:sz="0" w:space="0" w:color="auto"/>
            <w:bottom w:val="none" w:sz="0" w:space="0" w:color="auto"/>
            <w:right w:val="none" w:sz="0" w:space="0" w:color="auto"/>
          </w:divBdr>
        </w:div>
        <w:div w:id="2033725438">
          <w:marLeft w:val="1080"/>
          <w:marRight w:val="0"/>
          <w:marTop w:val="100"/>
          <w:marBottom w:val="0"/>
          <w:divBdr>
            <w:top w:val="none" w:sz="0" w:space="0" w:color="auto"/>
            <w:left w:val="none" w:sz="0" w:space="0" w:color="auto"/>
            <w:bottom w:val="none" w:sz="0" w:space="0" w:color="auto"/>
            <w:right w:val="none" w:sz="0" w:space="0" w:color="auto"/>
          </w:divBdr>
        </w:div>
        <w:div w:id="2120442059">
          <w:marLeft w:val="1800"/>
          <w:marRight w:val="0"/>
          <w:marTop w:val="100"/>
          <w:marBottom w:val="0"/>
          <w:divBdr>
            <w:top w:val="none" w:sz="0" w:space="0" w:color="auto"/>
            <w:left w:val="none" w:sz="0" w:space="0" w:color="auto"/>
            <w:bottom w:val="none" w:sz="0" w:space="0" w:color="auto"/>
            <w:right w:val="none" w:sz="0" w:space="0" w:color="auto"/>
          </w:divBdr>
        </w:div>
        <w:div w:id="2125806106">
          <w:marLeft w:val="360"/>
          <w:marRight w:val="0"/>
          <w:marTop w:val="2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66435844">
      <w:bodyDiv w:val="1"/>
      <w:marLeft w:val="0"/>
      <w:marRight w:val="0"/>
      <w:marTop w:val="0"/>
      <w:marBottom w:val="0"/>
      <w:divBdr>
        <w:top w:val="none" w:sz="0" w:space="0" w:color="auto"/>
        <w:left w:val="none" w:sz="0" w:space="0" w:color="auto"/>
        <w:bottom w:val="none" w:sz="0" w:space="0" w:color="auto"/>
        <w:right w:val="none" w:sz="0" w:space="0" w:color="auto"/>
      </w:divBdr>
      <w:divsChild>
        <w:div w:id="788010704">
          <w:marLeft w:val="1080"/>
          <w:marRight w:val="0"/>
          <w:marTop w:val="100"/>
          <w:marBottom w:val="0"/>
          <w:divBdr>
            <w:top w:val="none" w:sz="0" w:space="0" w:color="auto"/>
            <w:left w:val="none" w:sz="0" w:space="0" w:color="auto"/>
            <w:bottom w:val="none" w:sz="0" w:space="0" w:color="auto"/>
            <w:right w:val="none" w:sz="0" w:space="0" w:color="auto"/>
          </w:divBdr>
        </w:div>
        <w:div w:id="797918850">
          <w:marLeft w:val="1080"/>
          <w:marRight w:val="0"/>
          <w:marTop w:val="100"/>
          <w:marBottom w:val="0"/>
          <w:divBdr>
            <w:top w:val="none" w:sz="0" w:space="0" w:color="auto"/>
            <w:left w:val="none" w:sz="0" w:space="0" w:color="auto"/>
            <w:bottom w:val="none" w:sz="0" w:space="0" w:color="auto"/>
            <w:right w:val="none" w:sz="0" w:space="0" w:color="auto"/>
          </w:divBdr>
        </w:div>
        <w:div w:id="1600211579">
          <w:marLeft w:val="1080"/>
          <w:marRight w:val="0"/>
          <w:marTop w:val="100"/>
          <w:marBottom w:val="0"/>
          <w:divBdr>
            <w:top w:val="none" w:sz="0" w:space="0" w:color="auto"/>
            <w:left w:val="none" w:sz="0" w:space="0" w:color="auto"/>
            <w:bottom w:val="none" w:sz="0" w:space="0" w:color="auto"/>
            <w:right w:val="none" w:sz="0" w:space="0" w:color="auto"/>
          </w:divBdr>
        </w:div>
        <w:div w:id="2032997128">
          <w:marLeft w:val="1080"/>
          <w:marRight w:val="0"/>
          <w:marTop w:val="100"/>
          <w:marBottom w:val="0"/>
          <w:divBdr>
            <w:top w:val="none" w:sz="0" w:space="0" w:color="auto"/>
            <w:left w:val="none" w:sz="0" w:space="0" w:color="auto"/>
            <w:bottom w:val="none" w:sz="0" w:space="0" w:color="auto"/>
            <w:right w:val="none" w:sz="0" w:space="0" w:color="auto"/>
          </w:divBdr>
        </w:div>
      </w:divsChild>
    </w:div>
    <w:div w:id="1171871442">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261907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620658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486987">
      <w:bodyDiv w:val="1"/>
      <w:marLeft w:val="0"/>
      <w:marRight w:val="0"/>
      <w:marTop w:val="0"/>
      <w:marBottom w:val="0"/>
      <w:divBdr>
        <w:top w:val="none" w:sz="0" w:space="0" w:color="auto"/>
        <w:left w:val="none" w:sz="0" w:space="0" w:color="auto"/>
        <w:bottom w:val="none" w:sz="0" w:space="0" w:color="auto"/>
        <w:right w:val="none" w:sz="0" w:space="0" w:color="auto"/>
      </w:divBdr>
      <w:divsChild>
        <w:div w:id="416828663">
          <w:marLeft w:val="1080"/>
          <w:marRight w:val="0"/>
          <w:marTop w:val="100"/>
          <w:marBottom w:val="0"/>
          <w:divBdr>
            <w:top w:val="none" w:sz="0" w:space="0" w:color="auto"/>
            <w:left w:val="none" w:sz="0" w:space="0" w:color="auto"/>
            <w:bottom w:val="none" w:sz="0" w:space="0" w:color="auto"/>
            <w:right w:val="none" w:sz="0" w:space="0" w:color="auto"/>
          </w:divBdr>
        </w:div>
        <w:div w:id="2010787655">
          <w:marLeft w:val="1080"/>
          <w:marRight w:val="0"/>
          <w:marTop w:val="1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857158">
      <w:bodyDiv w:val="1"/>
      <w:marLeft w:val="0"/>
      <w:marRight w:val="0"/>
      <w:marTop w:val="0"/>
      <w:marBottom w:val="0"/>
      <w:divBdr>
        <w:top w:val="none" w:sz="0" w:space="0" w:color="auto"/>
        <w:left w:val="none" w:sz="0" w:space="0" w:color="auto"/>
        <w:bottom w:val="none" w:sz="0" w:space="0" w:color="auto"/>
        <w:right w:val="none" w:sz="0" w:space="0" w:color="auto"/>
      </w:divBdr>
      <w:divsChild>
        <w:div w:id="9111206">
          <w:marLeft w:val="1080"/>
          <w:marRight w:val="0"/>
          <w:marTop w:val="100"/>
          <w:marBottom w:val="0"/>
          <w:divBdr>
            <w:top w:val="none" w:sz="0" w:space="0" w:color="auto"/>
            <w:left w:val="none" w:sz="0" w:space="0" w:color="auto"/>
            <w:bottom w:val="none" w:sz="0" w:space="0" w:color="auto"/>
            <w:right w:val="none" w:sz="0" w:space="0" w:color="auto"/>
          </w:divBdr>
        </w:div>
        <w:div w:id="31006484">
          <w:marLeft w:val="1080"/>
          <w:marRight w:val="0"/>
          <w:marTop w:val="100"/>
          <w:marBottom w:val="0"/>
          <w:divBdr>
            <w:top w:val="none" w:sz="0" w:space="0" w:color="auto"/>
            <w:left w:val="none" w:sz="0" w:space="0" w:color="auto"/>
            <w:bottom w:val="none" w:sz="0" w:space="0" w:color="auto"/>
            <w:right w:val="none" w:sz="0" w:space="0" w:color="auto"/>
          </w:divBdr>
        </w:div>
        <w:div w:id="261425766">
          <w:marLeft w:val="360"/>
          <w:marRight w:val="0"/>
          <w:marTop w:val="200"/>
          <w:marBottom w:val="0"/>
          <w:divBdr>
            <w:top w:val="none" w:sz="0" w:space="0" w:color="auto"/>
            <w:left w:val="none" w:sz="0" w:space="0" w:color="auto"/>
            <w:bottom w:val="none" w:sz="0" w:space="0" w:color="auto"/>
            <w:right w:val="none" w:sz="0" w:space="0" w:color="auto"/>
          </w:divBdr>
        </w:div>
        <w:div w:id="351417660">
          <w:marLeft w:val="1080"/>
          <w:marRight w:val="0"/>
          <w:marTop w:val="100"/>
          <w:marBottom w:val="0"/>
          <w:divBdr>
            <w:top w:val="none" w:sz="0" w:space="0" w:color="auto"/>
            <w:left w:val="none" w:sz="0" w:space="0" w:color="auto"/>
            <w:bottom w:val="none" w:sz="0" w:space="0" w:color="auto"/>
            <w:right w:val="none" w:sz="0" w:space="0" w:color="auto"/>
          </w:divBdr>
        </w:div>
        <w:div w:id="1133863698">
          <w:marLeft w:val="1800"/>
          <w:marRight w:val="0"/>
          <w:marTop w:val="100"/>
          <w:marBottom w:val="0"/>
          <w:divBdr>
            <w:top w:val="none" w:sz="0" w:space="0" w:color="auto"/>
            <w:left w:val="none" w:sz="0" w:space="0" w:color="auto"/>
            <w:bottom w:val="none" w:sz="0" w:space="0" w:color="auto"/>
            <w:right w:val="none" w:sz="0" w:space="0" w:color="auto"/>
          </w:divBdr>
        </w:div>
        <w:div w:id="1872255429">
          <w:marLeft w:val="1080"/>
          <w:marRight w:val="0"/>
          <w:marTop w:val="100"/>
          <w:marBottom w:val="0"/>
          <w:divBdr>
            <w:top w:val="none" w:sz="0" w:space="0" w:color="auto"/>
            <w:left w:val="none" w:sz="0" w:space="0" w:color="auto"/>
            <w:bottom w:val="none" w:sz="0" w:space="0" w:color="auto"/>
            <w:right w:val="none" w:sz="0" w:space="0" w:color="auto"/>
          </w:divBdr>
        </w:div>
      </w:divsChild>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2166977">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476181">
      <w:bodyDiv w:val="1"/>
      <w:marLeft w:val="0"/>
      <w:marRight w:val="0"/>
      <w:marTop w:val="0"/>
      <w:marBottom w:val="0"/>
      <w:divBdr>
        <w:top w:val="none" w:sz="0" w:space="0" w:color="auto"/>
        <w:left w:val="none" w:sz="0" w:space="0" w:color="auto"/>
        <w:bottom w:val="none" w:sz="0" w:space="0" w:color="auto"/>
        <w:right w:val="none" w:sz="0" w:space="0" w:color="auto"/>
      </w:divBdr>
      <w:divsChild>
        <w:div w:id="417099774">
          <w:marLeft w:val="1080"/>
          <w:marRight w:val="0"/>
          <w:marTop w:val="100"/>
          <w:marBottom w:val="0"/>
          <w:divBdr>
            <w:top w:val="none" w:sz="0" w:space="0" w:color="auto"/>
            <w:left w:val="none" w:sz="0" w:space="0" w:color="auto"/>
            <w:bottom w:val="none" w:sz="0" w:space="0" w:color="auto"/>
            <w:right w:val="none" w:sz="0" w:space="0" w:color="auto"/>
          </w:divBdr>
        </w:div>
        <w:div w:id="659425671">
          <w:marLeft w:val="1080"/>
          <w:marRight w:val="0"/>
          <w:marTop w:val="100"/>
          <w:marBottom w:val="0"/>
          <w:divBdr>
            <w:top w:val="none" w:sz="0" w:space="0" w:color="auto"/>
            <w:left w:val="none" w:sz="0" w:space="0" w:color="auto"/>
            <w:bottom w:val="none" w:sz="0" w:space="0" w:color="auto"/>
            <w:right w:val="none" w:sz="0" w:space="0" w:color="auto"/>
          </w:divBdr>
        </w:div>
        <w:div w:id="1149594989">
          <w:marLeft w:val="360"/>
          <w:marRight w:val="0"/>
          <w:marTop w:val="200"/>
          <w:marBottom w:val="0"/>
          <w:divBdr>
            <w:top w:val="none" w:sz="0" w:space="0" w:color="auto"/>
            <w:left w:val="none" w:sz="0" w:space="0" w:color="auto"/>
            <w:bottom w:val="none" w:sz="0" w:space="0" w:color="auto"/>
            <w:right w:val="none" w:sz="0" w:space="0" w:color="auto"/>
          </w:divBdr>
        </w:div>
        <w:div w:id="1879389894">
          <w:marLeft w:val="1080"/>
          <w:marRight w:val="0"/>
          <w:marTop w:val="100"/>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3996455">
      <w:bodyDiv w:val="1"/>
      <w:marLeft w:val="0"/>
      <w:marRight w:val="0"/>
      <w:marTop w:val="0"/>
      <w:marBottom w:val="0"/>
      <w:divBdr>
        <w:top w:val="none" w:sz="0" w:space="0" w:color="auto"/>
        <w:left w:val="none" w:sz="0" w:space="0" w:color="auto"/>
        <w:bottom w:val="none" w:sz="0" w:space="0" w:color="auto"/>
        <w:right w:val="none" w:sz="0" w:space="0" w:color="auto"/>
      </w:divBdr>
      <w:divsChild>
        <w:div w:id="134833659">
          <w:marLeft w:val="1800"/>
          <w:marRight w:val="0"/>
          <w:marTop w:val="100"/>
          <w:marBottom w:val="0"/>
          <w:divBdr>
            <w:top w:val="none" w:sz="0" w:space="0" w:color="auto"/>
            <w:left w:val="none" w:sz="0" w:space="0" w:color="auto"/>
            <w:bottom w:val="none" w:sz="0" w:space="0" w:color="auto"/>
            <w:right w:val="none" w:sz="0" w:space="0" w:color="auto"/>
          </w:divBdr>
        </w:div>
        <w:div w:id="206531962">
          <w:marLeft w:val="1800"/>
          <w:marRight w:val="0"/>
          <w:marTop w:val="100"/>
          <w:marBottom w:val="0"/>
          <w:divBdr>
            <w:top w:val="none" w:sz="0" w:space="0" w:color="auto"/>
            <w:left w:val="none" w:sz="0" w:space="0" w:color="auto"/>
            <w:bottom w:val="none" w:sz="0" w:space="0" w:color="auto"/>
            <w:right w:val="none" w:sz="0" w:space="0" w:color="auto"/>
          </w:divBdr>
        </w:div>
        <w:div w:id="380329051">
          <w:marLeft w:val="1080"/>
          <w:marRight w:val="0"/>
          <w:marTop w:val="100"/>
          <w:marBottom w:val="0"/>
          <w:divBdr>
            <w:top w:val="none" w:sz="0" w:space="0" w:color="auto"/>
            <w:left w:val="none" w:sz="0" w:space="0" w:color="auto"/>
            <w:bottom w:val="none" w:sz="0" w:space="0" w:color="auto"/>
            <w:right w:val="none" w:sz="0" w:space="0" w:color="auto"/>
          </w:divBdr>
        </w:div>
        <w:div w:id="400492095">
          <w:marLeft w:val="360"/>
          <w:marRight w:val="0"/>
          <w:marTop w:val="200"/>
          <w:marBottom w:val="0"/>
          <w:divBdr>
            <w:top w:val="none" w:sz="0" w:space="0" w:color="auto"/>
            <w:left w:val="none" w:sz="0" w:space="0" w:color="auto"/>
            <w:bottom w:val="none" w:sz="0" w:space="0" w:color="auto"/>
            <w:right w:val="none" w:sz="0" w:space="0" w:color="auto"/>
          </w:divBdr>
        </w:div>
        <w:div w:id="1058552338">
          <w:marLeft w:val="1080"/>
          <w:marRight w:val="0"/>
          <w:marTop w:val="100"/>
          <w:marBottom w:val="0"/>
          <w:divBdr>
            <w:top w:val="none" w:sz="0" w:space="0" w:color="auto"/>
            <w:left w:val="none" w:sz="0" w:space="0" w:color="auto"/>
            <w:bottom w:val="none" w:sz="0" w:space="0" w:color="auto"/>
            <w:right w:val="none" w:sz="0" w:space="0" w:color="auto"/>
          </w:divBdr>
        </w:div>
        <w:div w:id="1224682022">
          <w:marLeft w:val="1800"/>
          <w:marRight w:val="0"/>
          <w:marTop w:val="100"/>
          <w:marBottom w:val="0"/>
          <w:divBdr>
            <w:top w:val="none" w:sz="0" w:space="0" w:color="auto"/>
            <w:left w:val="none" w:sz="0" w:space="0" w:color="auto"/>
            <w:bottom w:val="none" w:sz="0" w:space="0" w:color="auto"/>
            <w:right w:val="none" w:sz="0" w:space="0" w:color="auto"/>
          </w:divBdr>
        </w:div>
        <w:div w:id="1310790322">
          <w:marLeft w:val="1800"/>
          <w:marRight w:val="0"/>
          <w:marTop w:val="100"/>
          <w:marBottom w:val="0"/>
          <w:divBdr>
            <w:top w:val="none" w:sz="0" w:space="0" w:color="auto"/>
            <w:left w:val="none" w:sz="0" w:space="0" w:color="auto"/>
            <w:bottom w:val="none" w:sz="0" w:space="0" w:color="auto"/>
            <w:right w:val="none" w:sz="0" w:space="0" w:color="auto"/>
          </w:divBdr>
        </w:div>
        <w:div w:id="1453939295">
          <w:marLeft w:val="1800"/>
          <w:marRight w:val="0"/>
          <w:marTop w:val="100"/>
          <w:marBottom w:val="0"/>
          <w:divBdr>
            <w:top w:val="none" w:sz="0" w:space="0" w:color="auto"/>
            <w:left w:val="none" w:sz="0" w:space="0" w:color="auto"/>
            <w:bottom w:val="none" w:sz="0" w:space="0" w:color="auto"/>
            <w:right w:val="none" w:sz="0" w:space="0" w:color="auto"/>
          </w:divBdr>
        </w:div>
        <w:div w:id="1588616711">
          <w:marLeft w:val="1800"/>
          <w:marRight w:val="0"/>
          <w:marTop w:val="100"/>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0157003">
      <w:bodyDiv w:val="1"/>
      <w:marLeft w:val="0"/>
      <w:marRight w:val="0"/>
      <w:marTop w:val="0"/>
      <w:marBottom w:val="0"/>
      <w:divBdr>
        <w:top w:val="none" w:sz="0" w:space="0" w:color="auto"/>
        <w:left w:val="none" w:sz="0" w:space="0" w:color="auto"/>
        <w:bottom w:val="none" w:sz="0" w:space="0" w:color="auto"/>
        <w:right w:val="none" w:sz="0" w:space="0" w:color="auto"/>
      </w:divBdr>
      <w:divsChild>
        <w:div w:id="154080103">
          <w:marLeft w:val="2520"/>
          <w:marRight w:val="0"/>
          <w:marTop w:val="100"/>
          <w:marBottom w:val="0"/>
          <w:divBdr>
            <w:top w:val="none" w:sz="0" w:space="0" w:color="auto"/>
            <w:left w:val="none" w:sz="0" w:space="0" w:color="auto"/>
            <w:bottom w:val="none" w:sz="0" w:space="0" w:color="auto"/>
            <w:right w:val="none" w:sz="0" w:space="0" w:color="auto"/>
          </w:divBdr>
        </w:div>
        <w:div w:id="163014956">
          <w:marLeft w:val="1800"/>
          <w:marRight w:val="0"/>
          <w:marTop w:val="100"/>
          <w:marBottom w:val="0"/>
          <w:divBdr>
            <w:top w:val="none" w:sz="0" w:space="0" w:color="auto"/>
            <w:left w:val="none" w:sz="0" w:space="0" w:color="auto"/>
            <w:bottom w:val="none" w:sz="0" w:space="0" w:color="auto"/>
            <w:right w:val="none" w:sz="0" w:space="0" w:color="auto"/>
          </w:divBdr>
        </w:div>
        <w:div w:id="359087711">
          <w:marLeft w:val="1800"/>
          <w:marRight w:val="0"/>
          <w:marTop w:val="100"/>
          <w:marBottom w:val="0"/>
          <w:divBdr>
            <w:top w:val="none" w:sz="0" w:space="0" w:color="auto"/>
            <w:left w:val="none" w:sz="0" w:space="0" w:color="auto"/>
            <w:bottom w:val="none" w:sz="0" w:space="0" w:color="auto"/>
            <w:right w:val="none" w:sz="0" w:space="0" w:color="auto"/>
          </w:divBdr>
        </w:div>
        <w:div w:id="716860175">
          <w:marLeft w:val="1080"/>
          <w:marRight w:val="0"/>
          <w:marTop w:val="100"/>
          <w:marBottom w:val="0"/>
          <w:divBdr>
            <w:top w:val="none" w:sz="0" w:space="0" w:color="auto"/>
            <w:left w:val="none" w:sz="0" w:space="0" w:color="auto"/>
            <w:bottom w:val="none" w:sz="0" w:space="0" w:color="auto"/>
            <w:right w:val="none" w:sz="0" w:space="0" w:color="auto"/>
          </w:divBdr>
        </w:div>
        <w:div w:id="755396189">
          <w:marLeft w:val="2520"/>
          <w:marRight w:val="0"/>
          <w:marTop w:val="100"/>
          <w:marBottom w:val="0"/>
          <w:divBdr>
            <w:top w:val="none" w:sz="0" w:space="0" w:color="auto"/>
            <w:left w:val="none" w:sz="0" w:space="0" w:color="auto"/>
            <w:bottom w:val="none" w:sz="0" w:space="0" w:color="auto"/>
            <w:right w:val="none" w:sz="0" w:space="0" w:color="auto"/>
          </w:divBdr>
        </w:div>
        <w:div w:id="1266772050">
          <w:marLeft w:val="2520"/>
          <w:marRight w:val="0"/>
          <w:marTop w:val="100"/>
          <w:marBottom w:val="0"/>
          <w:divBdr>
            <w:top w:val="none" w:sz="0" w:space="0" w:color="auto"/>
            <w:left w:val="none" w:sz="0" w:space="0" w:color="auto"/>
            <w:bottom w:val="none" w:sz="0" w:space="0" w:color="auto"/>
            <w:right w:val="none" w:sz="0" w:space="0" w:color="auto"/>
          </w:divBdr>
        </w:div>
        <w:div w:id="1310866343">
          <w:marLeft w:val="360"/>
          <w:marRight w:val="0"/>
          <w:marTop w:val="200"/>
          <w:marBottom w:val="0"/>
          <w:divBdr>
            <w:top w:val="none" w:sz="0" w:space="0" w:color="auto"/>
            <w:left w:val="none" w:sz="0" w:space="0" w:color="auto"/>
            <w:bottom w:val="none" w:sz="0" w:space="0" w:color="auto"/>
            <w:right w:val="none" w:sz="0" w:space="0" w:color="auto"/>
          </w:divBdr>
        </w:div>
        <w:div w:id="1351756727">
          <w:marLeft w:val="360"/>
          <w:marRight w:val="0"/>
          <w:marTop w:val="200"/>
          <w:marBottom w:val="0"/>
          <w:divBdr>
            <w:top w:val="none" w:sz="0" w:space="0" w:color="auto"/>
            <w:left w:val="none" w:sz="0" w:space="0" w:color="auto"/>
            <w:bottom w:val="none" w:sz="0" w:space="0" w:color="auto"/>
            <w:right w:val="none" w:sz="0" w:space="0" w:color="auto"/>
          </w:divBdr>
        </w:div>
        <w:div w:id="1395817896">
          <w:marLeft w:val="1800"/>
          <w:marRight w:val="0"/>
          <w:marTop w:val="100"/>
          <w:marBottom w:val="0"/>
          <w:divBdr>
            <w:top w:val="none" w:sz="0" w:space="0" w:color="auto"/>
            <w:left w:val="none" w:sz="0" w:space="0" w:color="auto"/>
            <w:bottom w:val="none" w:sz="0" w:space="0" w:color="auto"/>
            <w:right w:val="none" w:sz="0" w:space="0" w:color="auto"/>
          </w:divBdr>
        </w:div>
        <w:div w:id="1822691065">
          <w:marLeft w:val="2520"/>
          <w:marRight w:val="0"/>
          <w:marTop w:val="100"/>
          <w:marBottom w:val="0"/>
          <w:divBdr>
            <w:top w:val="none" w:sz="0" w:space="0" w:color="auto"/>
            <w:left w:val="none" w:sz="0" w:space="0" w:color="auto"/>
            <w:bottom w:val="none" w:sz="0" w:space="0" w:color="auto"/>
            <w:right w:val="none" w:sz="0" w:space="0" w:color="auto"/>
          </w:divBdr>
        </w:div>
        <w:div w:id="1983652831">
          <w:marLeft w:val="1800"/>
          <w:marRight w:val="0"/>
          <w:marTop w:val="100"/>
          <w:marBottom w:val="0"/>
          <w:divBdr>
            <w:top w:val="none" w:sz="0" w:space="0" w:color="auto"/>
            <w:left w:val="none" w:sz="0" w:space="0" w:color="auto"/>
            <w:bottom w:val="none" w:sz="0" w:space="0" w:color="auto"/>
            <w:right w:val="none" w:sz="0" w:space="0" w:color="auto"/>
          </w:divBdr>
        </w:div>
      </w:divsChild>
    </w:div>
    <w:div w:id="1709329127">
      <w:bodyDiv w:val="1"/>
      <w:marLeft w:val="0"/>
      <w:marRight w:val="0"/>
      <w:marTop w:val="0"/>
      <w:marBottom w:val="0"/>
      <w:divBdr>
        <w:top w:val="none" w:sz="0" w:space="0" w:color="auto"/>
        <w:left w:val="none" w:sz="0" w:space="0" w:color="auto"/>
        <w:bottom w:val="none" w:sz="0" w:space="0" w:color="auto"/>
        <w:right w:val="none" w:sz="0" w:space="0" w:color="auto"/>
      </w:divBdr>
      <w:divsChild>
        <w:div w:id="488592517">
          <w:marLeft w:val="360"/>
          <w:marRight w:val="0"/>
          <w:marTop w:val="200"/>
          <w:marBottom w:val="0"/>
          <w:divBdr>
            <w:top w:val="none" w:sz="0" w:space="0" w:color="auto"/>
            <w:left w:val="none" w:sz="0" w:space="0" w:color="auto"/>
            <w:bottom w:val="none" w:sz="0" w:space="0" w:color="auto"/>
            <w:right w:val="none" w:sz="0" w:space="0" w:color="auto"/>
          </w:divBdr>
        </w:div>
        <w:div w:id="1412577077">
          <w:marLeft w:val="1080"/>
          <w:marRight w:val="0"/>
          <w:marTop w:val="100"/>
          <w:marBottom w:val="0"/>
          <w:divBdr>
            <w:top w:val="none" w:sz="0" w:space="0" w:color="auto"/>
            <w:left w:val="none" w:sz="0" w:space="0" w:color="auto"/>
            <w:bottom w:val="none" w:sz="0" w:space="0" w:color="auto"/>
            <w:right w:val="none" w:sz="0" w:space="0" w:color="auto"/>
          </w:divBdr>
        </w:div>
        <w:div w:id="150269614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8775646">
      <w:bodyDiv w:val="1"/>
      <w:marLeft w:val="0"/>
      <w:marRight w:val="0"/>
      <w:marTop w:val="0"/>
      <w:marBottom w:val="0"/>
      <w:divBdr>
        <w:top w:val="none" w:sz="0" w:space="0" w:color="auto"/>
        <w:left w:val="none" w:sz="0" w:space="0" w:color="auto"/>
        <w:bottom w:val="none" w:sz="0" w:space="0" w:color="auto"/>
        <w:right w:val="none" w:sz="0" w:space="0" w:color="auto"/>
      </w:divBdr>
      <w:divsChild>
        <w:div w:id="2128037505">
          <w:marLeft w:val="360"/>
          <w:marRight w:val="0"/>
          <w:marTop w:val="200"/>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427881">
      <w:bodyDiv w:val="1"/>
      <w:marLeft w:val="0"/>
      <w:marRight w:val="0"/>
      <w:marTop w:val="0"/>
      <w:marBottom w:val="0"/>
      <w:divBdr>
        <w:top w:val="none" w:sz="0" w:space="0" w:color="auto"/>
        <w:left w:val="none" w:sz="0" w:space="0" w:color="auto"/>
        <w:bottom w:val="none" w:sz="0" w:space="0" w:color="auto"/>
        <w:right w:val="none" w:sz="0" w:space="0" w:color="auto"/>
      </w:divBdr>
      <w:divsChild>
        <w:div w:id="839538577">
          <w:marLeft w:val="360"/>
          <w:marRight w:val="0"/>
          <w:marTop w:val="200"/>
          <w:marBottom w:val="0"/>
          <w:divBdr>
            <w:top w:val="none" w:sz="0" w:space="0" w:color="auto"/>
            <w:left w:val="none" w:sz="0" w:space="0" w:color="auto"/>
            <w:bottom w:val="none" w:sz="0" w:space="0" w:color="auto"/>
            <w:right w:val="none" w:sz="0" w:space="0" w:color="auto"/>
          </w:divBdr>
        </w:div>
      </w:divsChild>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9128237">
      <w:bodyDiv w:val="1"/>
      <w:marLeft w:val="0"/>
      <w:marRight w:val="0"/>
      <w:marTop w:val="0"/>
      <w:marBottom w:val="0"/>
      <w:divBdr>
        <w:top w:val="none" w:sz="0" w:space="0" w:color="auto"/>
        <w:left w:val="none" w:sz="0" w:space="0" w:color="auto"/>
        <w:bottom w:val="none" w:sz="0" w:space="0" w:color="auto"/>
        <w:right w:val="none" w:sz="0" w:space="0" w:color="auto"/>
      </w:divBdr>
      <w:divsChild>
        <w:div w:id="50538693">
          <w:marLeft w:val="360"/>
          <w:marRight w:val="0"/>
          <w:marTop w:val="200"/>
          <w:marBottom w:val="0"/>
          <w:divBdr>
            <w:top w:val="none" w:sz="0" w:space="0" w:color="auto"/>
            <w:left w:val="none" w:sz="0" w:space="0" w:color="auto"/>
            <w:bottom w:val="none" w:sz="0" w:space="0" w:color="auto"/>
            <w:right w:val="none" w:sz="0" w:space="0" w:color="auto"/>
          </w:divBdr>
        </w:div>
        <w:div w:id="249315893">
          <w:marLeft w:val="1080"/>
          <w:marRight w:val="0"/>
          <w:marTop w:val="100"/>
          <w:marBottom w:val="0"/>
          <w:divBdr>
            <w:top w:val="none" w:sz="0" w:space="0" w:color="auto"/>
            <w:left w:val="none" w:sz="0" w:space="0" w:color="auto"/>
            <w:bottom w:val="none" w:sz="0" w:space="0" w:color="auto"/>
            <w:right w:val="none" w:sz="0" w:space="0" w:color="auto"/>
          </w:divBdr>
        </w:div>
        <w:div w:id="353044851">
          <w:marLeft w:val="1080"/>
          <w:marRight w:val="0"/>
          <w:marTop w:val="100"/>
          <w:marBottom w:val="0"/>
          <w:divBdr>
            <w:top w:val="none" w:sz="0" w:space="0" w:color="auto"/>
            <w:left w:val="none" w:sz="0" w:space="0" w:color="auto"/>
            <w:bottom w:val="none" w:sz="0" w:space="0" w:color="auto"/>
            <w:right w:val="none" w:sz="0" w:space="0" w:color="auto"/>
          </w:divBdr>
        </w:div>
        <w:div w:id="628319623">
          <w:marLeft w:val="360"/>
          <w:marRight w:val="0"/>
          <w:marTop w:val="200"/>
          <w:marBottom w:val="0"/>
          <w:divBdr>
            <w:top w:val="none" w:sz="0" w:space="0" w:color="auto"/>
            <w:left w:val="none" w:sz="0" w:space="0" w:color="auto"/>
            <w:bottom w:val="none" w:sz="0" w:space="0" w:color="auto"/>
            <w:right w:val="none" w:sz="0" w:space="0" w:color="auto"/>
          </w:divBdr>
        </w:div>
        <w:div w:id="659116573">
          <w:marLeft w:val="360"/>
          <w:marRight w:val="0"/>
          <w:marTop w:val="200"/>
          <w:marBottom w:val="0"/>
          <w:divBdr>
            <w:top w:val="none" w:sz="0" w:space="0" w:color="auto"/>
            <w:left w:val="none" w:sz="0" w:space="0" w:color="auto"/>
            <w:bottom w:val="none" w:sz="0" w:space="0" w:color="auto"/>
            <w:right w:val="none" w:sz="0" w:space="0" w:color="auto"/>
          </w:divBdr>
        </w:div>
        <w:div w:id="838420679">
          <w:marLeft w:val="360"/>
          <w:marRight w:val="0"/>
          <w:marTop w:val="200"/>
          <w:marBottom w:val="0"/>
          <w:divBdr>
            <w:top w:val="none" w:sz="0" w:space="0" w:color="auto"/>
            <w:left w:val="none" w:sz="0" w:space="0" w:color="auto"/>
            <w:bottom w:val="none" w:sz="0" w:space="0" w:color="auto"/>
            <w:right w:val="none" w:sz="0" w:space="0" w:color="auto"/>
          </w:divBdr>
        </w:div>
        <w:div w:id="846678834">
          <w:marLeft w:val="1080"/>
          <w:marRight w:val="0"/>
          <w:marTop w:val="100"/>
          <w:marBottom w:val="0"/>
          <w:divBdr>
            <w:top w:val="none" w:sz="0" w:space="0" w:color="auto"/>
            <w:left w:val="none" w:sz="0" w:space="0" w:color="auto"/>
            <w:bottom w:val="none" w:sz="0" w:space="0" w:color="auto"/>
            <w:right w:val="none" w:sz="0" w:space="0" w:color="auto"/>
          </w:divBdr>
        </w:div>
        <w:div w:id="926962964">
          <w:marLeft w:val="1080"/>
          <w:marRight w:val="0"/>
          <w:marTop w:val="100"/>
          <w:marBottom w:val="0"/>
          <w:divBdr>
            <w:top w:val="none" w:sz="0" w:space="0" w:color="auto"/>
            <w:left w:val="none" w:sz="0" w:space="0" w:color="auto"/>
            <w:bottom w:val="none" w:sz="0" w:space="0" w:color="auto"/>
            <w:right w:val="none" w:sz="0" w:space="0" w:color="auto"/>
          </w:divBdr>
        </w:div>
        <w:div w:id="1376465162">
          <w:marLeft w:val="1080"/>
          <w:marRight w:val="0"/>
          <w:marTop w:val="100"/>
          <w:marBottom w:val="0"/>
          <w:divBdr>
            <w:top w:val="none" w:sz="0" w:space="0" w:color="auto"/>
            <w:left w:val="none" w:sz="0" w:space="0" w:color="auto"/>
            <w:bottom w:val="none" w:sz="0" w:space="0" w:color="auto"/>
            <w:right w:val="none" w:sz="0" w:space="0" w:color="auto"/>
          </w:divBdr>
        </w:div>
        <w:div w:id="1992634728">
          <w:marLeft w:val="1080"/>
          <w:marRight w:val="0"/>
          <w:marTop w:val="100"/>
          <w:marBottom w:val="0"/>
          <w:divBdr>
            <w:top w:val="none" w:sz="0" w:space="0" w:color="auto"/>
            <w:left w:val="none" w:sz="0" w:space="0" w:color="auto"/>
            <w:bottom w:val="none" w:sz="0" w:space="0" w:color="auto"/>
            <w:right w:val="none" w:sz="0" w:space="0" w:color="auto"/>
          </w:divBdr>
        </w:div>
        <w:div w:id="2069254940">
          <w:marLeft w:val="360"/>
          <w:marRight w:val="0"/>
          <w:marTop w:val="20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1974868032">
      <w:bodyDiv w:val="1"/>
      <w:marLeft w:val="0"/>
      <w:marRight w:val="0"/>
      <w:marTop w:val="0"/>
      <w:marBottom w:val="0"/>
      <w:divBdr>
        <w:top w:val="none" w:sz="0" w:space="0" w:color="auto"/>
        <w:left w:val="none" w:sz="0" w:space="0" w:color="auto"/>
        <w:bottom w:val="none" w:sz="0" w:space="0" w:color="auto"/>
        <w:right w:val="none" w:sz="0" w:space="0" w:color="auto"/>
      </w:divBdr>
      <w:divsChild>
        <w:div w:id="323751026">
          <w:marLeft w:val="1800"/>
          <w:marRight w:val="0"/>
          <w:marTop w:val="100"/>
          <w:marBottom w:val="0"/>
          <w:divBdr>
            <w:top w:val="none" w:sz="0" w:space="0" w:color="auto"/>
            <w:left w:val="none" w:sz="0" w:space="0" w:color="auto"/>
            <w:bottom w:val="none" w:sz="0" w:space="0" w:color="auto"/>
            <w:right w:val="none" w:sz="0" w:space="0" w:color="auto"/>
          </w:divBdr>
        </w:div>
        <w:div w:id="326369982">
          <w:marLeft w:val="1080"/>
          <w:marRight w:val="0"/>
          <w:marTop w:val="100"/>
          <w:marBottom w:val="0"/>
          <w:divBdr>
            <w:top w:val="none" w:sz="0" w:space="0" w:color="auto"/>
            <w:left w:val="none" w:sz="0" w:space="0" w:color="auto"/>
            <w:bottom w:val="none" w:sz="0" w:space="0" w:color="auto"/>
            <w:right w:val="none" w:sz="0" w:space="0" w:color="auto"/>
          </w:divBdr>
        </w:div>
        <w:div w:id="519661788">
          <w:marLeft w:val="1080"/>
          <w:marRight w:val="0"/>
          <w:marTop w:val="100"/>
          <w:marBottom w:val="0"/>
          <w:divBdr>
            <w:top w:val="none" w:sz="0" w:space="0" w:color="auto"/>
            <w:left w:val="none" w:sz="0" w:space="0" w:color="auto"/>
            <w:bottom w:val="none" w:sz="0" w:space="0" w:color="auto"/>
            <w:right w:val="none" w:sz="0" w:space="0" w:color="auto"/>
          </w:divBdr>
        </w:div>
        <w:div w:id="756632417">
          <w:marLeft w:val="360"/>
          <w:marRight w:val="0"/>
          <w:marTop w:val="200"/>
          <w:marBottom w:val="0"/>
          <w:divBdr>
            <w:top w:val="none" w:sz="0" w:space="0" w:color="auto"/>
            <w:left w:val="none" w:sz="0" w:space="0" w:color="auto"/>
            <w:bottom w:val="none" w:sz="0" w:space="0" w:color="auto"/>
            <w:right w:val="none" w:sz="0" w:space="0" w:color="auto"/>
          </w:divBdr>
        </w:div>
        <w:div w:id="902906783">
          <w:marLeft w:val="1080"/>
          <w:marRight w:val="0"/>
          <w:marTop w:val="100"/>
          <w:marBottom w:val="0"/>
          <w:divBdr>
            <w:top w:val="none" w:sz="0" w:space="0" w:color="auto"/>
            <w:left w:val="none" w:sz="0" w:space="0" w:color="auto"/>
            <w:bottom w:val="none" w:sz="0" w:space="0" w:color="auto"/>
            <w:right w:val="none" w:sz="0" w:space="0" w:color="auto"/>
          </w:divBdr>
        </w:div>
        <w:div w:id="1728215671">
          <w:marLeft w:val="1080"/>
          <w:marRight w:val="0"/>
          <w:marTop w:val="100"/>
          <w:marBottom w:val="0"/>
          <w:divBdr>
            <w:top w:val="none" w:sz="0" w:space="0" w:color="auto"/>
            <w:left w:val="none" w:sz="0" w:space="0" w:color="auto"/>
            <w:bottom w:val="none" w:sz="0" w:space="0" w:color="auto"/>
            <w:right w:val="none" w:sz="0" w:space="0" w:color="auto"/>
          </w:divBdr>
        </w:div>
        <w:div w:id="1786344194">
          <w:marLeft w:val="1080"/>
          <w:marRight w:val="0"/>
          <w:marTop w:val="100"/>
          <w:marBottom w:val="0"/>
          <w:divBdr>
            <w:top w:val="none" w:sz="0" w:space="0" w:color="auto"/>
            <w:left w:val="none" w:sz="0" w:space="0" w:color="auto"/>
            <w:bottom w:val="none" w:sz="0" w:space="0" w:color="auto"/>
            <w:right w:val="none" w:sz="0" w:space="0" w:color="auto"/>
          </w:divBdr>
        </w:div>
        <w:div w:id="1798328432">
          <w:marLeft w:val="1080"/>
          <w:marRight w:val="0"/>
          <w:marTop w:val="100"/>
          <w:marBottom w:val="0"/>
          <w:divBdr>
            <w:top w:val="none" w:sz="0" w:space="0" w:color="auto"/>
            <w:left w:val="none" w:sz="0" w:space="0" w:color="auto"/>
            <w:bottom w:val="none" w:sz="0" w:space="0" w:color="auto"/>
            <w:right w:val="none" w:sz="0" w:space="0" w:color="auto"/>
          </w:divBdr>
        </w:div>
        <w:div w:id="1867986702">
          <w:marLeft w:val="360"/>
          <w:marRight w:val="0"/>
          <w:marTop w:val="200"/>
          <w:marBottom w:val="0"/>
          <w:divBdr>
            <w:top w:val="none" w:sz="0" w:space="0" w:color="auto"/>
            <w:left w:val="none" w:sz="0" w:space="0" w:color="auto"/>
            <w:bottom w:val="none" w:sz="0" w:space="0" w:color="auto"/>
            <w:right w:val="none" w:sz="0" w:space="0" w:color="auto"/>
          </w:divBdr>
        </w:div>
        <w:div w:id="1907950827">
          <w:marLeft w:val="360"/>
          <w:marRight w:val="0"/>
          <w:marTop w:val="200"/>
          <w:marBottom w:val="0"/>
          <w:divBdr>
            <w:top w:val="none" w:sz="0" w:space="0" w:color="auto"/>
            <w:left w:val="none" w:sz="0" w:space="0" w:color="auto"/>
            <w:bottom w:val="none" w:sz="0" w:space="0" w:color="auto"/>
            <w:right w:val="none" w:sz="0" w:space="0" w:color="auto"/>
          </w:divBdr>
        </w:div>
        <w:div w:id="2059276959">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476834">
      <w:bodyDiv w:val="1"/>
      <w:marLeft w:val="0"/>
      <w:marRight w:val="0"/>
      <w:marTop w:val="0"/>
      <w:marBottom w:val="0"/>
      <w:divBdr>
        <w:top w:val="none" w:sz="0" w:space="0" w:color="auto"/>
        <w:left w:val="none" w:sz="0" w:space="0" w:color="auto"/>
        <w:bottom w:val="none" w:sz="0" w:space="0" w:color="auto"/>
        <w:right w:val="none" w:sz="0" w:space="0" w:color="auto"/>
      </w:divBdr>
      <w:divsChild>
        <w:div w:id="245698270">
          <w:marLeft w:val="1080"/>
          <w:marRight w:val="0"/>
          <w:marTop w:val="100"/>
          <w:marBottom w:val="0"/>
          <w:divBdr>
            <w:top w:val="none" w:sz="0" w:space="0" w:color="auto"/>
            <w:left w:val="none" w:sz="0" w:space="0" w:color="auto"/>
            <w:bottom w:val="none" w:sz="0" w:space="0" w:color="auto"/>
            <w:right w:val="none" w:sz="0" w:space="0" w:color="auto"/>
          </w:divBdr>
        </w:div>
        <w:div w:id="355621378">
          <w:marLeft w:val="360"/>
          <w:marRight w:val="0"/>
          <w:marTop w:val="200"/>
          <w:marBottom w:val="0"/>
          <w:divBdr>
            <w:top w:val="none" w:sz="0" w:space="0" w:color="auto"/>
            <w:left w:val="none" w:sz="0" w:space="0" w:color="auto"/>
            <w:bottom w:val="none" w:sz="0" w:space="0" w:color="auto"/>
            <w:right w:val="none" w:sz="0" w:space="0" w:color="auto"/>
          </w:divBdr>
        </w:div>
        <w:div w:id="419570088">
          <w:marLeft w:val="1080"/>
          <w:marRight w:val="0"/>
          <w:marTop w:val="100"/>
          <w:marBottom w:val="0"/>
          <w:divBdr>
            <w:top w:val="none" w:sz="0" w:space="0" w:color="auto"/>
            <w:left w:val="none" w:sz="0" w:space="0" w:color="auto"/>
            <w:bottom w:val="none" w:sz="0" w:space="0" w:color="auto"/>
            <w:right w:val="none" w:sz="0" w:space="0" w:color="auto"/>
          </w:divBdr>
        </w:div>
        <w:div w:id="524371752">
          <w:marLeft w:val="1080"/>
          <w:marRight w:val="0"/>
          <w:marTop w:val="100"/>
          <w:marBottom w:val="0"/>
          <w:divBdr>
            <w:top w:val="none" w:sz="0" w:space="0" w:color="auto"/>
            <w:left w:val="none" w:sz="0" w:space="0" w:color="auto"/>
            <w:bottom w:val="none" w:sz="0" w:space="0" w:color="auto"/>
            <w:right w:val="none" w:sz="0" w:space="0" w:color="auto"/>
          </w:divBdr>
        </w:div>
        <w:div w:id="1617368118">
          <w:marLeft w:val="1080"/>
          <w:marRight w:val="0"/>
          <w:marTop w:val="100"/>
          <w:marBottom w:val="0"/>
          <w:divBdr>
            <w:top w:val="none" w:sz="0" w:space="0" w:color="auto"/>
            <w:left w:val="none" w:sz="0" w:space="0" w:color="auto"/>
            <w:bottom w:val="none" w:sz="0" w:space="0" w:color="auto"/>
            <w:right w:val="none" w:sz="0" w:space="0" w:color="auto"/>
          </w:divBdr>
        </w:div>
      </w:divsChild>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9815723">
      <w:bodyDiv w:val="1"/>
      <w:marLeft w:val="0"/>
      <w:marRight w:val="0"/>
      <w:marTop w:val="0"/>
      <w:marBottom w:val="0"/>
      <w:divBdr>
        <w:top w:val="none" w:sz="0" w:space="0" w:color="auto"/>
        <w:left w:val="none" w:sz="0" w:space="0" w:color="auto"/>
        <w:bottom w:val="none" w:sz="0" w:space="0" w:color="auto"/>
        <w:right w:val="none" w:sz="0" w:space="0" w:color="auto"/>
      </w:divBdr>
      <w:divsChild>
        <w:div w:id="1650355528">
          <w:marLeft w:val="360"/>
          <w:marRight w:val="0"/>
          <w:marTop w:val="200"/>
          <w:marBottom w:val="0"/>
          <w:divBdr>
            <w:top w:val="none" w:sz="0" w:space="0" w:color="auto"/>
            <w:left w:val="none" w:sz="0" w:space="0" w:color="auto"/>
            <w:bottom w:val="none" w:sz="0" w:space="0" w:color="auto"/>
            <w:right w:val="none" w:sz="0" w:space="0" w:color="auto"/>
          </w:divBdr>
        </w:div>
      </w:divsChild>
    </w:div>
    <w:div w:id="2042245030">
      <w:bodyDiv w:val="1"/>
      <w:marLeft w:val="0"/>
      <w:marRight w:val="0"/>
      <w:marTop w:val="0"/>
      <w:marBottom w:val="0"/>
      <w:divBdr>
        <w:top w:val="none" w:sz="0" w:space="0" w:color="auto"/>
        <w:left w:val="none" w:sz="0" w:space="0" w:color="auto"/>
        <w:bottom w:val="none" w:sz="0" w:space="0" w:color="auto"/>
        <w:right w:val="none" w:sz="0" w:space="0" w:color="auto"/>
      </w:divBdr>
      <w:divsChild>
        <w:div w:id="669020536">
          <w:marLeft w:val="360"/>
          <w:marRight w:val="0"/>
          <w:marTop w:val="200"/>
          <w:marBottom w:val="0"/>
          <w:divBdr>
            <w:top w:val="none" w:sz="0" w:space="0" w:color="auto"/>
            <w:left w:val="none" w:sz="0" w:space="0" w:color="auto"/>
            <w:bottom w:val="none" w:sz="0" w:space="0" w:color="auto"/>
            <w:right w:val="none" w:sz="0" w:space="0" w:color="auto"/>
          </w:divBdr>
        </w:div>
        <w:div w:id="754321625">
          <w:marLeft w:val="1080"/>
          <w:marRight w:val="0"/>
          <w:marTop w:val="100"/>
          <w:marBottom w:val="0"/>
          <w:divBdr>
            <w:top w:val="none" w:sz="0" w:space="0" w:color="auto"/>
            <w:left w:val="none" w:sz="0" w:space="0" w:color="auto"/>
            <w:bottom w:val="none" w:sz="0" w:space="0" w:color="auto"/>
            <w:right w:val="none" w:sz="0" w:space="0" w:color="auto"/>
          </w:divBdr>
        </w:div>
        <w:div w:id="1848475629">
          <w:marLeft w:val="1080"/>
          <w:marRight w:val="0"/>
          <w:marTop w:val="100"/>
          <w:marBottom w:val="0"/>
          <w:divBdr>
            <w:top w:val="none" w:sz="0" w:space="0" w:color="auto"/>
            <w:left w:val="none" w:sz="0" w:space="0" w:color="auto"/>
            <w:bottom w:val="none" w:sz="0" w:space="0" w:color="auto"/>
            <w:right w:val="none" w:sz="0" w:space="0" w:color="auto"/>
          </w:divBdr>
        </w:div>
      </w:divsChild>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4_Radio/TSGR4_101-e/LS%20out/R4-212031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5C268956-06BD-4BED-BF47-B379AEF4F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3.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4.xml><?xml version="1.0" encoding="utf-8"?>
<ds:datastoreItem xmlns:ds="http://schemas.openxmlformats.org/officeDocument/2006/customXml" ds:itemID="{CB6403C3-8CD3-461D-9FAE-FE1C2AC40183}">
  <ds:schemaRefs>
    <ds:schemaRef ds:uri="http://purl.org/dc/terms/"/>
    <ds:schemaRef ds:uri="http://schemas.microsoft.com/office/2006/documentManagement/types"/>
    <ds:schemaRef ds:uri="http://purl.org/dc/dcmitype/"/>
    <ds:schemaRef ds:uri="9b239327-9e80-40e4-b1b7-4394fed77a33"/>
    <ds:schemaRef ds:uri="http://purl.org/dc/elements/1.1/"/>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3367</Words>
  <Characters>17847</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2022-01-10T19:18:00Z</dcterms:created>
  <dcterms:modified xsi:type="dcterms:W3CDTF">2022-01-10T19:18:00Z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