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600EA" w14:textId="68F2C81A" w:rsidR="00BA5257" w:rsidRPr="00B23518" w:rsidRDefault="00BA5257" w:rsidP="00BA5257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 w:val="0"/>
          <w:sz w:val="24"/>
          <w:szCs w:val="24"/>
          <w:lang w:eastAsia="zh-CN"/>
        </w:rPr>
      </w:pPr>
      <w:bookmarkStart w:id="0" w:name="Title"/>
      <w:bookmarkStart w:id="1" w:name="DocumentFor"/>
      <w:bookmarkEnd w:id="0"/>
      <w:bookmarkEnd w:id="1"/>
      <w:r w:rsidRPr="00B23518">
        <w:rPr>
          <w:rFonts w:cs="Arial"/>
          <w:sz w:val="24"/>
          <w:szCs w:val="24"/>
        </w:rPr>
        <w:t>3GPP TSG-RAN WG4 Meeting #</w:t>
      </w:r>
      <w:r w:rsidRPr="00B23518">
        <w:rPr>
          <w:rFonts w:cs="Arial"/>
        </w:rPr>
        <w:t xml:space="preserve"> </w:t>
      </w:r>
      <w:r w:rsidRPr="00B23518">
        <w:rPr>
          <w:rFonts w:cs="Arial"/>
          <w:sz w:val="24"/>
          <w:szCs w:val="24"/>
        </w:rPr>
        <w:t>100-e</w:t>
      </w:r>
      <w:r w:rsidRPr="00B23518">
        <w:rPr>
          <w:rFonts w:cs="Arial"/>
          <w:sz w:val="24"/>
          <w:szCs w:val="24"/>
        </w:rPr>
        <w:tab/>
      </w:r>
      <w:r w:rsidR="002265DC" w:rsidRPr="002265DC">
        <w:rPr>
          <w:rFonts w:cs="Arial"/>
          <w:sz w:val="24"/>
          <w:szCs w:val="24"/>
        </w:rPr>
        <w:t>R4-211</w:t>
      </w:r>
      <w:r w:rsidR="00C81948">
        <w:rPr>
          <w:rFonts w:cs="Arial"/>
          <w:sz w:val="24"/>
          <w:szCs w:val="24"/>
        </w:rPr>
        <w:t>xxxx</w:t>
      </w:r>
    </w:p>
    <w:p w14:paraId="240DD8B7" w14:textId="77777777" w:rsidR="00BA5257" w:rsidRPr="00B23518" w:rsidRDefault="00BA5257" w:rsidP="00BA5257">
      <w:pPr>
        <w:pStyle w:val="Header"/>
        <w:tabs>
          <w:tab w:val="right" w:pos="9781"/>
          <w:tab w:val="right" w:pos="13323"/>
        </w:tabs>
        <w:outlineLvl w:val="0"/>
        <w:rPr>
          <w:rFonts w:eastAsia="SimSun" w:cs="Arial"/>
          <w:b w:val="0"/>
          <w:sz w:val="24"/>
          <w:szCs w:val="24"/>
          <w:lang w:eastAsia="zh-CN"/>
        </w:rPr>
      </w:pPr>
      <w:r w:rsidRPr="00B23518">
        <w:rPr>
          <w:rFonts w:eastAsia="SimSun" w:cs="Arial"/>
          <w:sz w:val="24"/>
          <w:szCs w:val="24"/>
          <w:lang w:eastAsia="zh-CN"/>
        </w:rPr>
        <w:t>Electronic Meeting, August 16-27, 2021</w:t>
      </w:r>
    </w:p>
    <w:p w14:paraId="58EA7587" w14:textId="77777777" w:rsidR="00443646" w:rsidRPr="00E842C5" w:rsidRDefault="00443646" w:rsidP="00443646">
      <w:pPr>
        <w:rPr>
          <w:rFonts w:ascii="Arial" w:hAnsi="Arial" w:cs="Arial"/>
          <w:color w:val="000000" w:themeColor="text1"/>
        </w:rPr>
      </w:pPr>
    </w:p>
    <w:p w14:paraId="35AB92E3" w14:textId="7E0440B3" w:rsidR="00443646" w:rsidRPr="004C4909" w:rsidRDefault="00443646" w:rsidP="00443646">
      <w:pPr>
        <w:pStyle w:val="Title"/>
        <w:rPr>
          <w:color w:val="000000" w:themeColor="text1"/>
        </w:rPr>
      </w:pPr>
      <w:r w:rsidRPr="00E842C5">
        <w:rPr>
          <w:color w:val="000000" w:themeColor="text1"/>
        </w:rPr>
        <w:t>Title:</w:t>
      </w:r>
      <w:r w:rsidRPr="00E842C5">
        <w:rPr>
          <w:color w:val="000000" w:themeColor="text1"/>
        </w:rPr>
        <w:tab/>
      </w:r>
      <w:r w:rsidRPr="004C4909">
        <w:rPr>
          <w:color w:val="000000" w:themeColor="text1"/>
        </w:rPr>
        <w:t xml:space="preserve">LS on </w:t>
      </w:r>
      <w:r w:rsidR="00F2287A" w:rsidRPr="004C4909">
        <w:rPr>
          <w:color w:val="000000" w:themeColor="text1"/>
        </w:rPr>
        <w:t>the progress of the study item on extended 600MHz NR band</w:t>
      </w:r>
    </w:p>
    <w:p w14:paraId="122ED5F3" w14:textId="1DA948B0" w:rsidR="00443646" w:rsidRPr="004C4909" w:rsidRDefault="00443646" w:rsidP="00443646">
      <w:pPr>
        <w:pStyle w:val="Title"/>
        <w:rPr>
          <w:color w:val="000000" w:themeColor="text1"/>
        </w:rPr>
      </w:pPr>
      <w:r w:rsidRPr="004C4909">
        <w:rPr>
          <w:color w:val="000000" w:themeColor="text1"/>
        </w:rPr>
        <w:t>Response to:</w:t>
      </w:r>
      <w:r w:rsidRPr="004C4909">
        <w:rPr>
          <w:color w:val="000000" w:themeColor="text1"/>
        </w:rPr>
        <w:tab/>
      </w:r>
      <w:r w:rsidR="00F705FB" w:rsidRPr="004C4909">
        <w:rPr>
          <w:color w:val="000000" w:themeColor="text1"/>
        </w:rPr>
        <w:t>-</w:t>
      </w:r>
    </w:p>
    <w:p w14:paraId="29D289B2" w14:textId="77777777" w:rsidR="00443646" w:rsidRPr="00F705FB" w:rsidRDefault="00443646" w:rsidP="00443646">
      <w:pPr>
        <w:pStyle w:val="Title"/>
        <w:rPr>
          <w:color w:val="000000" w:themeColor="text1"/>
        </w:rPr>
      </w:pPr>
      <w:r w:rsidRPr="00F705FB">
        <w:rPr>
          <w:color w:val="000000" w:themeColor="text1"/>
        </w:rPr>
        <w:t>Release:</w:t>
      </w:r>
      <w:r w:rsidRPr="00F705FB">
        <w:rPr>
          <w:color w:val="000000" w:themeColor="text1"/>
        </w:rPr>
        <w:tab/>
        <w:t>Rel-17</w:t>
      </w:r>
    </w:p>
    <w:p w14:paraId="0CF930E8" w14:textId="77777777" w:rsidR="00443646" w:rsidRPr="00F705FB" w:rsidRDefault="00443646" w:rsidP="00443646">
      <w:pPr>
        <w:pStyle w:val="Title"/>
        <w:rPr>
          <w:color w:val="000000" w:themeColor="text1"/>
        </w:rPr>
      </w:pPr>
      <w:r w:rsidRPr="00F705FB">
        <w:rPr>
          <w:color w:val="000000" w:themeColor="text1"/>
        </w:rPr>
        <w:t>Work Item:</w:t>
      </w:r>
      <w:r w:rsidRPr="00F705FB">
        <w:rPr>
          <w:color w:val="000000" w:themeColor="text1"/>
        </w:rPr>
        <w:tab/>
        <w:t xml:space="preserve">FS_NR_600MHz_ext </w:t>
      </w:r>
    </w:p>
    <w:p w14:paraId="4ED5F372" w14:textId="77777777" w:rsidR="00443646" w:rsidRPr="00F705FB" w:rsidRDefault="00443646" w:rsidP="00443646">
      <w:pPr>
        <w:spacing w:after="60"/>
        <w:ind w:left="1985" w:hanging="1985"/>
        <w:rPr>
          <w:rFonts w:ascii="Arial" w:hAnsi="Arial" w:cs="Arial"/>
          <w:b/>
          <w:color w:val="FF0000"/>
        </w:rPr>
      </w:pPr>
    </w:p>
    <w:p w14:paraId="00E93AFA" w14:textId="77777777" w:rsidR="00443646" w:rsidRPr="00F705FB" w:rsidRDefault="00443646" w:rsidP="00443646">
      <w:pPr>
        <w:pStyle w:val="Source"/>
        <w:rPr>
          <w:color w:val="000000" w:themeColor="text1"/>
        </w:rPr>
      </w:pPr>
      <w:r w:rsidRPr="00F705FB">
        <w:rPr>
          <w:color w:val="000000" w:themeColor="text1"/>
        </w:rPr>
        <w:t>Source:</w:t>
      </w:r>
      <w:r w:rsidRPr="00F705FB">
        <w:rPr>
          <w:color w:val="000000" w:themeColor="text1"/>
        </w:rPr>
        <w:tab/>
        <w:t>3GPP RAN WG4</w:t>
      </w:r>
    </w:p>
    <w:p w14:paraId="0E884524" w14:textId="17C79AC2" w:rsidR="00443646" w:rsidRPr="00F705FB" w:rsidRDefault="00443646" w:rsidP="00443646">
      <w:pPr>
        <w:pStyle w:val="Source"/>
        <w:rPr>
          <w:color w:val="000000" w:themeColor="text1"/>
        </w:rPr>
      </w:pPr>
      <w:r w:rsidRPr="00F705FB">
        <w:rPr>
          <w:color w:val="000000" w:themeColor="text1"/>
        </w:rPr>
        <w:t>To:</w:t>
      </w:r>
      <w:r w:rsidRPr="00F705FB">
        <w:rPr>
          <w:color w:val="000000" w:themeColor="text1"/>
        </w:rPr>
        <w:tab/>
        <w:t>Asia-</w:t>
      </w:r>
      <w:r w:rsidR="0041199A" w:rsidRPr="00F705FB">
        <w:rPr>
          <w:color w:val="000000" w:themeColor="text1"/>
        </w:rPr>
        <w:t>Pacific</w:t>
      </w:r>
      <w:r w:rsidRPr="00F705FB">
        <w:rPr>
          <w:color w:val="000000" w:themeColor="text1"/>
        </w:rPr>
        <w:t xml:space="preserve"> </w:t>
      </w:r>
      <w:proofErr w:type="spellStart"/>
      <w:r w:rsidRPr="00F705FB">
        <w:rPr>
          <w:color w:val="000000" w:themeColor="text1"/>
        </w:rPr>
        <w:t>Telecommunity</w:t>
      </w:r>
      <w:proofErr w:type="spellEnd"/>
      <w:r w:rsidRPr="00F705FB">
        <w:rPr>
          <w:color w:val="000000" w:themeColor="text1"/>
        </w:rPr>
        <w:t xml:space="preserve"> Wireless Group (AWG)</w:t>
      </w:r>
    </w:p>
    <w:p w14:paraId="1CD13206" w14:textId="77777777" w:rsidR="00443646" w:rsidRPr="00F705FB" w:rsidRDefault="00443646" w:rsidP="00443646">
      <w:pPr>
        <w:pStyle w:val="Source"/>
        <w:rPr>
          <w:color w:val="000000" w:themeColor="text1"/>
        </w:rPr>
      </w:pPr>
      <w:r w:rsidRPr="00F705FB">
        <w:rPr>
          <w:color w:val="000000" w:themeColor="text1"/>
        </w:rPr>
        <w:t>Cc:</w:t>
      </w:r>
      <w:r w:rsidRPr="00F705FB">
        <w:rPr>
          <w:color w:val="000000" w:themeColor="text1"/>
        </w:rPr>
        <w:tab/>
        <w:t>3GPP TSG RAN</w:t>
      </w:r>
    </w:p>
    <w:p w14:paraId="2078DB26" w14:textId="77777777" w:rsidR="00443646" w:rsidRPr="00F705FB" w:rsidRDefault="00443646" w:rsidP="00443646">
      <w:pPr>
        <w:spacing w:after="60"/>
        <w:ind w:left="1985" w:hanging="1985"/>
        <w:rPr>
          <w:rFonts w:ascii="Arial" w:hAnsi="Arial" w:cs="Arial"/>
          <w:bCs/>
          <w:color w:val="FF0000"/>
        </w:rPr>
      </w:pPr>
    </w:p>
    <w:p w14:paraId="577BFD29" w14:textId="77777777" w:rsidR="00443646" w:rsidRPr="00F705FB" w:rsidRDefault="00443646" w:rsidP="00443646">
      <w:pPr>
        <w:tabs>
          <w:tab w:val="left" w:pos="2268"/>
        </w:tabs>
        <w:rPr>
          <w:rFonts w:ascii="Arial" w:hAnsi="Arial" w:cs="Arial"/>
          <w:bCs/>
          <w:color w:val="000000" w:themeColor="text1"/>
        </w:rPr>
      </w:pPr>
      <w:r w:rsidRPr="00F705FB">
        <w:rPr>
          <w:rFonts w:ascii="Arial" w:hAnsi="Arial" w:cs="Arial"/>
          <w:b/>
          <w:color w:val="000000" w:themeColor="text1"/>
        </w:rPr>
        <w:t>Contact Person:</w:t>
      </w:r>
      <w:r w:rsidRPr="00F705FB">
        <w:rPr>
          <w:rFonts w:ascii="Arial" w:hAnsi="Arial" w:cs="Arial"/>
          <w:bCs/>
          <w:color w:val="000000" w:themeColor="text1"/>
        </w:rPr>
        <w:tab/>
      </w:r>
    </w:p>
    <w:p w14:paraId="4AABE081" w14:textId="7863ECA5" w:rsidR="00443646" w:rsidRPr="00F705FB" w:rsidRDefault="00443646" w:rsidP="00443646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F705FB">
        <w:rPr>
          <w:color w:val="000000" w:themeColor="text1"/>
        </w:rPr>
        <w:t>Name</w:t>
      </w:r>
      <w:r w:rsidR="004D4176">
        <w:rPr>
          <w:color w:val="000000" w:themeColor="text1"/>
        </w:rPr>
        <w:t>(s)</w:t>
      </w:r>
      <w:r w:rsidRPr="00F705FB">
        <w:rPr>
          <w:color w:val="000000" w:themeColor="text1"/>
        </w:rPr>
        <w:t>:</w:t>
      </w:r>
      <w:r w:rsidRPr="00F705FB">
        <w:rPr>
          <w:color w:val="000000" w:themeColor="text1"/>
        </w:rPr>
        <w:tab/>
      </w:r>
      <w:r w:rsidR="00E97AF0">
        <w:rPr>
          <w:color w:val="000000" w:themeColor="text1"/>
        </w:rPr>
        <w:t>[</w:t>
      </w:r>
      <w:r w:rsidR="004D4176">
        <w:rPr>
          <w:color w:val="000000" w:themeColor="text1"/>
        </w:rPr>
        <w:t>………….</w:t>
      </w:r>
      <w:r w:rsidR="00E97AF0">
        <w:rPr>
          <w:color w:val="000000" w:themeColor="text1"/>
        </w:rPr>
        <w:t>]</w:t>
      </w:r>
    </w:p>
    <w:p w14:paraId="3ED0857D" w14:textId="77777777" w:rsidR="00443646" w:rsidRPr="00C27A5B" w:rsidRDefault="00443646" w:rsidP="00443646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F705FB">
        <w:rPr>
          <w:color w:val="000000" w:themeColor="text1"/>
        </w:rPr>
        <w:t>Tel. Number:</w:t>
      </w:r>
      <w:r w:rsidRPr="00F705FB">
        <w:rPr>
          <w:bCs/>
          <w:color w:val="000000" w:themeColor="text1"/>
        </w:rPr>
        <w:tab/>
      </w:r>
    </w:p>
    <w:p w14:paraId="786E1C2C" w14:textId="77777777" w:rsidR="00443646" w:rsidRPr="00F705FB" w:rsidRDefault="00443646" w:rsidP="00443646">
      <w:pPr>
        <w:tabs>
          <w:tab w:val="left" w:pos="2268"/>
        </w:tabs>
        <w:rPr>
          <w:rFonts w:ascii="Arial" w:hAnsi="Arial" w:cs="Arial"/>
          <w:bCs/>
          <w:color w:val="FF0000"/>
        </w:rPr>
      </w:pPr>
      <w:r w:rsidRPr="00F705FB">
        <w:rPr>
          <w:rFonts w:ascii="Arial" w:hAnsi="Arial" w:cs="Arial"/>
          <w:b/>
          <w:color w:val="000000" w:themeColor="text1"/>
        </w:rPr>
        <w:t>Send any reply LS to:</w:t>
      </w:r>
      <w:r w:rsidRPr="00F705FB">
        <w:rPr>
          <w:rFonts w:ascii="Arial" w:hAnsi="Arial" w:cs="Arial"/>
          <w:b/>
          <w:color w:val="000000" w:themeColor="text1"/>
        </w:rPr>
        <w:tab/>
        <w:t xml:space="preserve">3GPP Liaisons Coordinator, </w:t>
      </w:r>
      <w:hyperlink r:id="rId9" w:history="1">
        <w:r w:rsidRPr="00F705FB">
          <w:rPr>
            <w:rStyle w:val="Hyperlink"/>
            <w:rFonts w:ascii="Arial" w:hAnsi="Arial" w:cs="Arial"/>
            <w:b/>
            <w:color w:val="000000" w:themeColor="text1"/>
          </w:rPr>
          <w:t>mailto:3GPPLiaison@etsi.org</w:t>
        </w:r>
      </w:hyperlink>
      <w:r w:rsidRPr="00F705FB">
        <w:rPr>
          <w:rFonts w:ascii="Arial" w:hAnsi="Arial" w:cs="Arial"/>
          <w:b/>
          <w:color w:val="FF0000"/>
        </w:rPr>
        <w:t xml:space="preserve"> </w:t>
      </w:r>
      <w:r w:rsidRPr="00F705FB">
        <w:rPr>
          <w:rFonts w:ascii="Arial" w:hAnsi="Arial" w:cs="Arial"/>
          <w:bCs/>
          <w:color w:val="FF0000"/>
        </w:rPr>
        <w:tab/>
      </w:r>
    </w:p>
    <w:p w14:paraId="7A8D58A0" w14:textId="77777777" w:rsidR="00443646" w:rsidRPr="00C27A5B" w:rsidRDefault="00443646" w:rsidP="00443646">
      <w:pPr>
        <w:rPr>
          <w:rFonts w:ascii="Arial" w:hAnsi="Arial" w:cs="Arial"/>
          <w:color w:val="000000" w:themeColor="text1"/>
        </w:rPr>
      </w:pPr>
    </w:p>
    <w:p w14:paraId="1B8DFA7F" w14:textId="77777777" w:rsidR="00443646" w:rsidRPr="004147BA" w:rsidRDefault="00443646" w:rsidP="004147BA">
      <w:pPr>
        <w:pStyle w:val="Heading2"/>
      </w:pPr>
      <w:r w:rsidRPr="004147BA">
        <w:t>1. Overall Description:</w:t>
      </w:r>
    </w:p>
    <w:p w14:paraId="71FCD854" w14:textId="6FCCED64" w:rsidR="00E103E6" w:rsidRPr="00826781" w:rsidRDefault="00EC5208" w:rsidP="00E103E6">
      <w:pPr>
        <w:rPr>
          <w:rFonts w:ascii="Arial" w:hAnsi="Arial" w:cs="Arial"/>
          <w:color w:val="000000" w:themeColor="text1"/>
        </w:rPr>
      </w:pPr>
      <w:r w:rsidRPr="00EC5208">
        <w:rPr>
          <w:rFonts w:ascii="Arial" w:hAnsi="Arial" w:cs="Arial"/>
          <w:color w:val="000000" w:themeColor="text1"/>
        </w:rPr>
        <w:t xml:space="preserve">In response to a request from APT Wireless Group on 3GPP RAN WG4 feedback on technical feasibilities of various frequency arrangements in 612 - 703 MHz frequency range, 3GPP RAN WG4 would like to inform on </w:t>
      </w:r>
      <w:r w:rsidR="00826781" w:rsidRPr="00EC5208">
        <w:rPr>
          <w:rFonts w:ascii="Arial" w:hAnsi="Arial" w:cs="Arial"/>
          <w:color w:val="000000" w:themeColor="text1"/>
        </w:rPr>
        <w:t>AWG</w:t>
      </w:r>
      <w:r w:rsidR="00E103E6" w:rsidRPr="00EC5208">
        <w:rPr>
          <w:rFonts w:ascii="Arial" w:hAnsi="Arial" w:cs="Arial"/>
          <w:color w:val="000000" w:themeColor="text1"/>
        </w:rPr>
        <w:t xml:space="preserve">, that the </w:t>
      </w:r>
      <w:r w:rsidR="000808A0" w:rsidRPr="00EC5208">
        <w:rPr>
          <w:rFonts w:ascii="Arial" w:hAnsi="Arial" w:cs="Arial"/>
          <w:color w:val="000000" w:themeColor="text1"/>
        </w:rPr>
        <w:t xml:space="preserve">3GPP Rel-17 </w:t>
      </w:r>
      <w:r w:rsidR="0069520D" w:rsidRPr="00EC5208">
        <w:rPr>
          <w:rFonts w:ascii="Arial" w:hAnsi="Arial" w:cs="Arial"/>
          <w:color w:val="000000" w:themeColor="text1"/>
        </w:rPr>
        <w:t>Study I</w:t>
      </w:r>
      <w:r w:rsidR="00E103E6" w:rsidRPr="00EC5208">
        <w:rPr>
          <w:rFonts w:ascii="Arial" w:hAnsi="Arial" w:cs="Arial"/>
          <w:color w:val="000000" w:themeColor="text1"/>
        </w:rPr>
        <w:t xml:space="preserve">tem </w:t>
      </w:r>
      <w:r w:rsidR="0069520D" w:rsidRPr="00EC5208">
        <w:rPr>
          <w:rFonts w:ascii="Arial" w:hAnsi="Arial" w:cs="Arial"/>
          <w:color w:val="000000" w:themeColor="text1"/>
        </w:rPr>
        <w:t xml:space="preserve">(SI) </w:t>
      </w:r>
      <w:r w:rsidR="00E103E6" w:rsidRPr="00EC5208">
        <w:rPr>
          <w:rFonts w:ascii="Arial" w:hAnsi="Arial" w:cs="Arial"/>
          <w:color w:val="000000" w:themeColor="text1"/>
        </w:rPr>
        <w:t>on the on extended 600MHz NR band</w:t>
      </w:r>
      <w:r w:rsidR="00826781" w:rsidRPr="00EC5208">
        <w:rPr>
          <w:rFonts w:ascii="Arial" w:hAnsi="Arial" w:cs="Arial"/>
          <w:color w:val="000000" w:themeColor="text1"/>
        </w:rPr>
        <w:t xml:space="preserve"> for APT region </w:t>
      </w:r>
      <w:r w:rsidR="00E103E6" w:rsidRPr="00EC5208">
        <w:rPr>
          <w:rFonts w:ascii="Arial" w:hAnsi="Arial" w:cs="Arial"/>
          <w:color w:val="000000" w:themeColor="text1"/>
        </w:rPr>
        <w:t xml:space="preserve">has been </w:t>
      </w:r>
      <w:r w:rsidR="00E103E6" w:rsidRPr="00826781">
        <w:rPr>
          <w:rFonts w:ascii="Arial" w:hAnsi="Arial" w:cs="Arial"/>
          <w:color w:val="000000" w:themeColor="text1"/>
        </w:rPr>
        <w:t>completed during the RAN WG4 meeting #100-e</w:t>
      </w:r>
      <w:r w:rsidR="00F6793B">
        <w:rPr>
          <w:rFonts w:ascii="Arial" w:hAnsi="Arial" w:cs="Arial"/>
          <w:color w:val="000000" w:themeColor="text1"/>
        </w:rPr>
        <w:t xml:space="preserve"> (August 2021)</w:t>
      </w:r>
      <w:r w:rsidR="00E103E6" w:rsidRPr="00826781">
        <w:rPr>
          <w:rFonts w:ascii="Arial" w:hAnsi="Arial" w:cs="Arial"/>
          <w:color w:val="000000" w:themeColor="text1"/>
        </w:rPr>
        <w:t>.</w:t>
      </w:r>
      <w:r w:rsidR="00DE15EF">
        <w:rPr>
          <w:rFonts w:ascii="Arial" w:hAnsi="Arial" w:cs="Arial"/>
          <w:color w:val="000000" w:themeColor="text1"/>
        </w:rPr>
        <w:t xml:space="preserve"> </w:t>
      </w:r>
    </w:p>
    <w:p w14:paraId="3B354F08" w14:textId="66573DAC" w:rsidR="0069520D" w:rsidRDefault="0069520D" w:rsidP="00F2287A">
      <w:pPr>
        <w:rPr>
          <w:highlight w:val="yellow"/>
          <w:lang w:val="en-NZ"/>
        </w:rPr>
      </w:pPr>
      <w:r>
        <w:rPr>
          <w:rFonts w:ascii="Arial" w:hAnsi="Arial" w:cs="Arial"/>
          <w:color w:val="000000" w:themeColor="text1"/>
        </w:rPr>
        <w:t xml:space="preserve">During </w:t>
      </w:r>
      <w:r w:rsidR="00923F0B">
        <w:rPr>
          <w:rFonts w:ascii="Arial" w:hAnsi="Arial" w:cs="Arial"/>
          <w:color w:val="000000" w:themeColor="text1"/>
        </w:rPr>
        <w:t xml:space="preserve">that </w:t>
      </w:r>
      <w:r>
        <w:rPr>
          <w:rFonts w:ascii="Arial" w:hAnsi="Arial" w:cs="Arial"/>
          <w:color w:val="000000" w:themeColor="text1"/>
        </w:rPr>
        <w:t xml:space="preserve">SI, a Technical Report (TR) was created in TR 38.860. </w:t>
      </w:r>
      <w:r w:rsidRPr="00F2287A">
        <w:rPr>
          <w:rFonts w:ascii="Arial" w:hAnsi="Arial" w:cs="Arial"/>
          <w:color w:val="000000" w:themeColor="text1"/>
        </w:rPr>
        <w:t xml:space="preserve">The TR 38.860 </w:t>
      </w:r>
      <w:r w:rsidR="000808A0">
        <w:rPr>
          <w:rFonts w:ascii="Arial" w:hAnsi="Arial" w:cs="Arial"/>
          <w:color w:val="000000" w:themeColor="text1"/>
        </w:rPr>
        <w:t xml:space="preserve">can be also found </w:t>
      </w:r>
      <w:r w:rsidRPr="00F2287A">
        <w:rPr>
          <w:rFonts w:ascii="Arial" w:hAnsi="Arial" w:cs="Arial"/>
          <w:color w:val="000000" w:themeColor="text1"/>
        </w:rPr>
        <w:t xml:space="preserve">at: </w:t>
      </w:r>
      <w:hyperlink r:id="rId10" w:history="1">
        <w:r w:rsidRPr="00E70829">
          <w:rPr>
            <w:rStyle w:val="Hyperlink"/>
            <w:rFonts w:ascii="Arial" w:hAnsi="Arial" w:cs="Arial"/>
          </w:rPr>
          <w:t>https://portal.3gpp.org/desktopmodules/Specifications/SpecificationDetails.aspx?specificationId=3893</w:t>
        </w:r>
      </w:hyperlink>
    </w:p>
    <w:p w14:paraId="5E45E45E" w14:textId="4FA94990" w:rsidR="000808A0" w:rsidRDefault="000808A0" w:rsidP="00CC57A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826781" w:rsidRPr="00826781">
        <w:rPr>
          <w:rFonts w:ascii="Arial" w:hAnsi="Arial" w:cs="Arial"/>
          <w:color w:val="000000" w:themeColor="text1"/>
        </w:rPr>
        <w:t>he TR 38.860 provides feasibility analyses f</w:t>
      </w:r>
      <w:r>
        <w:rPr>
          <w:rFonts w:ascii="Arial" w:hAnsi="Arial" w:cs="Arial"/>
          <w:color w:val="000000" w:themeColor="text1"/>
        </w:rPr>
        <w:t xml:space="preserve">or band arrangement options B1 and B2, as requested by AWG. Additionally, band arrangement </w:t>
      </w:r>
      <w:r w:rsidR="00826781" w:rsidRPr="00826781">
        <w:rPr>
          <w:rFonts w:ascii="Arial" w:hAnsi="Arial" w:cs="Arial"/>
          <w:color w:val="000000" w:themeColor="text1"/>
        </w:rPr>
        <w:t>B2a</w:t>
      </w:r>
      <w:r>
        <w:rPr>
          <w:rFonts w:ascii="Arial" w:hAnsi="Arial" w:cs="Arial"/>
          <w:color w:val="000000" w:themeColor="text1"/>
        </w:rPr>
        <w:t xml:space="preserve"> has been defined by RAN WG4 and related </w:t>
      </w:r>
      <w:r w:rsidRPr="00826781">
        <w:rPr>
          <w:rFonts w:ascii="Arial" w:hAnsi="Arial" w:cs="Arial"/>
          <w:color w:val="000000" w:themeColor="text1"/>
        </w:rPr>
        <w:t>feasibility analyses</w:t>
      </w:r>
      <w:r>
        <w:rPr>
          <w:rFonts w:ascii="Arial" w:hAnsi="Arial" w:cs="Arial"/>
          <w:color w:val="000000" w:themeColor="text1"/>
        </w:rPr>
        <w:t xml:space="preserve"> </w:t>
      </w:r>
      <w:r w:rsidR="009B1A4A">
        <w:rPr>
          <w:rFonts w:ascii="Arial" w:hAnsi="Arial" w:cs="Arial"/>
          <w:color w:val="000000" w:themeColor="text1"/>
        </w:rPr>
        <w:t xml:space="preserve">of all arrangements </w:t>
      </w:r>
      <w:r>
        <w:rPr>
          <w:rFonts w:ascii="Arial" w:hAnsi="Arial" w:cs="Arial"/>
          <w:color w:val="000000" w:themeColor="text1"/>
        </w:rPr>
        <w:t>were also captured in the TR 38.860.</w:t>
      </w:r>
    </w:p>
    <w:p w14:paraId="004842F4" w14:textId="38F67CB6" w:rsidR="00723F6F" w:rsidRPr="00723F6F" w:rsidRDefault="00723F6F" w:rsidP="004147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[</w:t>
      </w:r>
      <w:r w:rsidRPr="00B62104">
        <w:rPr>
          <w:rFonts w:ascii="Arial" w:hAnsi="Arial" w:cs="Arial"/>
          <w:color w:val="000000" w:themeColor="text1"/>
          <w:highlight w:val="yellow"/>
        </w:rPr>
        <w:t xml:space="preserve">This report will be submitted to the RAN </w:t>
      </w:r>
      <w:proofErr w:type="gramStart"/>
      <w:r w:rsidRPr="00B62104">
        <w:rPr>
          <w:rFonts w:ascii="Arial" w:hAnsi="Arial" w:cs="Arial"/>
          <w:color w:val="000000" w:themeColor="text1"/>
          <w:highlight w:val="yellow"/>
        </w:rPr>
        <w:t>meeting  13</w:t>
      </w:r>
      <w:proofErr w:type="gramEnd"/>
      <w:r w:rsidRPr="00B62104">
        <w:rPr>
          <w:rFonts w:ascii="Arial" w:hAnsi="Arial" w:cs="Arial"/>
          <w:color w:val="000000" w:themeColor="text1"/>
          <w:highlight w:val="yellow"/>
        </w:rPr>
        <w:t>- 17 September for approval].</w:t>
      </w:r>
    </w:p>
    <w:p w14:paraId="78649533" w14:textId="2D635EA2" w:rsidR="000745C6" w:rsidRDefault="00C66179" w:rsidP="000745C6">
      <w:pPr>
        <w:pStyle w:val="Heading2"/>
      </w:pPr>
      <w:r>
        <w:t xml:space="preserve">2. </w:t>
      </w:r>
      <w:r w:rsidR="000745C6">
        <w:t>Operating band and channel bandwidth</w:t>
      </w:r>
    </w:p>
    <w:p w14:paraId="45BCC38F" w14:textId="77777777" w:rsidR="000745C6" w:rsidRDefault="000745C6" w:rsidP="000745C6">
      <w:r>
        <w:t xml:space="preserve">The band plan for the extended 600 MHz NR band </w:t>
      </w:r>
      <w:proofErr w:type="gramStart"/>
      <w:r>
        <w:t>are</w:t>
      </w:r>
      <w:proofErr w:type="gramEnd"/>
      <w:r>
        <w:t xml:space="preserve"> shown below in Tables 1 to 7.  Options B1 and B2 have </w:t>
      </w:r>
      <w:r w:rsidRPr="007D5CA0">
        <w:rPr>
          <w:highlight w:val="yellow"/>
        </w:rPr>
        <w:t xml:space="preserve">[single </w:t>
      </w:r>
      <w:proofErr w:type="gramStart"/>
      <w:r w:rsidRPr="007D5CA0">
        <w:rPr>
          <w:highlight w:val="yellow"/>
        </w:rPr>
        <w:t>or ]</w:t>
      </w:r>
      <w:proofErr w:type="gramEnd"/>
      <w:r>
        <w:t xml:space="preserve"> split duplexers, partially overlapping ( in the </w:t>
      </w:r>
      <w:proofErr w:type="spellStart"/>
      <w:r>
        <w:t>later</w:t>
      </w:r>
      <w:proofErr w:type="spellEnd"/>
      <w:r>
        <w:t xml:space="preserve"> case) , but part of the same band. Option B2a has two duplexers, but one is band n71 and the other is a new band. </w:t>
      </w:r>
    </w:p>
    <w:p w14:paraId="75A70C81" w14:textId="77777777" w:rsidR="000745C6" w:rsidRDefault="000745C6" w:rsidP="000745C6">
      <w:r>
        <w:t>The Tx-Rx is "reverse-duplex"; in other words, the downlink frequency band is below the duplex gap while the uplink frequency band is above the duplex gap. This arrangement is opposite to conventional notation; however, for this band, it provides the benefit of aligning the uplink band adjacent to 3GPP band 28 thereby minimizing interference conditions at the 703 MHz boundary.</w:t>
      </w:r>
    </w:p>
    <w:p w14:paraId="24979C9D" w14:textId="77777777" w:rsidR="000745C6" w:rsidRDefault="000745C6" w:rsidP="000745C6">
      <w:pPr>
        <w:pStyle w:val="TH"/>
      </w:pPr>
      <w:bookmarkStart w:id="2" w:name="_Hlk71023975"/>
      <w:r>
        <w:t>Table 1: NR operating band (option B1)</w:t>
      </w:r>
    </w:p>
    <w:tbl>
      <w:tblPr>
        <w:tblW w:w="7650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68"/>
        <w:gridCol w:w="1226"/>
        <w:gridCol w:w="517"/>
        <w:gridCol w:w="1174"/>
        <w:gridCol w:w="1242"/>
        <w:gridCol w:w="317"/>
        <w:gridCol w:w="1200"/>
        <w:gridCol w:w="906"/>
      </w:tblGrid>
      <w:tr w:rsidR="000745C6" w14:paraId="2695B306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EE4D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Operating Band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F3CF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Uplink (UL) operating band</w:t>
            </w:r>
            <w:r>
              <w:rPr>
                <w:rFonts w:cs="Arial"/>
              </w:rPr>
              <w:br/>
              <w:t>BS receive</w:t>
            </w:r>
            <w:r>
              <w:rPr>
                <w:rFonts w:cs="Arial"/>
              </w:rPr>
              <w:br/>
              <w:t>UE transmit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455C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Downlink (DL) operating band</w:t>
            </w:r>
            <w:r>
              <w:rPr>
                <w:rFonts w:cs="Arial"/>
              </w:rPr>
              <w:br/>
              <w:t xml:space="preserve">BS transmit </w:t>
            </w:r>
            <w:r>
              <w:rPr>
                <w:rFonts w:cs="Arial"/>
              </w:rPr>
              <w:br/>
              <w:t>UE receive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A93F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 Mode</w:t>
            </w:r>
          </w:p>
        </w:tc>
      </w:tr>
      <w:tr w:rsidR="000745C6" w14:paraId="1EFBBC16" w14:textId="77777777" w:rsidTr="00045339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BE8D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0B1A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UL_high</w:t>
            </w:r>
            <w:proofErr w:type="spellEnd"/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C328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DL_high</w:t>
            </w:r>
            <w:proofErr w:type="spellEnd"/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9FC9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0745C6" w14:paraId="259B1487" w14:textId="77777777" w:rsidTr="00045339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5835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lastRenderedPageBreak/>
              <w:t>TBD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23B648" w14:textId="77777777" w:rsidR="000745C6" w:rsidRDefault="000745C6" w:rsidP="00045339">
            <w:pPr>
              <w:pStyle w:val="TAR"/>
              <w:rPr>
                <w:rFonts w:cs="Arial"/>
              </w:rPr>
            </w:pPr>
            <w:r>
              <w:rPr>
                <w:rFonts w:cs="Arial"/>
              </w:rPr>
              <w:t>663 MHz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4B781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B76A" w14:textId="77777777" w:rsidR="000745C6" w:rsidRDefault="000745C6" w:rsidP="000453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703 MHz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93865" w14:textId="77777777" w:rsidR="000745C6" w:rsidRDefault="000745C6" w:rsidP="00045339">
            <w:pPr>
              <w:pStyle w:val="TAR"/>
              <w:rPr>
                <w:rFonts w:cs="Arial"/>
              </w:rPr>
            </w:pPr>
            <w:r>
              <w:rPr>
                <w:rFonts w:cs="Arial"/>
              </w:rPr>
              <w:t>612 MHz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56132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8139" w14:textId="77777777" w:rsidR="000745C6" w:rsidRDefault="000745C6" w:rsidP="000453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652 MHz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3B2E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bookmarkEnd w:id="2"/>
    </w:tbl>
    <w:p w14:paraId="496F3717" w14:textId="77777777" w:rsidR="000745C6" w:rsidRDefault="000745C6" w:rsidP="000745C6"/>
    <w:p w14:paraId="4AA14219" w14:textId="77777777" w:rsidR="000745C6" w:rsidRDefault="000745C6" w:rsidP="000745C6">
      <w:r>
        <w:t>The above could be implemented as a single or overlapping duplexers. In case of overlapping duplexers, the following option is studied:</w:t>
      </w:r>
    </w:p>
    <w:p w14:paraId="2771A3A2" w14:textId="77777777" w:rsidR="000745C6" w:rsidRDefault="000745C6" w:rsidP="000745C6">
      <w:pPr>
        <w:pStyle w:val="TH"/>
      </w:pPr>
      <w:r>
        <w:t>Table 6.1-2: Duplexer arrangements (option B1)</w:t>
      </w:r>
    </w:p>
    <w:tbl>
      <w:tblPr>
        <w:tblW w:w="7650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68"/>
        <w:gridCol w:w="1226"/>
        <w:gridCol w:w="517"/>
        <w:gridCol w:w="1174"/>
        <w:gridCol w:w="1242"/>
        <w:gridCol w:w="317"/>
        <w:gridCol w:w="1200"/>
        <w:gridCol w:w="906"/>
      </w:tblGrid>
      <w:tr w:rsidR="000745C6" w14:paraId="22E57180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3C91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Duplexer type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61C9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Uplink (UL) operating band</w:t>
            </w:r>
            <w:r>
              <w:rPr>
                <w:rFonts w:cs="Arial"/>
              </w:rPr>
              <w:br/>
              <w:t>BS receive</w:t>
            </w:r>
            <w:r>
              <w:rPr>
                <w:rFonts w:cs="Arial"/>
              </w:rPr>
              <w:br/>
              <w:t>UE transmit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576D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Downlink (DL) operating band</w:t>
            </w:r>
            <w:r>
              <w:rPr>
                <w:rFonts w:cs="Arial"/>
              </w:rPr>
              <w:br/>
              <w:t xml:space="preserve">BS transmit </w:t>
            </w:r>
            <w:r>
              <w:rPr>
                <w:rFonts w:cs="Arial"/>
              </w:rPr>
              <w:br/>
              <w:t>UE receive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D0BB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 Mode</w:t>
            </w:r>
          </w:p>
        </w:tc>
      </w:tr>
      <w:tr w:rsidR="000745C6" w14:paraId="699DDA4E" w14:textId="77777777" w:rsidTr="00045339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EDA0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00D2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UL_high</w:t>
            </w:r>
            <w:proofErr w:type="spellEnd"/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4F21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DL_high</w:t>
            </w:r>
            <w:proofErr w:type="spellEnd"/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92D5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0745C6" w14:paraId="01A27925" w14:textId="77777777" w:rsidTr="00045339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D5F3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Full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38AF88" w14:textId="77777777" w:rsidR="000745C6" w:rsidRDefault="000745C6" w:rsidP="00045339">
            <w:pPr>
              <w:pStyle w:val="TAR"/>
              <w:rPr>
                <w:rFonts w:cs="Arial"/>
              </w:rPr>
            </w:pPr>
            <w:r>
              <w:rPr>
                <w:rFonts w:cs="Arial"/>
              </w:rPr>
              <w:t>663 MHz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2CF97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D63A" w14:textId="77777777" w:rsidR="000745C6" w:rsidRDefault="000745C6" w:rsidP="000453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703 MHz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71715E" w14:textId="77777777" w:rsidR="000745C6" w:rsidRDefault="000745C6" w:rsidP="00045339">
            <w:pPr>
              <w:pStyle w:val="TAR"/>
              <w:rPr>
                <w:rFonts w:cs="Arial"/>
              </w:rPr>
            </w:pPr>
            <w:r>
              <w:rPr>
                <w:rFonts w:cs="Arial"/>
              </w:rPr>
              <w:t>612 MHz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71E8E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0DB8" w14:textId="77777777" w:rsidR="000745C6" w:rsidRDefault="000745C6" w:rsidP="000453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652 MHz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277C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4AA26216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E43A7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35 + 35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634E3" w14:textId="77777777" w:rsidR="000745C6" w:rsidRDefault="000745C6" w:rsidP="00045339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663 - 698 MHz</w:t>
            </w:r>
          </w:p>
          <w:p w14:paraId="3F67B7E4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lang w:eastAsia="zh-CN"/>
              </w:rPr>
              <w:t>668 - 703 MHz</w:t>
            </w:r>
          </w:p>
        </w:tc>
        <w:tc>
          <w:tcPr>
            <w:tcW w:w="2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66DFD" w14:textId="77777777" w:rsidR="000745C6" w:rsidRDefault="000745C6" w:rsidP="00045339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612 - 647 MHz</w:t>
            </w:r>
          </w:p>
          <w:p w14:paraId="56B63350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lang w:eastAsia="zh-CN"/>
              </w:rPr>
              <w:t>617 - 652 MHz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6AF1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38AB5EA0" w14:textId="77777777" w:rsidTr="00045339">
        <w:trPr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CB38" w14:textId="77777777" w:rsidR="000745C6" w:rsidRDefault="000745C6" w:rsidP="00045339">
            <w:pPr>
              <w:pStyle w:val="TAC"/>
              <w:rPr>
                <w:rFonts w:cs="Arial"/>
              </w:rPr>
            </w:pPr>
          </w:p>
        </w:tc>
        <w:tc>
          <w:tcPr>
            <w:tcW w:w="29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0C64" w14:textId="77777777" w:rsidR="000745C6" w:rsidRDefault="000745C6" w:rsidP="00045339">
            <w:pPr>
              <w:pStyle w:val="TAL"/>
              <w:rPr>
                <w:rFonts w:cs="Arial"/>
              </w:rPr>
            </w:pPr>
          </w:p>
        </w:tc>
        <w:tc>
          <w:tcPr>
            <w:tcW w:w="2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B7D" w14:textId="77777777" w:rsidR="000745C6" w:rsidRDefault="000745C6" w:rsidP="00045339">
            <w:pPr>
              <w:pStyle w:val="TAL"/>
              <w:rPr>
                <w:rFonts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01A8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032DD9CB" w14:textId="77777777" w:rsidTr="00045339">
        <w:trPr>
          <w:jc w:val="center"/>
        </w:trPr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FCBD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N 71 + 25</w:t>
            </w:r>
          </w:p>
          <w:p w14:paraId="1441A59F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Dual 35+25</w:t>
            </w:r>
          </w:p>
        </w:tc>
        <w:tc>
          <w:tcPr>
            <w:tcW w:w="29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78C3" w14:textId="77777777" w:rsidR="000745C6" w:rsidRDefault="000745C6" w:rsidP="00045339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663 - 698 MHz</w:t>
            </w:r>
          </w:p>
          <w:p w14:paraId="5CD4ACED" w14:textId="77777777" w:rsidR="000745C6" w:rsidRDefault="000745C6" w:rsidP="00045339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678 - 703 MHz</w:t>
            </w:r>
          </w:p>
        </w:tc>
        <w:tc>
          <w:tcPr>
            <w:tcW w:w="27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300" w14:textId="77777777" w:rsidR="000745C6" w:rsidRDefault="000745C6" w:rsidP="00045339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617 - 652 MHz</w:t>
            </w:r>
          </w:p>
          <w:p w14:paraId="64E36E35" w14:textId="77777777" w:rsidR="000745C6" w:rsidRDefault="000745C6" w:rsidP="00045339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612 - 637 MHz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650" w:type="dxa"/>
              <w:jc w:val="center"/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0745C6" w14:paraId="3E38E5D3" w14:textId="77777777" w:rsidTr="00045339">
              <w:trPr>
                <w:jc w:val="center"/>
              </w:trPr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7E716" w14:textId="77777777" w:rsidR="000745C6" w:rsidRDefault="000745C6" w:rsidP="00045339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FDD</w:t>
                  </w:r>
                </w:p>
              </w:tc>
            </w:tr>
            <w:tr w:rsidR="000745C6" w14:paraId="481997DF" w14:textId="77777777" w:rsidTr="00045339">
              <w:trPr>
                <w:jc w:val="center"/>
              </w:trPr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59749" w14:textId="77777777" w:rsidR="000745C6" w:rsidRDefault="000745C6" w:rsidP="00045339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FDD</w:t>
                  </w:r>
                </w:p>
              </w:tc>
            </w:tr>
          </w:tbl>
          <w:p w14:paraId="18E42360" w14:textId="77777777" w:rsidR="000745C6" w:rsidRDefault="000745C6" w:rsidP="00045339">
            <w:pPr>
              <w:pStyle w:val="TAC"/>
              <w:rPr>
                <w:rFonts w:cs="Arial"/>
              </w:rPr>
            </w:pPr>
          </w:p>
        </w:tc>
      </w:tr>
      <w:tr w:rsidR="000745C6" w14:paraId="1F34E465" w14:textId="77777777" w:rsidTr="00045339">
        <w:trPr>
          <w:jc w:val="center"/>
        </w:trPr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1E7" w14:textId="77777777" w:rsidR="000745C6" w:rsidRDefault="000745C6" w:rsidP="00045339">
            <w:pPr>
              <w:pStyle w:val="TAC"/>
              <w:rPr>
                <w:rFonts w:cs="Arial"/>
              </w:rPr>
            </w:pPr>
          </w:p>
        </w:tc>
      </w:tr>
    </w:tbl>
    <w:p w14:paraId="4B2AA705" w14:textId="77777777" w:rsidR="000745C6" w:rsidRDefault="000745C6" w:rsidP="000745C6"/>
    <w:p w14:paraId="3E564ABA" w14:textId="77777777" w:rsidR="000745C6" w:rsidRDefault="000745C6" w:rsidP="000745C6">
      <w:pPr>
        <w:pStyle w:val="TH"/>
      </w:pPr>
      <w:r>
        <w:t>Table 6.1-3.: NR operating band (option B2)</w:t>
      </w:r>
    </w:p>
    <w:tbl>
      <w:tblPr>
        <w:tblW w:w="7650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68"/>
        <w:gridCol w:w="1226"/>
        <w:gridCol w:w="517"/>
        <w:gridCol w:w="1174"/>
        <w:gridCol w:w="1242"/>
        <w:gridCol w:w="317"/>
        <w:gridCol w:w="1200"/>
        <w:gridCol w:w="906"/>
      </w:tblGrid>
      <w:tr w:rsidR="000745C6" w14:paraId="28300FF6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83B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Operating Band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FDEC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Uplink (UL) operating band</w:t>
            </w:r>
            <w:r>
              <w:rPr>
                <w:rFonts w:cs="Arial"/>
              </w:rPr>
              <w:br/>
              <w:t>BS receive</w:t>
            </w:r>
            <w:r>
              <w:rPr>
                <w:rFonts w:cs="Arial"/>
              </w:rPr>
              <w:br/>
              <w:t>UE transmit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334D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Downlink (DL) operating band</w:t>
            </w:r>
            <w:r>
              <w:rPr>
                <w:rFonts w:cs="Arial"/>
              </w:rPr>
              <w:br/>
              <w:t xml:space="preserve">BS transmit </w:t>
            </w:r>
            <w:r>
              <w:rPr>
                <w:rFonts w:cs="Arial"/>
              </w:rPr>
              <w:br/>
              <w:t>UE receive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18BD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 Mode</w:t>
            </w:r>
          </w:p>
        </w:tc>
      </w:tr>
      <w:tr w:rsidR="000745C6" w14:paraId="1AD0EC9D" w14:textId="77777777" w:rsidTr="00045339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093D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3DD5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UL_high</w:t>
            </w:r>
            <w:proofErr w:type="spellEnd"/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D198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DL_high</w:t>
            </w:r>
            <w:proofErr w:type="spellEnd"/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9D6C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0745C6" w14:paraId="5DFB7C23" w14:textId="77777777" w:rsidTr="00045339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F53C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TBD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F9F376" w14:textId="77777777" w:rsidR="000745C6" w:rsidRDefault="000745C6" w:rsidP="00045339">
            <w:pPr>
              <w:pStyle w:val="TAR"/>
              <w:rPr>
                <w:rFonts w:cs="Arial"/>
              </w:rPr>
            </w:pPr>
            <w:r>
              <w:rPr>
                <w:rFonts w:cs="Arial"/>
              </w:rPr>
              <w:t>663 MHz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DC897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10B6" w14:textId="77777777" w:rsidR="000745C6" w:rsidRDefault="000745C6" w:rsidP="000453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703 MHz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EF75F" w14:textId="77777777" w:rsidR="000745C6" w:rsidRDefault="000745C6" w:rsidP="00045339">
            <w:pPr>
              <w:pStyle w:val="TAR"/>
              <w:rPr>
                <w:rFonts w:cs="Arial"/>
              </w:rPr>
            </w:pPr>
            <w:r>
              <w:rPr>
                <w:rFonts w:cs="Arial"/>
              </w:rPr>
              <w:t>612 MHz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4EEDF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C87E" w14:textId="77777777" w:rsidR="000745C6" w:rsidRDefault="000745C6" w:rsidP="000453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652 MHz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3755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1BFFADD6" w14:textId="77777777" w:rsidTr="00045339">
        <w:trPr>
          <w:jc w:val="center"/>
        </w:trPr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36C4" w14:textId="77777777" w:rsidR="000745C6" w:rsidRDefault="000745C6" w:rsidP="00045339">
            <w:pPr>
              <w:pStyle w:val="TAC"/>
              <w:rPr>
                <w:rFonts w:cs="Arial"/>
              </w:rPr>
            </w:pPr>
          </w:p>
        </w:tc>
      </w:tr>
    </w:tbl>
    <w:p w14:paraId="3ABC99CC" w14:textId="77777777" w:rsidR="000745C6" w:rsidRDefault="000745C6" w:rsidP="000745C6"/>
    <w:p w14:paraId="706503A5" w14:textId="77777777" w:rsidR="000745C6" w:rsidRDefault="000745C6" w:rsidP="000745C6">
      <w:r>
        <w:t>The above could be implemented as a single or overlapping duplexers. In case of overlapping/split duplexers, three sub options are studied.</w:t>
      </w:r>
    </w:p>
    <w:p w14:paraId="6E49B74A" w14:textId="77777777" w:rsidR="000745C6" w:rsidRDefault="000745C6" w:rsidP="000745C6">
      <w:pPr>
        <w:pStyle w:val="TH"/>
      </w:pPr>
      <w:r>
        <w:t>Table 6.1-4: Duplexer arrangements (option B2 35 + 35)</w:t>
      </w:r>
    </w:p>
    <w:tbl>
      <w:tblPr>
        <w:tblW w:w="7650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68"/>
        <w:gridCol w:w="2917"/>
        <w:gridCol w:w="2759"/>
        <w:gridCol w:w="906"/>
      </w:tblGrid>
      <w:tr w:rsidR="000745C6" w14:paraId="382D947A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96E2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Duplexer type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1F77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Uplink (UL) operating band</w:t>
            </w:r>
            <w:r>
              <w:rPr>
                <w:rFonts w:cs="Arial"/>
              </w:rPr>
              <w:br/>
              <w:t>BS receive</w:t>
            </w:r>
            <w:r>
              <w:rPr>
                <w:rFonts w:cs="Arial"/>
              </w:rPr>
              <w:br/>
              <w:t>UE transmit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D706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Downlink (DL) operating band</w:t>
            </w:r>
            <w:r>
              <w:rPr>
                <w:rFonts w:cs="Arial"/>
              </w:rPr>
              <w:br/>
              <w:t xml:space="preserve">BS transmit </w:t>
            </w:r>
            <w:r>
              <w:rPr>
                <w:rFonts w:cs="Arial"/>
              </w:rPr>
              <w:br/>
              <w:t>UE receive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BCE7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 Mode</w:t>
            </w:r>
          </w:p>
        </w:tc>
      </w:tr>
      <w:tr w:rsidR="000745C6" w14:paraId="5749BDA4" w14:textId="77777777" w:rsidTr="00045339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ECC1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930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UL_high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EE71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DL_high</w:t>
            </w:r>
            <w:proofErr w:type="spellEnd"/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543F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0745C6" w14:paraId="4BD00D7F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D24BB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Duplex 1</w:t>
            </w:r>
          </w:p>
          <w:p w14:paraId="0476DFD8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Duplex 2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2700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663 MHz – 698 MHz</w:t>
            </w:r>
          </w:p>
          <w:p w14:paraId="52C31A6B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668 MHz   – 703 MHz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95889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617MHz – 652 MHz</w:t>
            </w:r>
          </w:p>
          <w:p w14:paraId="2A263532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622MHz – 657 MHz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633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6EFA6292" w14:textId="77777777" w:rsidTr="00045339">
        <w:trPr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991B" w14:textId="77777777" w:rsidR="000745C6" w:rsidRDefault="000745C6" w:rsidP="00045339">
            <w:pPr>
              <w:pStyle w:val="TAC"/>
              <w:rPr>
                <w:rFonts w:cs="Arial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5DBB" w14:textId="77777777" w:rsidR="000745C6" w:rsidRDefault="000745C6" w:rsidP="00045339">
            <w:pPr>
              <w:pStyle w:val="TAL"/>
              <w:rPr>
                <w:rFonts w:cs="Arial"/>
              </w:rPr>
            </w:pPr>
          </w:p>
        </w:tc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5E6" w14:textId="77777777" w:rsidR="000745C6" w:rsidRDefault="000745C6" w:rsidP="00045339">
            <w:pPr>
              <w:pStyle w:val="TAL"/>
              <w:rPr>
                <w:rFonts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BD6A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3F7A86E0" w14:textId="77777777" w:rsidTr="00045339">
        <w:trPr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DCB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 xml:space="preserve">NOTE: Both </w:t>
            </w:r>
            <w:proofErr w:type="gramStart"/>
            <w:r>
              <w:rPr>
                <w:rFonts w:cs="Arial"/>
              </w:rPr>
              <w:t>duplexers  will</w:t>
            </w:r>
            <w:proofErr w:type="gramEnd"/>
            <w:r>
              <w:rPr>
                <w:rFonts w:cs="Arial"/>
              </w:rPr>
              <w:t xml:space="preserve"> be part of the same band</w:t>
            </w:r>
          </w:p>
        </w:tc>
      </w:tr>
    </w:tbl>
    <w:p w14:paraId="5A9506B5" w14:textId="77777777" w:rsidR="000745C6" w:rsidRDefault="000745C6" w:rsidP="000745C6"/>
    <w:p w14:paraId="222F2499" w14:textId="77777777" w:rsidR="000745C6" w:rsidRDefault="000745C6" w:rsidP="000745C6">
      <w:pPr>
        <w:pStyle w:val="TH"/>
      </w:pPr>
      <w:r>
        <w:t>Table 6.1-5: Duplexer arrangements (option B2 35+30)</w:t>
      </w:r>
    </w:p>
    <w:tbl>
      <w:tblPr>
        <w:tblW w:w="7650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68"/>
        <w:gridCol w:w="2917"/>
        <w:gridCol w:w="2759"/>
        <w:gridCol w:w="906"/>
      </w:tblGrid>
      <w:tr w:rsidR="000745C6" w14:paraId="556CC877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C911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Duplexer type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4F97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Uplink (UL) operating band</w:t>
            </w:r>
            <w:r>
              <w:rPr>
                <w:rFonts w:cs="Arial"/>
              </w:rPr>
              <w:br/>
              <w:t>BS receive</w:t>
            </w:r>
            <w:r>
              <w:rPr>
                <w:rFonts w:cs="Arial"/>
              </w:rPr>
              <w:br/>
              <w:t>UE transmit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3976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Downlink (DL) operating band</w:t>
            </w:r>
            <w:r>
              <w:rPr>
                <w:rFonts w:cs="Arial"/>
              </w:rPr>
              <w:br/>
              <w:t xml:space="preserve">BS transmit </w:t>
            </w:r>
            <w:r>
              <w:rPr>
                <w:rFonts w:cs="Arial"/>
              </w:rPr>
              <w:br/>
              <w:t>UE receive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2307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 Mode</w:t>
            </w:r>
          </w:p>
        </w:tc>
      </w:tr>
      <w:tr w:rsidR="000745C6" w14:paraId="3C0B96AC" w14:textId="77777777" w:rsidTr="00045339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6010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0FB2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UL_high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D6E2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DL_high</w:t>
            </w:r>
            <w:proofErr w:type="spellEnd"/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974A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0745C6" w14:paraId="7EBF72E8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02572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Duplex1</w:t>
            </w:r>
          </w:p>
          <w:p w14:paraId="51C93B8A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Duplex 2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DEEA8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663 MHz – 698 MHz</w:t>
            </w:r>
          </w:p>
          <w:p w14:paraId="3BB96E7C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673 MHz   – 703 MHz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06183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617MHz – 652 MHz</w:t>
            </w:r>
          </w:p>
          <w:p w14:paraId="7C39CFF4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627MHz – 657 MHz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D06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476EBA6E" w14:textId="77777777" w:rsidTr="00045339">
        <w:trPr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56C" w14:textId="77777777" w:rsidR="000745C6" w:rsidRDefault="000745C6" w:rsidP="00045339">
            <w:pPr>
              <w:pStyle w:val="TAC"/>
              <w:rPr>
                <w:rFonts w:cs="Arial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4C84" w14:textId="77777777" w:rsidR="000745C6" w:rsidRDefault="000745C6" w:rsidP="00045339">
            <w:pPr>
              <w:pStyle w:val="TAL"/>
              <w:rPr>
                <w:rFonts w:cs="Arial"/>
              </w:rPr>
            </w:pPr>
          </w:p>
        </w:tc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B34" w14:textId="77777777" w:rsidR="000745C6" w:rsidRDefault="000745C6" w:rsidP="00045339">
            <w:pPr>
              <w:pStyle w:val="TAL"/>
              <w:rPr>
                <w:rFonts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F6C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6C06B159" w14:textId="77777777" w:rsidTr="00045339">
        <w:trPr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F0A4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NOTE: Both duplexers will be part of the same band</w:t>
            </w:r>
          </w:p>
        </w:tc>
      </w:tr>
    </w:tbl>
    <w:p w14:paraId="57CE8137" w14:textId="77777777" w:rsidR="000745C6" w:rsidRDefault="000745C6" w:rsidP="000745C6"/>
    <w:p w14:paraId="28400BC0" w14:textId="77777777" w:rsidR="000745C6" w:rsidRDefault="000745C6" w:rsidP="000745C6">
      <w:pPr>
        <w:pStyle w:val="TH"/>
      </w:pPr>
      <w:r>
        <w:t>Table 6.1-6: Duplexer arrangements (option B2 35+25)</w:t>
      </w:r>
    </w:p>
    <w:tbl>
      <w:tblPr>
        <w:tblW w:w="7650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68"/>
        <w:gridCol w:w="2917"/>
        <w:gridCol w:w="2759"/>
        <w:gridCol w:w="906"/>
      </w:tblGrid>
      <w:tr w:rsidR="000745C6" w14:paraId="5B53CCCA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8663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Duplexer type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624D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Uplink (UL) operating band</w:t>
            </w:r>
            <w:r>
              <w:rPr>
                <w:rFonts w:cs="Arial"/>
              </w:rPr>
              <w:br/>
              <w:t>BS receive</w:t>
            </w:r>
            <w:r>
              <w:rPr>
                <w:rFonts w:cs="Arial"/>
              </w:rPr>
              <w:br/>
              <w:t>UE transmit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F1C0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Downlink (DL) operating band</w:t>
            </w:r>
            <w:r>
              <w:rPr>
                <w:rFonts w:cs="Arial"/>
              </w:rPr>
              <w:br/>
              <w:t xml:space="preserve">BS transmit </w:t>
            </w:r>
            <w:r>
              <w:rPr>
                <w:rFonts w:cs="Arial"/>
              </w:rPr>
              <w:br/>
              <w:t>UE receive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1B0E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 Mode</w:t>
            </w:r>
          </w:p>
        </w:tc>
      </w:tr>
      <w:tr w:rsidR="000745C6" w14:paraId="6A526ED9" w14:textId="77777777" w:rsidTr="00045339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4005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C31B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UL_high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9AA1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DL_high</w:t>
            </w:r>
            <w:proofErr w:type="spellEnd"/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F8B2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0745C6" w14:paraId="7D31A70A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35EC9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Duplex 1</w:t>
            </w:r>
          </w:p>
          <w:p w14:paraId="20082AB3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Duplex 2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ADB3B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663 MHz – 698 MHz</w:t>
            </w:r>
          </w:p>
          <w:p w14:paraId="5C996E34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678 MHz   – 703 MHz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59FD4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617MHz – 652 MHz</w:t>
            </w:r>
          </w:p>
          <w:p w14:paraId="0F7140D1" w14:textId="77777777" w:rsidR="000745C6" w:rsidRDefault="000745C6" w:rsidP="00045339">
            <w:pPr>
              <w:pStyle w:val="TAR"/>
              <w:jc w:val="center"/>
              <w:rPr>
                <w:rFonts w:cs="Arial"/>
              </w:rPr>
            </w:pPr>
            <w:r>
              <w:rPr>
                <w:rFonts w:cs="Arial"/>
              </w:rPr>
              <w:t>632MHz – 657 MHz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944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3F81A060" w14:textId="77777777" w:rsidTr="00045339">
        <w:trPr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1374" w14:textId="77777777" w:rsidR="000745C6" w:rsidRDefault="000745C6" w:rsidP="00045339">
            <w:pPr>
              <w:pStyle w:val="TAC"/>
              <w:rPr>
                <w:rFonts w:cs="Arial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4DD7" w14:textId="77777777" w:rsidR="000745C6" w:rsidRDefault="000745C6" w:rsidP="00045339">
            <w:pPr>
              <w:pStyle w:val="TAL"/>
              <w:rPr>
                <w:rFonts w:cs="Arial"/>
              </w:rPr>
            </w:pPr>
          </w:p>
        </w:tc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EF5" w14:textId="77777777" w:rsidR="000745C6" w:rsidRDefault="000745C6" w:rsidP="00045339">
            <w:pPr>
              <w:pStyle w:val="TAL"/>
              <w:rPr>
                <w:rFonts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C48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6FA2013A" w14:textId="77777777" w:rsidTr="00045339">
        <w:trPr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1E2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NOTE: Both duplexers will be part of the same band</w:t>
            </w:r>
          </w:p>
        </w:tc>
      </w:tr>
    </w:tbl>
    <w:p w14:paraId="3515FE17" w14:textId="77777777" w:rsidR="000745C6" w:rsidRDefault="000745C6" w:rsidP="000745C6"/>
    <w:p w14:paraId="27C1811D" w14:textId="77777777" w:rsidR="000745C6" w:rsidRDefault="000745C6" w:rsidP="000745C6"/>
    <w:p w14:paraId="4582F752" w14:textId="77777777" w:rsidR="000745C6" w:rsidRDefault="000745C6" w:rsidP="000745C6">
      <w:pPr>
        <w:pStyle w:val="TH"/>
      </w:pPr>
      <w:r>
        <w:t xml:space="preserve">Table 6.1-7: NR operating bands (option B2a) </w:t>
      </w:r>
    </w:p>
    <w:tbl>
      <w:tblPr>
        <w:tblW w:w="7650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68"/>
        <w:gridCol w:w="1226"/>
        <w:gridCol w:w="517"/>
        <w:gridCol w:w="1174"/>
        <w:gridCol w:w="1242"/>
        <w:gridCol w:w="317"/>
        <w:gridCol w:w="1200"/>
        <w:gridCol w:w="906"/>
      </w:tblGrid>
      <w:tr w:rsidR="000745C6" w14:paraId="0201CBEB" w14:textId="77777777" w:rsidTr="00045339">
        <w:trPr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F10F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Operating Bands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B859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Uplink (UL) operating band</w:t>
            </w:r>
            <w:r>
              <w:rPr>
                <w:rFonts w:cs="Arial"/>
              </w:rPr>
              <w:br/>
              <w:t>BS receive</w:t>
            </w:r>
            <w:r>
              <w:rPr>
                <w:rFonts w:cs="Arial"/>
              </w:rPr>
              <w:br/>
              <w:t>UE transmit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F764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Downlink (DL) operating band</w:t>
            </w:r>
            <w:r>
              <w:rPr>
                <w:rFonts w:cs="Arial"/>
              </w:rPr>
              <w:br/>
              <w:t xml:space="preserve">BS transmit </w:t>
            </w:r>
            <w:r>
              <w:rPr>
                <w:rFonts w:cs="Arial"/>
              </w:rPr>
              <w:br/>
              <w:t>UE receive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6EA0" w14:textId="77777777" w:rsidR="000745C6" w:rsidRDefault="000745C6" w:rsidP="00045339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Duplex Mode</w:t>
            </w:r>
          </w:p>
        </w:tc>
      </w:tr>
      <w:tr w:rsidR="000745C6" w14:paraId="1F0DFA8C" w14:textId="77777777" w:rsidTr="00045339">
        <w:trPr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970B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3BF7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UL_high</w:t>
            </w:r>
            <w:proofErr w:type="spellEnd"/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61B3" w14:textId="77777777" w:rsidR="000745C6" w:rsidRDefault="000745C6" w:rsidP="00045339">
            <w:pPr>
              <w:pStyle w:val="TA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DL_low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>
              <w:rPr>
                <w:rFonts w:cs="Arial"/>
              </w:rPr>
              <w:t>F</w:t>
            </w:r>
            <w:r>
              <w:rPr>
                <w:rFonts w:cs="Arial"/>
                <w:vertAlign w:val="subscript"/>
              </w:rPr>
              <w:t>DL_high</w:t>
            </w:r>
            <w:proofErr w:type="spellEnd"/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EA52" w14:textId="77777777" w:rsidR="000745C6" w:rsidRDefault="000745C6" w:rsidP="00045339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0745C6" w14:paraId="5982873C" w14:textId="77777777" w:rsidTr="00045339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8D85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n71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AF1E27" w14:textId="77777777" w:rsidR="000745C6" w:rsidRDefault="000745C6" w:rsidP="00045339">
            <w:pPr>
              <w:pStyle w:val="TAR"/>
              <w:rPr>
                <w:rFonts w:cs="Arial"/>
              </w:rPr>
            </w:pPr>
            <w:r>
              <w:rPr>
                <w:rFonts w:cs="Arial"/>
              </w:rPr>
              <w:t>663 MHz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49B4E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D0B5" w14:textId="77777777" w:rsidR="000745C6" w:rsidRDefault="000745C6" w:rsidP="000453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698 MHz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193A2" w14:textId="77777777" w:rsidR="000745C6" w:rsidRDefault="000745C6" w:rsidP="00045339">
            <w:pPr>
              <w:pStyle w:val="TAR"/>
              <w:rPr>
                <w:rFonts w:cs="Arial"/>
              </w:rPr>
            </w:pPr>
            <w:r>
              <w:rPr>
                <w:rFonts w:cs="Arial"/>
              </w:rPr>
              <w:t>617 MHz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98C90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A91" w14:textId="77777777" w:rsidR="000745C6" w:rsidRDefault="000745C6" w:rsidP="000453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652 MHz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A6BD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4A1AAE26" w14:textId="77777777" w:rsidTr="00045339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C2F" w14:textId="77777777" w:rsidR="000745C6" w:rsidRDefault="000745C6" w:rsidP="00045339">
            <w:pPr>
              <w:pStyle w:val="TAC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nX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98CCA" w14:textId="77777777" w:rsidR="000745C6" w:rsidRDefault="000745C6" w:rsidP="00045339">
            <w:pPr>
              <w:pStyle w:val="TAR"/>
              <w:rPr>
                <w:rFonts w:cs="Arial"/>
              </w:rPr>
            </w:pPr>
            <w:r>
              <w:rPr>
                <w:rFonts w:cs="Arial"/>
              </w:rPr>
              <w:t>673 MHz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AE2A6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B5CD" w14:textId="77777777" w:rsidR="000745C6" w:rsidRDefault="000745C6" w:rsidP="000453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703 MHz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C357D" w14:textId="77777777" w:rsidR="000745C6" w:rsidRDefault="000745C6" w:rsidP="00045339">
            <w:pPr>
              <w:pStyle w:val="TAR"/>
              <w:rPr>
                <w:rFonts w:cs="Arial"/>
              </w:rPr>
            </w:pPr>
            <w:r>
              <w:rPr>
                <w:rFonts w:cs="Arial"/>
              </w:rPr>
              <w:t>627 MHz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CE935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6635" w14:textId="77777777" w:rsidR="000745C6" w:rsidRDefault="000745C6" w:rsidP="000453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657 MHz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B76" w14:textId="77777777" w:rsidR="000745C6" w:rsidRDefault="000745C6" w:rsidP="0004533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0745C6" w14:paraId="67456D95" w14:textId="77777777" w:rsidTr="00045339">
        <w:trPr>
          <w:jc w:val="center"/>
        </w:trPr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D14D" w14:textId="77777777" w:rsidR="000745C6" w:rsidRDefault="000745C6" w:rsidP="00045339">
            <w:pPr>
              <w:pStyle w:val="TAC"/>
              <w:rPr>
                <w:rFonts w:cs="Arial"/>
              </w:rPr>
            </w:pPr>
            <w:proofErr w:type="gramStart"/>
            <w:r>
              <w:rPr>
                <w:rFonts w:cs="Arial"/>
              </w:rPr>
              <w:t>NOTE :</w:t>
            </w:r>
            <w:proofErr w:type="gramEnd"/>
            <w:r>
              <w:rPr>
                <w:rFonts w:cs="Arial"/>
              </w:rPr>
              <w:t xml:space="preserve"> These are two bands, band n71 plus band </w:t>
            </w:r>
            <w:proofErr w:type="spellStart"/>
            <w:r>
              <w:rPr>
                <w:rFonts w:cs="Arial"/>
              </w:rPr>
              <w:t>nX</w:t>
            </w:r>
            <w:proofErr w:type="spellEnd"/>
            <w:r>
              <w:rPr>
                <w:rFonts w:cs="Arial"/>
              </w:rPr>
              <w:t>. A UE that complies with NR requirements in this specification shall also comply with NR Band 71 minimum requirements</w:t>
            </w:r>
          </w:p>
        </w:tc>
      </w:tr>
    </w:tbl>
    <w:p w14:paraId="6D89DBA5" w14:textId="77777777" w:rsidR="000745C6" w:rsidRDefault="000745C6" w:rsidP="000745C6"/>
    <w:p w14:paraId="2D9ED33D" w14:textId="49E6A286" w:rsidR="004147BA" w:rsidRDefault="00C66179" w:rsidP="004147BA">
      <w:pPr>
        <w:pStyle w:val="Header"/>
        <w:rPr>
          <w:b w:val="0"/>
          <w:noProof w:val="0"/>
          <w:sz w:val="32"/>
        </w:rPr>
      </w:pPr>
      <w:r w:rsidRPr="00C66179">
        <w:rPr>
          <w:b w:val="0"/>
          <w:noProof w:val="0"/>
          <w:sz w:val="32"/>
        </w:rPr>
        <w:t>3. Summary of findings</w:t>
      </w:r>
    </w:p>
    <w:p w14:paraId="2FF5D5C8" w14:textId="4E11574B" w:rsidR="00404728" w:rsidRPr="00C66179" w:rsidRDefault="00404728" w:rsidP="004147BA">
      <w:pPr>
        <w:pStyle w:val="Header"/>
        <w:rPr>
          <w:b w:val="0"/>
          <w:noProof w:val="0"/>
          <w:sz w:val="32"/>
        </w:rPr>
      </w:pPr>
    </w:p>
    <w:p w14:paraId="628DE3AF" w14:textId="0FDCD000" w:rsidR="000745C6" w:rsidRDefault="00C66179" w:rsidP="004147BA">
      <w:pPr>
        <w:pStyle w:val="Header"/>
        <w:rPr>
          <w:rFonts w:cs="Arial"/>
          <w:color w:val="000000"/>
        </w:rPr>
      </w:pPr>
      <w:r w:rsidRPr="00F61C57">
        <w:rPr>
          <w:rFonts w:cs="Arial"/>
          <w:color w:val="000000"/>
          <w:highlight w:val="yellow"/>
        </w:rPr>
        <w:t>[</w:t>
      </w:r>
      <w:r w:rsidR="00404728" w:rsidRPr="00F61C57">
        <w:rPr>
          <w:rFonts w:cs="Arial"/>
          <w:color w:val="000000"/>
          <w:highlight w:val="yellow"/>
        </w:rPr>
        <w:t>Editor : Do we need th</w:t>
      </w:r>
      <w:r w:rsidR="00F61C57" w:rsidRPr="00F61C57">
        <w:rPr>
          <w:rFonts w:cs="Arial"/>
          <w:color w:val="000000"/>
          <w:highlight w:val="yellow"/>
        </w:rPr>
        <w:t xml:space="preserve">is section ? , if so this can only be </w:t>
      </w:r>
      <w:r w:rsidRPr="00F61C57">
        <w:rPr>
          <w:rFonts w:cs="Arial"/>
          <w:color w:val="000000"/>
          <w:highlight w:val="yellow"/>
        </w:rPr>
        <w:t xml:space="preserve">be added once the </w:t>
      </w:r>
      <w:r w:rsidR="00404728" w:rsidRPr="00F61C57">
        <w:rPr>
          <w:rFonts w:cs="Arial"/>
          <w:color w:val="000000"/>
          <w:highlight w:val="yellow"/>
        </w:rPr>
        <w:t>summary/conclusions are agreed]</w:t>
      </w:r>
      <w:r w:rsidR="00404728">
        <w:rPr>
          <w:rFonts w:cs="Arial"/>
          <w:color w:val="000000"/>
        </w:rPr>
        <w:t xml:space="preserve"> </w:t>
      </w:r>
    </w:p>
    <w:p w14:paraId="40564D77" w14:textId="77777777" w:rsidR="00404728" w:rsidRDefault="00404728" w:rsidP="004147BA">
      <w:pPr>
        <w:pStyle w:val="Header"/>
        <w:rPr>
          <w:rFonts w:cs="Arial"/>
          <w:color w:val="000000"/>
        </w:rPr>
      </w:pPr>
    </w:p>
    <w:p w14:paraId="3AF65FB9" w14:textId="1D773909" w:rsidR="00AA3870" w:rsidRPr="00145BBC" w:rsidRDefault="00D20B56" w:rsidP="004147BA">
      <w:pPr>
        <w:pStyle w:val="Header"/>
        <w:rPr>
          <w:b w:val="0"/>
          <w:noProof w:val="0"/>
          <w:sz w:val="32"/>
        </w:rPr>
      </w:pPr>
      <w:r>
        <w:rPr>
          <w:rFonts w:cs="Arial"/>
          <w:b w:val="0"/>
          <w:noProof w:val="0"/>
          <w:color w:val="000000"/>
          <w:sz w:val="20"/>
        </w:rPr>
        <w:t>[</w:t>
      </w:r>
      <w:r w:rsidR="00145BBC">
        <w:rPr>
          <w:b w:val="0"/>
          <w:noProof w:val="0"/>
          <w:sz w:val="32"/>
        </w:rPr>
        <w:t>4</w:t>
      </w:r>
      <w:r w:rsidR="00AA3870" w:rsidRPr="00145BBC">
        <w:rPr>
          <w:b w:val="0"/>
          <w:noProof w:val="0"/>
          <w:sz w:val="32"/>
        </w:rPr>
        <w:t>.0 Further work</w:t>
      </w:r>
      <w:r>
        <w:rPr>
          <w:b w:val="0"/>
          <w:noProof w:val="0"/>
          <w:sz w:val="32"/>
        </w:rPr>
        <w:t>]</w:t>
      </w:r>
    </w:p>
    <w:p w14:paraId="4013062B" w14:textId="2860F3E6" w:rsidR="00AA3870" w:rsidRDefault="00AA3870" w:rsidP="004147BA">
      <w:pPr>
        <w:pStyle w:val="Header"/>
        <w:rPr>
          <w:rFonts w:cs="Arial"/>
          <w:b w:val="0"/>
          <w:noProof w:val="0"/>
          <w:color w:val="000000"/>
          <w:sz w:val="20"/>
          <w:highlight w:val="yellow"/>
        </w:rPr>
      </w:pPr>
    </w:p>
    <w:p w14:paraId="2A797C4C" w14:textId="0DC79433" w:rsidR="00B10F4E" w:rsidRPr="00AA3870" w:rsidRDefault="00B10F4E" w:rsidP="004147BA">
      <w:pPr>
        <w:pStyle w:val="Header"/>
        <w:rPr>
          <w:rFonts w:cs="Arial"/>
          <w:b w:val="0"/>
          <w:noProof w:val="0"/>
          <w:color w:val="000000"/>
          <w:sz w:val="20"/>
          <w:highlight w:val="yellow"/>
        </w:rPr>
      </w:pPr>
      <w:r>
        <w:rPr>
          <w:rFonts w:cs="Arial"/>
          <w:b w:val="0"/>
          <w:noProof w:val="0"/>
          <w:color w:val="000000"/>
          <w:sz w:val="20"/>
          <w:highlight w:val="yellow"/>
        </w:rPr>
        <w:t>[</w:t>
      </w:r>
      <w:proofErr w:type="gramStart"/>
      <w:r>
        <w:rPr>
          <w:rFonts w:cs="Arial"/>
          <w:b w:val="0"/>
          <w:noProof w:val="0"/>
          <w:color w:val="000000"/>
          <w:sz w:val="20"/>
          <w:highlight w:val="yellow"/>
        </w:rPr>
        <w:t>Editor ]</w:t>
      </w:r>
      <w:proofErr w:type="gramEnd"/>
    </w:p>
    <w:p w14:paraId="7ED1C950" w14:textId="77777777" w:rsidR="00B10F4E" w:rsidRDefault="00B10F4E" w:rsidP="004147BA">
      <w:pPr>
        <w:pStyle w:val="Header"/>
        <w:rPr>
          <w:rFonts w:cs="Arial"/>
          <w:b w:val="0"/>
          <w:noProof w:val="0"/>
          <w:color w:val="000000"/>
          <w:sz w:val="20"/>
          <w:highlight w:val="yellow"/>
        </w:rPr>
      </w:pPr>
    </w:p>
    <w:p w14:paraId="1FCC1622" w14:textId="1838DD68" w:rsidR="00AA3870" w:rsidRPr="00AA3870" w:rsidRDefault="00B10F4E" w:rsidP="004147BA">
      <w:pPr>
        <w:pStyle w:val="Header"/>
        <w:rPr>
          <w:rFonts w:cs="Arial"/>
          <w:b w:val="0"/>
          <w:noProof w:val="0"/>
          <w:color w:val="000000"/>
          <w:sz w:val="20"/>
          <w:highlight w:val="yellow"/>
        </w:rPr>
      </w:pPr>
      <w:r>
        <w:rPr>
          <w:rFonts w:cs="Arial"/>
          <w:b w:val="0"/>
          <w:noProof w:val="0"/>
          <w:color w:val="000000"/>
          <w:sz w:val="20"/>
          <w:highlight w:val="yellow"/>
        </w:rPr>
        <w:t>[</w:t>
      </w:r>
      <w:r w:rsidR="004D2476">
        <w:rPr>
          <w:rFonts w:cs="Arial"/>
          <w:b w:val="0"/>
          <w:noProof w:val="0"/>
          <w:color w:val="000000"/>
          <w:sz w:val="20"/>
          <w:highlight w:val="yellow"/>
        </w:rPr>
        <w:t xml:space="preserve"> This section could identify further </w:t>
      </w:r>
      <w:proofErr w:type="gramStart"/>
      <w:r w:rsidR="004D2476">
        <w:rPr>
          <w:rFonts w:cs="Arial"/>
          <w:b w:val="0"/>
          <w:noProof w:val="0"/>
          <w:color w:val="000000"/>
          <w:sz w:val="20"/>
          <w:highlight w:val="yellow"/>
        </w:rPr>
        <w:t>work flow</w:t>
      </w:r>
      <w:proofErr w:type="gramEnd"/>
      <w:r w:rsidR="004D2476">
        <w:rPr>
          <w:rFonts w:cs="Arial"/>
          <w:b w:val="0"/>
          <w:noProof w:val="0"/>
          <w:color w:val="000000"/>
          <w:sz w:val="20"/>
          <w:highlight w:val="yellow"/>
        </w:rPr>
        <w:t xml:space="preserve"> in 3GPP</w:t>
      </w:r>
      <w:r>
        <w:rPr>
          <w:rFonts w:cs="Arial"/>
          <w:b w:val="0"/>
          <w:noProof w:val="0"/>
          <w:color w:val="000000"/>
          <w:sz w:val="20"/>
          <w:highlight w:val="yellow"/>
        </w:rPr>
        <w:t>]</w:t>
      </w:r>
    </w:p>
    <w:p w14:paraId="0ADEBF7C" w14:textId="77777777" w:rsidR="00B10F4E" w:rsidRDefault="00B10F4E" w:rsidP="004147BA">
      <w:pPr>
        <w:spacing w:after="120"/>
        <w:rPr>
          <w:rFonts w:ascii="Arial" w:hAnsi="Arial" w:cs="Arial"/>
          <w:b/>
          <w:color w:val="000000"/>
        </w:rPr>
      </w:pPr>
    </w:p>
    <w:p w14:paraId="411A8814" w14:textId="25E986A2" w:rsidR="004147BA" w:rsidRPr="00145BBC" w:rsidRDefault="00B10F4E" w:rsidP="004147BA">
      <w:pPr>
        <w:spacing w:after="120"/>
        <w:rPr>
          <w:rFonts w:ascii="Arial" w:hAnsi="Arial"/>
          <w:sz w:val="32"/>
        </w:rPr>
      </w:pPr>
      <w:r w:rsidRPr="00145BBC">
        <w:rPr>
          <w:rFonts w:ascii="Arial" w:hAnsi="Arial"/>
          <w:sz w:val="32"/>
        </w:rPr>
        <w:t>6</w:t>
      </w:r>
      <w:r w:rsidR="004147BA" w:rsidRPr="00145BBC">
        <w:rPr>
          <w:rFonts w:ascii="Arial" w:hAnsi="Arial"/>
          <w:sz w:val="32"/>
        </w:rPr>
        <w:t>. Actions:</w:t>
      </w:r>
    </w:p>
    <w:p w14:paraId="31E34B99" w14:textId="77777777" w:rsidR="004147BA" w:rsidRDefault="004147BA" w:rsidP="004147BA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None</w:t>
      </w:r>
    </w:p>
    <w:p w14:paraId="2B156284" w14:textId="79FE3E9C" w:rsidR="00F42308" w:rsidRDefault="00F42308" w:rsidP="00443646">
      <w:pPr>
        <w:spacing w:after="120"/>
        <w:rPr>
          <w:rFonts w:ascii="Arial" w:hAnsi="Arial" w:cs="Arial"/>
          <w:b/>
          <w:color w:val="000000" w:themeColor="text1"/>
        </w:rPr>
      </w:pPr>
    </w:p>
    <w:p w14:paraId="24691DE8" w14:textId="300E37A4" w:rsidR="00443646" w:rsidRPr="00F705FB" w:rsidRDefault="00E16E02" w:rsidP="00443646">
      <w:pPr>
        <w:spacing w:after="12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6</w:t>
      </w:r>
      <w:r w:rsidR="00443646" w:rsidRPr="00F705FB">
        <w:rPr>
          <w:rFonts w:ascii="Arial" w:hAnsi="Arial" w:cs="Arial"/>
          <w:b/>
          <w:color w:val="000000" w:themeColor="text1"/>
        </w:rPr>
        <w:t>. Date of Next RAN WG4 Meetings:</w:t>
      </w:r>
    </w:p>
    <w:p w14:paraId="6FAD1AAE" w14:textId="6045BFD5" w:rsidR="00443646" w:rsidRPr="00F705FB" w:rsidRDefault="00F705FB" w:rsidP="0044364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F705FB">
        <w:rPr>
          <w:rFonts w:ascii="Arial" w:hAnsi="Arial" w:cs="Arial"/>
          <w:bCs/>
          <w:color w:val="000000" w:themeColor="text1"/>
        </w:rPr>
        <w:t>RAN WG4 Meeting #101</w:t>
      </w:r>
      <w:r w:rsidR="00443646" w:rsidRPr="00F705FB">
        <w:rPr>
          <w:rFonts w:ascii="Arial" w:hAnsi="Arial" w:cs="Arial"/>
          <w:bCs/>
          <w:color w:val="000000" w:themeColor="text1"/>
        </w:rPr>
        <w:t>-</w:t>
      </w:r>
      <w:r w:rsidRPr="00F705FB">
        <w:rPr>
          <w:rFonts w:ascii="Arial" w:hAnsi="Arial" w:cs="Arial"/>
          <w:bCs/>
          <w:color w:val="000000" w:themeColor="text1"/>
        </w:rPr>
        <w:t xml:space="preserve">e </w:t>
      </w:r>
      <w:r w:rsidRPr="00F705FB">
        <w:rPr>
          <w:rFonts w:ascii="Arial" w:hAnsi="Arial" w:cs="Arial"/>
          <w:bCs/>
          <w:color w:val="000000" w:themeColor="text1"/>
        </w:rPr>
        <w:tab/>
        <w:t>1st</w:t>
      </w:r>
      <w:r w:rsidR="00443646" w:rsidRPr="00F705FB">
        <w:rPr>
          <w:rFonts w:ascii="Arial" w:hAnsi="Arial" w:cs="Arial"/>
          <w:bCs/>
          <w:color w:val="000000" w:themeColor="text1"/>
        </w:rPr>
        <w:t xml:space="preserve"> – </w:t>
      </w:r>
      <w:r w:rsidRPr="00F705FB">
        <w:rPr>
          <w:rFonts w:ascii="Arial" w:hAnsi="Arial" w:cs="Arial"/>
          <w:bCs/>
          <w:color w:val="000000" w:themeColor="text1"/>
        </w:rPr>
        <w:t>1</w:t>
      </w:r>
      <w:r w:rsidR="00443646" w:rsidRPr="00F705FB">
        <w:rPr>
          <w:rFonts w:ascii="Arial" w:hAnsi="Arial" w:cs="Arial"/>
          <w:bCs/>
          <w:color w:val="000000" w:themeColor="text1"/>
        </w:rPr>
        <w:t xml:space="preserve">2th </w:t>
      </w:r>
      <w:r w:rsidRPr="00F705FB">
        <w:rPr>
          <w:rFonts w:ascii="Arial" w:hAnsi="Arial" w:cs="Arial"/>
          <w:bCs/>
          <w:color w:val="000000" w:themeColor="text1"/>
        </w:rPr>
        <w:t>November</w:t>
      </w:r>
      <w:r w:rsidR="00443646" w:rsidRPr="00F705FB">
        <w:rPr>
          <w:rFonts w:ascii="Arial" w:hAnsi="Arial" w:cs="Arial"/>
          <w:bCs/>
          <w:color w:val="000000" w:themeColor="text1"/>
        </w:rPr>
        <w:t xml:space="preserve"> 2021</w:t>
      </w:r>
      <w:r w:rsidR="00443646" w:rsidRPr="00F705FB">
        <w:rPr>
          <w:rFonts w:ascii="Arial" w:hAnsi="Arial" w:cs="Arial"/>
          <w:bCs/>
          <w:color w:val="000000" w:themeColor="text1"/>
        </w:rPr>
        <w:tab/>
      </w:r>
      <w:r w:rsidR="00443646" w:rsidRPr="00F705FB">
        <w:rPr>
          <w:rFonts w:ascii="Arial" w:hAnsi="Arial" w:cs="Arial"/>
          <w:bCs/>
          <w:color w:val="000000" w:themeColor="text1"/>
        </w:rPr>
        <w:tab/>
        <w:t>Online meeting</w:t>
      </w:r>
    </w:p>
    <w:p w14:paraId="5EE57766" w14:textId="1542E605" w:rsidR="00443646" w:rsidRPr="00F705FB" w:rsidRDefault="00F705FB" w:rsidP="0044364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F705FB">
        <w:rPr>
          <w:rFonts w:ascii="Arial" w:hAnsi="Arial" w:cs="Arial"/>
          <w:bCs/>
          <w:color w:val="000000" w:themeColor="text1"/>
        </w:rPr>
        <w:t>RAN WG4 Meeting #102</w:t>
      </w:r>
      <w:r w:rsidR="00443646" w:rsidRPr="00F705FB">
        <w:rPr>
          <w:rFonts w:ascii="Arial" w:hAnsi="Arial" w:cs="Arial"/>
          <w:bCs/>
          <w:color w:val="000000" w:themeColor="text1"/>
        </w:rPr>
        <w:tab/>
      </w:r>
      <w:r w:rsidR="00480C3C" w:rsidRPr="00F705FB">
        <w:rPr>
          <w:rFonts w:ascii="Arial" w:hAnsi="Arial" w:cs="Arial"/>
          <w:bCs/>
          <w:color w:val="000000" w:themeColor="text1"/>
        </w:rPr>
        <w:tab/>
      </w:r>
      <w:r w:rsidRPr="00F705FB">
        <w:rPr>
          <w:rFonts w:ascii="Arial" w:hAnsi="Arial" w:cs="Arial"/>
          <w:bCs/>
          <w:color w:val="000000" w:themeColor="text1"/>
        </w:rPr>
        <w:t>21st</w:t>
      </w:r>
      <w:r w:rsidR="00443646" w:rsidRPr="00F705FB">
        <w:rPr>
          <w:rFonts w:ascii="Arial" w:hAnsi="Arial" w:cs="Arial"/>
          <w:bCs/>
          <w:color w:val="000000" w:themeColor="text1"/>
        </w:rPr>
        <w:t xml:space="preserve"> – 2</w:t>
      </w:r>
      <w:r w:rsidRPr="00F705FB">
        <w:rPr>
          <w:rFonts w:ascii="Arial" w:hAnsi="Arial" w:cs="Arial"/>
          <w:bCs/>
          <w:color w:val="000000" w:themeColor="text1"/>
        </w:rPr>
        <w:t>5</w:t>
      </w:r>
      <w:r w:rsidR="00443646" w:rsidRPr="00F705FB">
        <w:rPr>
          <w:rFonts w:ascii="Arial" w:hAnsi="Arial" w:cs="Arial"/>
          <w:bCs/>
          <w:color w:val="000000" w:themeColor="text1"/>
        </w:rPr>
        <w:t xml:space="preserve">th </w:t>
      </w:r>
      <w:r w:rsidRPr="00F705FB">
        <w:rPr>
          <w:rFonts w:ascii="Arial" w:hAnsi="Arial" w:cs="Arial"/>
          <w:bCs/>
          <w:color w:val="000000" w:themeColor="text1"/>
        </w:rPr>
        <w:t xml:space="preserve">February </w:t>
      </w:r>
      <w:r w:rsidR="00443646" w:rsidRPr="00F705FB">
        <w:rPr>
          <w:rFonts w:ascii="Arial" w:hAnsi="Arial" w:cs="Arial"/>
          <w:bCs/>
          <w:color w:val="000000" w:themeColor="text1"/>
        </w:rPr>
        <w:t>2021</w:t>
      </w:r>
      <w:r w:rsidR="00443646" w:rsidRPr="00F705FB">
        <w:rPr>
          <w:rFonts w:ascii="Arial" w:hAnsi="Arial" w:cs="Arial"/>
          <w:bCs/>
          <w:color w:val="000000" w:themeColor="text1"/>
        </w:rPr>
        <w:tab/>
      </w:r>
      <w:r w:rsidR="00443646" w:rsidRPr="00F705FB">
        <w:rPr>
          <w:rFonts w:ascii="Arial" w:hAnsi="Arial" w:cs="Arial"/>
          <w:bCs/>
          <w:color w:val="000000" w:themeColor="text1"/>
        </w:rPr>
        <w:tab/>
      </w:r>
      <w:r w:rsidRPr="00F705FB">
        <w:rPr>
          <w:rFonts w:ascii="Arial" w:hAnsi="Arial" w:cs="Arial"/>
          <w:bCs/>
          <w:color w:val="000000" w:themeColor="text1"/>
        </w:rPr>
        <w:t>Athens, Greece</w:t>
      </w:r>
    </w:p>
    <w:sectPr w:rsidR="00443646" w:rsidRPr="00F705F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BF3EA" w14:textId="77777777" w:rsidR="007F10AB" w:rsidRDefault="007F10AB">
      <w:r>
        <w:separator/>
      </w:r>
    </w:p>
  </w:endnote>
  <w:endnote w:type="continuationSeparator" w:id="0">
    <w:p w14:paraId="5BD73314" w14:textId="77777777" w:rsidR="007F10AB" w:rsidRDefault="007F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00C01" w14:textId="77777777" w:rsidR="007F10AB" w:rsidRDefault="007F10AB">
      <w:r>
        <w:separator/>
      </w:r>
    </w:p>
  </w:footnote>
  <w:footnote w:type="continuationSeparator" w:id="0">
    <w:p w14:paraId="4A2ABFF8" w14:textId="77777777" w:rsidR="007F10AB" w:rsidRDefault="007F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73DA"/>
    <w:multiLevelType w:val="hybridMultilevel"/>
    <w:tmpl w:val="9ADA4194"/>
    <w:lvl w:ilvl="0" w:tplc="78A00896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21C34"/>
    <w:multiLevelType w:val="hybridMultilevel"/>
    <w:tmpl w:val="668EC87A"/>
    <w:lvl w:ilvl="0" w:tplc="327AEB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3C61"/>
    <w:multiLevelType w:val="hybridMultilevel"/>
    <w:tmpl w:val="25CE9FCC"/>
    <w:lvl w:ilvl="0" w:tplc="D752EE7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3ED"/>
    <w:multiLevelType w:val="hybridMultilevel"/>
    <w:tmpl w:val="4686F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A0DC3"/>
    <w:multiLevelType w:val="hybridMultilevel"/>
    <w:tmpl w:val="2452E834"/>
    <w:lvl w:ilvl="0" w:tplc="9D427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F4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F13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6C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6D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3AC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E43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A9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48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840369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9E3"/>
    <w:multiLevelType w:val="hybridMultilevel"/>
    <w:tmpl w:val="7C24E178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F6C74"/>
    <w:multiLevelType w:val="hybridMultilevel"/>
    <w:tmpl w:val="85F0C4CE"/>
    <w:lvl w:ilvl="0" w:tplc="E52663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A3383"/>
    <w:multiLevelType w:val="hybridMultilevel"/>
    <w:tmpl w:val="BD60B1FC"/>
    <w:lvl w:ilvl="0" w:tplc="1F78B574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0" w15:restartNumberingAfterBreak="0">
    <w:nsid w:val="1D8111A3"/>
    <w:multiLevelType w:val="hybridMultilevel"/>
    <w:tmpl w:val="1F042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667B"/>
    <w:multiLevelType w:val="hybridMultilevel"/>
    <w:tmpl w:val="753CEF28"/>
    <w:lvl w:ilvl="0" w:tplc="57585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64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65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EA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EF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E7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20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C8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69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5306CA"/>
    <w:multiLevelType w:val="hybridMultilevel"/>
    <w:tmpl w:val="64963F6A"/>
    <w:lvl w:ilvl="0" w:tplc="2DACA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A59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AF7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A4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EE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ED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4F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C2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3F4E46"/>
    <w:multiLevelType w:val="hybridMultilevel"/>
    <w:tmpl w:val="0EE82E8E"/>
    <w:lvl w:ilvl="0" w:tplc="487AF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65A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E7B4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8EE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22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AA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CC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AB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67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C113D7"/>
    <w:multiLevelType w:val="hybridMultilevel"/>
    <w:tmpl w:val="CC3E0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7BAE"/>
    <w:multiLevelType w:val="hybridMultilevel"/>
    <w:tmpl w:val="EBD8793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1B5387F"/>
    <w:multiLevelType w:val="hybridMultilevel"/>
    <w:tmpl w:val="403CC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9C0584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B7852"/>
    <w:multiLevelType w:val="hybridMultilevel"/>
    <w:tmpl w:val="91DAC05E"/>
    <w:lvl w:ilvl="0" w:tplc="30A48F08">
      <w:start w:val="1"/>
      <w:numFmt w:val="bullet"/>
      <w:lvlText w:val="-"/>
      <w:lvlJc w:val="left"/>
      <w:pPr>
        <w:ind w:left="135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3EF73940"/>
    <w:multiLevelType w:val="hybridMultilevel"/>
    <w:tmpl w:val="02E09C0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D43F71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84D7D"/>
    <w:multiLevelType w:val="hybridMultilevel"/>
    <w:tmpl w:val="BCDA69A2"/>
    <w:lvl w:ilvl="0" w:tplc="938E2E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B3CAF"/>
    <w:multiLevelType w:val="hybridMultilevel"/>
    <w:tmpl w:val="768C60E6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85356"/>
    <w:multiLevelType w:val="hybridMultilevel"/>
    <w:tmpl w:val="B17ED82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EF0083A"/>
    <w:multiLevelType w:val="hybridMultilevel"/>
    <w:tmpl w:val="D93441EA"/>
    <w:lvl w:ilvl="0" w:tplc="A998A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1AA1D82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126E0"/>
    <w:multiLevelType w:val="hybridMultilevel"/>
    <w:tmpl w:val="57EEA7D2"/>
    <w:lvl w:ilvl="0" w:tplc="99864A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212DD"/>
    <w:multiLevelType w:val="hybridMultilevel"/>
    <w:tmpl w:val="66D45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80B38"/>
    <w:multiLevelType w:val="hybridMultilevel"/>
    <w:tmpl w:val="4D46CE6E"/>
    <w:lvl w:ilvl="0" w:tplc="83BC32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C75DC"/>
    <w:multiLevelType w:val="hybridMultilevel"/>
    <w:tmpl w:val="B082F1A8"/>
    <w:lvl w:ilvl="0" w:tplc="78E21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0E7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224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25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4D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08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8D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80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0A5BA2"/>
    <w:multiLevelType w:val="multilevel"/>
    <w:tmpl w:val="321A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3F8768C"/>
    <w:multiLevelType w:val="hybridMultilevel"/>
    <w:tmpl w:val="72DA7D94"/>
    <w:lvl w:ilvl="0" w:tplc="6F8A7A3A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C54F3"/>
    <w:multiLevelType w:val="hybridMultilevel"/>
    <w:tmpl w:val="8A30E9EE"/>
    <w:lvl w:ilvl="0" w:tplc="0AD4C2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D50FC"/>
    <w:multiLevelType w:val="hybridMultilevel"/>
    <w:tmpl w:val="364A3F4A"/>
    <w:lvl w:ilvl="0" w:tplc="66E4B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63A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C86F7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8D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2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A4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08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62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266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796F11"/>
    <w:multiLevelType w:val="hybridMultilevel"/>
    <w:tmpl w:val="EBD8793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36D6EA4"/>
    <w:multiLevelType w:val="hybridMultilevel"/>
    <w:tmpl w:val="9B324CB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64F0D6C"/>
    <w:multiLevelType w:val="hybridMultilevel"/>
    <w:tmpl w:val="7A6AD016"/>
    <w:lvl w:ilvl="0" w:tplc="2F0AE19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2DB46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B252F"/>
    <w:multiLevelType w:val="hybridMultilevel"/>
    <w:tmpl w:val="7234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2"/>
  </w:num>
  <w:num w:numId="4">
    <w:abstractNumId w:val="30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6"/>
  </w:num>
  <w:num w:numId="9">
    <w:abstractNumId w:val="27"/>
  </w:num>
  <w:num w:numId="10">
    <w:abstractNumId w:val="31"/>
  </w:num>
  <w:num w:numId="11">
    <w:abstractNumId w:val="0"/>
  </w:num>
  <w:num w:numId="12">
    <w:abstractNumId w:val="15"/>
  </w:num>
  <w:num w:numId="13">
    <w:abstractNumId w:val="19"/>
  </w:num>
  <w:num w:numId="14">
    <w:abstractNumId w:val="24"/>
  </w:num>
  <w:num w:numId="15">
    <w:abstractNumId w:val="34"/>
  </w:num>
  <w:num w:numId="16">
    <w:abstractNumId w:val="1"/>
  </w:num>
  <w:num w:numId="17">
    <w:abstractNumId w:val="29"/>
  </w:num>
  <w:num w:numId="18">
    <w:abstractNumId w:val="13"/>
  </w:num>
  <w:num w:numId="19">
    <w:abstractNumId w:val="11"/>
  </w:num>
  <w:num w:numId="20">
    <w:abstractNumId w:val="12"/>
  </w:num>
  <w:num w:numId="21">
    <w:abstractNumId w:val="33"/>
  </w:num>
  <w:num w:numId="22">
    <w:abstractNumId w:val="10"/>
  </w:num>
  <w:num w:numId="23">
    <w:abstractNumId w:val="3"/>
  </w:num>
  <w:num w:numId="24">
    <w:abstractNumId w:val="35"/>
  </w:num>
  <w:num w:numId="25">
    <w:abstractNumId w:val="37"/>
  </w:num>
  <w:num w:numId="26">
    <w:abstractNumId w:val="32"/>
  </w:num>
  <w:num w:numId="27">
    <w:abstractNumId w:val="14"/>
  </w:num>
  <w:num w:numId="28">
    <w:abstractNumId w:val="2"/>
  </w:num>
  <w:num w:numId="29">
    <w:abstractNumId w:val="20"/>
  </w:num>
  <w:num w:numId="30">
    <w:abstractNumId w:val="7"/>
  </w:num>
  <w:num w:numId="31">
    <w:abstractNumId w:val="5"/>
  </w:num>
  <w:num w:numId="32">
    <w:abstractNumId w:val="25"/>
  </w:num>
  <w:num w:numId="33">
    <w:abstractNumId w:val="4"/>
  </w:num>
  <w:num w:numId="34">
    <w:abstractNumId w:val="17"/>
  </w:num>
  <w:num w:numId="35">
    <w:abstractNumId w:val="28"/>
  </w:num>
  <w:num w:numId="36">
    <w:abstractNumId w:val="18"/>
  </w:num>
  <w:num w:numId="37">
    <w:abstractNumId w:val="23"/>
  </w:num>
  <w:num w:numId="38">
    <w:abstractNumId w:val="16"/>
  </w:num>
  <w:num w:numId="39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148E"/>
    <w:rsid w:val="00002FFE"/>
    <w:rsid w:val="00006518"/>
    <w:rsid w:val="00015A34"/>
    <w:rsid w:val="00015FBE"/>
    <w:rsid w:val="0002191D"/>
    <w:rsid w:val="00022980"/>
    <w:rsid w:val="000235D9"/>
    <w:rsid w:val="000262EE"/>
    <w:rsid w:val="000266A0"/>
    <w:rsid w:val="00031C1D"/>
    <w:rsid w:val="000322CD"/>
    <w:rsid w:val="00034CE8"/>
    <w:rsid w:val="00036F4C"/>
    <w:rsid w:val="00041883"/>
    <w:rsid w:val="00046532"/>
    <w:rsid w:val="0005496D"/>
    <w:rsid w:val="00055D1F"/>
    <w:rsid w:val="00055F8C"/>
    <w:rsid w:val="00056887"/>
    <w:rsid w:val="00064271"/>
    <w:rsid w:val="000644B5"/>
    <w:rsid w:val="0006715B"/>
    <w:rsid w:val="000671EE"/>
    <w:rsid w:val="00073ED1"/>
    <w:rsid w:val="000745C6"/>
    <w:rsid w:val="0007612B"/>
    <w:rsid w:val="000808A0"/>
    <w:rsid w:val="00085221"/>
    <w:rsid w:val="00093D43"/>
    <w:rsid w:val="00093E7E"/>
    <w:rsid w:val="00094CDD"/>
    <w:rsid w:val="000A036B"/>
    <w:rsid w:val="000A4091"/>
    <w:rsid w:val="000A7DD0"/>
    <w:rsid w:val="000B131D"/>
    <w:rsid w:val="000B5956"/>
    <w:rsid w:val="000C34F6"/>
    <w:rsid w:val="000C6E1F"/>
    <w:rsid w:val="000D435B"/>
    <w:rsid w:val="000D5B15"/>
    <w:rsid w:val="000D6CFC"/>
    <w:rsid w:val="000D77BA"/>
    <w:rsid w:val="000D7CB9"/>
    <w:rsid w:val="000E2CEC"/>
    <w:rsid w:val="000E3591"/>
    <w:rsid w:val="000E5044"/>
    <w:rsid w:val="000E51ED"/>
    <w:rsid w:val="000F4FA3"/>
    <w:rsid w:val="000F5829"/>
    <w:rsid w:val="00101B3D"/>
    <w:rsid w:val="00103185"/>
    <w:rsid w:val="001044A2"/>
    <w:rsid w:val="001047B7"/>
    <w:rsid w:val="00105A80"/>
    <w:rsid w:val="001066DE"/>
    <w:rsid w:val="0010729F"/>
    <w:rsid w:val="0011581D"/>
    <w:rsid w:val="001208C3"/>
    <w:rsid w:val="001269BC"/>
    <w:rsid w:val="00132940"/>
    <w:rsid w:val="00132BEF"/>
    <w:rsid w:val="00133E73"/>
    <w:rsid w:val="00136F5C"/>
    <w:rsid w:val="00142F6D"/>
    <w:rsid w:val="00144609"/>
    <w:rsid w:val="00145BBC"/>
    <w:rsid w:val="001500C9"/>
    <w:rsid w:val="00153528"/>
    <w:rsid w:val="001568A9"/>
    <w:rsid w:val="001604CD"/>
    <w:rsid w:val="00171DF3"/>
    <w:rsid w:val="001761B2"/>
    <w:rsid w:val="00176B33"/>
    <w:rsid w:val="00177627"/>
    <w:rsid w:val="00191FD0"/>
    <w:rsid w:val="001A08AA"/>
    <w:rsid w:val="001A3120"/>
    <w:rsid w:val="001A3896"/>
    <w:rsid w:val="001A51E3"/>
    <w:rsid w:val="001A7E04"/>
    <w:rsid w:val="001B256C"/>
    <w:rsid w:val="001B2F0C"/>
    <w:rsid w:val="001B306F"/>
    <w:rsid w:val="001B3E3A"/>
    <w:rsid w:val="001B627A"/>
    <w:rsid w:val="001C0B57"/>
    <w:rsid w:val="001C1603"/>
    <w:rsid w:val="001C3A35"/>
    <w:rsid w:val="001C53E5"/>
    <w:rsid w:val="001C5C71"/>
    <w:rsid w:val="001D1877"/>
    <w:rsid w:val="001D5E31"/>
    <w:rsid w:val="001D635C"/>
    <w:rsid w:val="001E056F"/>
    <w:rsid w:val="001E135B"/>
    <w:rsid w:val="001E4BD3"/>
    <w:rsid w:val="001E5C56"/>
    <w:rsid w:val="001E6288"/>
    <w:rsid w:val="001F42F9"/>
    <w:rsid w:val="00207384"/>
    <w:rsid w:val="00212373"/>
    <w:rsid w:val="002138EA"/>
    <w:rsid w:val="00214FBD"/>
    <w:rsid w:val="00222897"/>
    <w:rsid w:val="002265DC"/>
    <w:rsid w:val="00233269"/>
    <w:rsid w:val="00235394"/>
    <w:rsid w:val="0023738A"/>
    <w:rsid w:val="00253510"/>
    <w:rsid w:val="0025557B"/>
    <w:rsid w:val="00257598"/>
    <w:rsid w:val="00257D7D"/>
    <w:rsid w:val="002613BF"/>
    <w:rsid w:val="0026179F"/>
    <w:rsid w:val="00274E1A"/>
    <w:rsid w:val="00275C58"/>
    <w:rsid w:val="0027731D"/>
    <w:rsid w:val="002806BB"/>
    <w:rsid w:val="00282213"/>
    <w:rsid w:val="00285262"/>
    <w:rsid w:val="002867EC"/>
    <w:rsid w:val="00287385"/>
    <w:rsid w:val="0028752F"/>
    <w:rsid w:val="0029016E"/>
    <w:rsid w:val="00294CB9"/>
    <w:rsid w:val="00296077"/>
    <w:rsid w:val="002A2A8D"/>
    <w:rsid w:val="002B1867"/>
    <w:rsid w:val="002B2C01"/>
    <w:rsid w:val="002B6444"/>
    <w:rsid w:val="002C1ACE"/>
    <w:rsid w:val="002C1E6B"/>
    <w:rsid w:val="002C6647"/>
    <w:rsid w:val="002D2F29"/>
    <w:rsid w:val="002D64B4"/>
    <w:rsid w:val="002E2627"/>
    <w:rsid w:val="002E343E"/>
    <w:rsid w:val="002E7C37"/>
    <w:rsid w:val="002F4093"/>
    <w:rsid w:val="002F6239"/>
    <w:rsid w:val="002F7C7B"/>
    <w:rsid w:val="003076EE"/>
    <w:rsid w:val="00307EEA"/>
    <w:rsid w:val="00307FE3"/>
    <w:rsid w:val="00312074"/>
    <w:rsid w:val="003141E7"/>
    <w:rsid w:val="0032343E"/>
    <w:rsid w:val="00324C71"/>
    <w:rsid w:val="003252D8"/>
    <w:rsid w:val="00327A96"/>
    <w:rsid w:val="00327E49"/>
    <w:rsid w:val="0033563F"/>
    <w:rsid w:val="00337528"/>
    <w:rsid w:val="00342A28"/>
    <w:rsid w:val="00342E32"/>
    <w:rsid w:val="003450C4"/>
    <w:rsid w:val="003473D0"/>
    <w:rsid w:val="00352B40"/>
    <w:rsid w:val="003547E6"/>
    <w:rsid w:val="003553B2"/>
    <w:rsid w:val="00355454"/>
    <w:rsid w:val="003602AF"/>
    <w:rsid w:val="00360D36"/>
    <w:rsid w:val="0036189F"/>
    <w:rsid w:val="00362AE4"/>
    <w:rsid w:val="00367724"/>
    <w:rsid w:val="00373BEF"/>
    <w:rsid w:val="0037650E"/>
    <w:rsid w:val="00377081"/>
    <w:rsid w:val="00380500"/>
    <w:rsid w:val="003845D4"/>
    <w:rsid w:val="003855D7"/>
    <w:rsid w:val="00391B92"/>
    <w:rsid w:val="00393DA8"/>
    <w:rsid w:val="003943E2"/>
    <w:rsid w:val="00396594"/>
    <w:rsid w:val="003A54B2"/>
    <w:rsid w:val="003B2363"/>
    <w:rsid w:val="003B3240"/>
    <w:rsid w:val="003B3EB4"/>
    <w:rsid w:val="003B7128"/>
    <w:rsid w:val="003C127C"/>
    <w:rsid w:val="003C1CF6"/>
    <w:rsid w:val="003C32D4"/>
    <w:rsid w:val="003C7351"/>
    <w:rsid w:val="003D7224"/>
    <w:rsid w:val="003E0755"/>
    <w:rsid w:val="003E2915"/>
    <w:rsid w:val="003E3E43"/>
    <w:rsid w:val="003E4B1C"/>
    <w:rsid w:val="003E4E92"/>
    <w:rsid w:val="003F063B"/>
    <w:rsid w:val="003F0FF2"/>
    <w:rsid w:val="003F479B"/>
    <w:rsid w:val="003F7CBC"/>
    <w:rsid w:val="004040C3"/>
    <w:rsid w:val="00404728"/>
    <w:rsid w:val="004104BD"/>
    <w:rsid w:val="0041199A"/>
    <w:rsid w:val="004147BA"/>
    <w:rsid w:val="00416DA7"/>
    <w:rsid w:val="004219AB"/>
    <w:rsid w:val="00422C8A"/>
    <w:rsid w:val="00425DC9"/>
    <w:rsid w:val="00430980"/>
    <w:rsid w:val="00440BB1"/>
    <w:rsid w:val="00443021"/>
    <w:rsid w:val="00443646"/>
    <w:rsid w:val="00444225"/>
    <w:rsid w:val="00447EA4"/>
    <w:rsid w:val="00450ADA"/>
    <w:rsid w:val="00461630"/>
    <w:rsid w:val="004712A6"/>
    <w:rsid w:val="00472E74"/>
    <w:rsid w:val="00480C3C"/>
    <w:rsid w:val="00480E56"/>
    <w:rsid w:val="0048353F"/>
    <w:rsid w:val="004836DA"/>
    <w:rsid w:val="00483ED5"/>
    <w:rsid w:val="00486547"/>
    <w:rsid w:val="00494025"/>
    <w:rsid w:val="00496F3D"/>
    <w:rsid w:val="004A17C7"/>
    <w:rsid w:val="004A3423"/>
    <w:rsid w:val="004B3A0A"/>
    <w:rsid w:val="004B5C8E"/>
    <w:rsid w:val="004B5EFA"/>
    <w:rsid w:val="004B73BB"/>
    <w:rsid w:val="004B73DB"/>
    <w:rsid w:val="004C04A3"/>
    <w:rsid w:val="004C18A8"/>
    <w:rsid w:val="004C3CE5"/>
    <w:rsid w:val="004C4342"/>
    <w:rsid w:val="004C4909"/>
    <w:rsid w:val="004D2476"/>
    <w:rsid w:val="004D4176"/>
    <w:rsid w:val="004D71B0"/>
    <w:rsid w:val="004D7A3C"/>
    <w:rsid w:val="004F5611"/>
    <w:rsid w:val="004F7A3D"/>
    <w:rsid w:val="00505BFA"/>
    <w:rsid w:val="00505F46"/>
    <w:rsid w:val="00513582"/>
    <w:rsid w:val="00517471"/>
    <w:rsid w:val="00522E0F"/>
    <w:rsid w:val="00523E05"/>
    <w:rsid w:val="00523FE5"/>
    <w:rsid w:val="00537A6A"/>
    <w:rsid w:val="00542158"/>
    <w:rsid w:val="005421E4"/>
    <w:rsid w:val="005425EF"/>
    <w:rsid w:val="005437FB"/>
    <w:rsid w:val="00544736"/>
    <w:rsid w:val="005530AA"/>
    <w:rsid w:val="005570A3"/>
    <w:rsid w:val="005603CF"/>
    <w:rsid w:val="00561EF3"/>
    <w:rsid w:val="00562A5C"/>
    <w:rsid w:val="00563274"/>
    <w:rsid w:val="0056355E"/>
    <w:rsid w:val="00573894"/>
    <w:rsid w:val="00574154"/>
    <w:rsid w:val="00583B03"/>
    <w:rsid w:val="005858AA"/>
    <w:rsid w:val="00585CF8"/>
    <w:rsid w:val="00595980"/>
    <w:rsid w:val="005A0321"/>
    <w:rsid w:val="005A13AB"/>
    <w:rsid w:val="005B0171"/>
    <w:rsid w:val="005C33E9"/>
    <w:rsid w:val="005C3A70"/>
    <w:rsid w:val="005C5D86"/>
    <w:rsid w:val="005D1D8B"/>
    <w:rsid w:val="005E3BCA"/>
    <w:rsid w:val="005E49CA"/>
    <w:rsid w:val="005E6887"/>
    <w:rsid w:val="005F3F0D"/>
    <w:rsid w:val="005F4883"/>
    <w:rsid w:val="006073B3"/>
    <w:rsid w:val="00614C3C"/>
    <w:rsid w:val="00615A7B"/>
    <w:rsid w:val="00616966"/>
    <w:rsid w:val="006171EA"/>
    <w:rsid w:val="00620DBC"/>
    <w:rsid w:val="0062377C"/>
    <w:rsid w:val="0063021D"/>
    <w:rsid w:val="00632875"/>
    <w:rsid w:val="00633224"/>
    <w:rsid w:val="00634D04"/>
    <w:rsid w:val="00636B8B"/>
    <w:rsid w:val="00641F74"/>
    <w:rsid w:val="00642BEA"/>
    <w:rsid w:val="00644F61"/>
    <w:rsid w:val="00645857"/>
    <w:rsid w:val="0064709C"/>
    <w:rsid w:val="00650D90"/>
    <w:rsid w:val="00655BDF"/>
    <w:rsid w:val="00657D51"/>
    <w:rsid w:val="006632E9"/>
    <w:rsid w:val="00664491"/>
    <w:rsid w:val="006657D5"/>
    <w:rsid w:val="006733AC"/>
    <w:rsid w:val="00675951"/>
    <w:rsid w:val="00677620"/>
    <w:rsid w:val="0068057B"/>
    <w:rsid w:val="0068251F"/>
    <w:rsid w:val="00685058"/>
    <w:rsid w:val="006856E5"/>
    <w:rsid w:val="006903FC"/>
    <w:rsid w:val="0069520D"/>
    <w:rsid w:val="00696140"/>
    <w:rsid w:val="00696899"/>
    <w:rsid w:val="006B0D02"/>
    <w:rsid w:val="006B1E2C"/>
    <w:rsid w:val="006B3304"/>
    <w:rsid w:val="006B4324"/>
    <w:rsid w:val="006B7184"/>
    <w:rsid w:val="006C1D31"/>
    <w:rsid w:val="006C2B60"/>
    <w:rsid w:val="006C6E22"/>
    <w:rsid w:val="006D2CB3"/>
    <w:rsid w:val="006D3D53"/>
    <w:rsid w:val="006D6BB1"/>
    <w:rsid w:val="006F4E75"/>
    <w:rsid w:val="00703205"/>
    <w:rsid w:val="0070336F"/>
    <w:rsid w:val="0070646B"/>
    <w:rsid w:val="007066FA"/>
    <w:rsid w:val="0070677D"/>
    <w:rsid w:val="00706D6D"/>
    <w:rsid w:val="00707581"/>
    <w:rsid w:val="00707941"/>
    <w:rsid w:val="00711F5E"/>
    <w:rsid w:val="0071287E"/>
    <w:rsid w:val="00714A9A"/>
    <w:rsid w:val="00716661"/>
    <w:rsid w:val="00722929"/>
    <w:rsid w:val="00723F6F"/>
    <w:rsid w:val="007247D5"/>
    <w:rsid w:val="00727761"/>
    <w:rsid w:val="0073182D"/>
    <w:rsid w:val="00731930"/>
    <w:rsid w:val="00731C12"/>
    <w:rsid w:val="00733573"/>
    <w:rsid w:val="007350F6"/>
    <w:rsid w:val="00740C8F"/>
    <w:rsid w:val="0074273E"/>
    <w:rsid w:val="00745753"/>
    <w:rsid w:val="00751982"/>
    <w:rsid w:val="00752218"/>
    <w:rsid w:val="007552FB"/>
    <w:rsid w:val="0076232E"/>
    <w:rsid w:val="00764591"/>
    <w:rsid w:val="007651E3"/>
    <w:rsid w:val="00766A77"/>
    <w:rsid w:val="00770C24"/>
    <w:rsid w:val="0078144D"/>
    <w:rsid w:val="00784C80"/>
    <w:rsid w:val="00787CE3"/>
    <w:rsid w:val="007918D1"/>
    <w:rsid w:val="0079243C"/>
    <w:rsid w:val="00793BA1"/>
    <w:rsid w:val="007A4A05"/>
    <w:rsid w:val="007A4D94"/>
    <w:rsid w:val="007A5A27"/>
    <w:rsid w:val="007A72E9"/>
    <w:rsid w:val="007A793E"/>
    <w:rsid w:val="007A794E"/>
    <w:rsid w:val="007B5B8B"/>
    <w:rsid w:val="007B6162"/>
    <w:rsid w:val="007B6D18"/>
    <w:rsid w:val="007B6D70"/>
    <w:rsid w:val="007C1BCF"/>
    <w:rsid w:val="007C2BC8"/>
    <w:rsid w:val="007D5CA0"/>
    <w:rsid w:val="007D6048"/>
    <w:rsid w:val="007D6120"/>
    <w:rsid w:val="007E084C"/>
    <w:rsid w:val="007E3118"/>
    <w:rsid w:val="007E376C"/>
    <w:rsid w:val="007E54CD"/>
    <w:rsid w:val="007E59AE"/>
    <w:rsid w:val="007E6A3B"/>
    <w:rsid w:val="007F0E1E"/>
    <w:rsid w:val="007F10AB"/>
    <w:rsid w:val="007F4253"/>
    <w:rsid w:val="007F6103"/>
    <w:rsid w:val="007F62EA"/>
    <w:rsid w:val="0080368A"/>
    <w:rsid w:val="00803F95"/>
    <w:rsid w:val="00812D42"/>
    <w:rsid w:val="008239B4"/>
    <w:rsid w:val="00823E1D"/>
    <w:rsid w:val="00824E01"/>
    <w:rsid w:val="00826781"/>
    <w:rsid w:val="00832EC2"/>
    <w:rsid w:val="00836C44"/>
    <w:rsid w:val="00842E9E"/>
    <w:rsid w:val="00844063"/>
    <w:rsid w:val="00844E69"/>
    <w:rsid w:val="00853E16"/>
    <w:rsid w:val="0085490B"/>
    <w:rsid w:val="00867FC7"/>
    <w:rsid w:val="008717AB"/>
    <w:rsid w:val="00873725"/>
    <w:rsid w:val="00880CED"/>
    <w:rsid w:val="008854DE"/>
    <w:rsid w:val="008873FB"/>
    <w:rsid w:val="0089240B"/>
    <w:rsid w:val="00893454"/>
    <w:rsid w:val="00893DD9"/>
    <w:rsid w:val="00895716"/>
    <w:rsid w:val="00895EC8"/>
    <w:rsid w:val="008A3376"/>
    <w:rsid w:val="008B1C61"/>
    <w:rsid w:val="008B45AB"/>
    <w:rsid w:val="008B66A2"/>
    <w:rsid w:val="008B6EE0"/>
    <w:rsid w:val="008B77DD"/>
    <w:rsid w:val="008C1E19"/>
    <w:rsid w:val="008C59C4"/>
    <w:rsid w:val="008C60E9"/>
    <w:rsid w:val="008C6746"/>
    <w:rsid w:val="008C7A0B"/>
    <w:rsid w:val="008D3724"/>
    <w:rsid w:val="008D4165"/>
    <w:rsid w:val="008D6505"/>
    <w:rsid w:val="008E7FF8"/>
    <w:rsid w:val="008F7D93"/>
    <w:rsid w:val="00900342"/>
    <w:rsid w:val="00900976"/>
    <w:rsid w:val="0090245D"/>
    <w:rsid w:val="00902558"/>
    <w:rsid w:val="00904A82"/>
    <w:rsid w:val="00904B36"/>
    <w:rsid w:val="0090737F"/>
    <w:rsid w:val="00911FD0"/>
    <w:rsid w:val="0091665C"/>
    <w:rsid w:val="0092124A"/>
    <w:rsid w:val="009219A5"/>
    <w:rsid w:val="00923F0B"/>
    <w:rsid w:val="009245A1"/>
    <w:rsid w:val="009246C1"/>
    <w:rsid w:val="009250A3"/>
    <w:rsid w:val="009252DA"/>
    <w:rsid w:val="00927470"/>
    <w:rsid w:val="00930BD6"/>
    <w:rsid w:val="00931702"/>
    <w:rsid w:val="00931F09"/>
    <w:rsid w:val="0093235B"/>
    <w:rsid w:val="00940B14"/>
    <w:rsid w:val="00946169"/>
    <w:rsid w:val="009472CE"/>
    <w:rsid w:val="00951AE4"/>
    <w:rsid w:val="00952FA0"/>
    <w:rsid w:val="00954374"/>
    <w:rsid w:val="0095460F"/>
    <w:rsid w:val="00960B00"/>
    <w:rsid w:val="00961462"/>
    <w:rsid w:val="00961F97"/>
    <w:rsid w:val="00970A09"/>
    <w:rsid w:val="009743AF"/>
    <w:rsid w:val="009747CA"/>
    <w:rsid w:val="009759DA"/>
    <w:rsid w:val="00976620"/>
    <w:rsid w:val="00976C55"/>
    <w:rsid w:val="00976F7A"/>
    <w:rsid w:val="0097727B"/>
    <w:rsid w:val="00980247"/>
    <w:rsid w:val="00983910"/>
    <w:rsid w:val="00983ABB"/>
    <w:rsid w:val="00984798"/>
    <w:rsid w:val="00984BA1"/>
    <w:rsid w:val="0098598B"/>
    <w:rsid w:val="00985A48"/>
    <w:rsid w:val="009868CB"/>
    <w:rsid w:val="00986C06"/>
    <w:rsid w:val="0099497B"/>
    <w:rsid w:val="00996D3C"/>
    <w:rsid w:val="00997615"/>
    <w:rsid w:val="009A37B6"/>
    <w:rsid w:val="009A56E4"/>
    <w:rsid w:val="009B1A4A"/>
    <w:rsid w:val="009B2AFC"/>
    <w:rsid w:val="009B2E99"/>
    <w:rsid w:val="009B3F98"/>
    <w:rsid w:val="009B7F9A"/>
    <w:rsid w:val="009C0727"/>
    <w:rsid w:val="009C0A0A"/>
    <w:rsid w:val="009C330C"/>
    <w:rsid w:val="009C3926"/>
    <w:rsid w:val="009C7C4B"/>
    <w:rsid w:val="009D0AB1"/>
    <w:rsid w:val="009D1CC7"/>
    <w:rsid w:val="009D2F96"/>
    <w:rsid w:val="009D3971"/>
    <w:rsid w:val="009D39C5"/>
    <w:rsid w:val="009D3C34"/>
    <w:rsid w:val="009D442B"/>
    <w:rsid w:val="009D55CE"/>
    <w:rsid w:val="009D564B"/>
    <w:rsid w:val="009E3D33"/>
    <w:rsid w:val="009E425F"/>
    <w:rsid w:val="009E5EF1"/>
    <w:rsid w:val="009F0616"/>
    <w:rsid w:val="009F128A"/>
    <w:rsid w:val="009F180A"/>
    <w:rsid w:val="009F4540"/>
    <w:rsid w:val="009F4F25"/>
    <w:rsid w:val="009F515D"/>
    <w:rsid w:val="009F5663"/>
    <w:rsid w:val="009F5923"/>
    <w:rsid w:val="009F7834"/>
    <w:rsid w:val="00A01CA7"/>
    <w:rsid w:val="00A033F1"/>
    <w:rsid w:val="00A05300"/>
    <w:rsid w:val="00A1539E"/>
    <w:rsid w:val="00A1648E"/>
    <w:rsid w:val="00A16E2F"/>
    <w:rsid w:val="00A17573"/>
    <w:rsid w:val="00A205A9"/>
    <w:rsid w:val="00A2137F"/>
    <w:rsid w:val="00A21EC9"/>
    <w:rsid w:val="00A22836"/>
    <w:rsid w:val="00A37601"/>
    <w:rsid w:val="00A40EC8"/>
    <w:rsid w:val="00A464C8"/>
    <w:rsid w:val="00A5625D"/>
    <w:rsid w:val="00A623E9"/>
    <w:rsid w:val="00A62473"/>
    <w:rsid w:val="00A63A9C"/>
    <w:rsid w:val="00A65439"/>
    <w:rsid w:val="00A72864"/>
    <w:rsid w:val="00A73FF2"/>
    <w:rsid w:val="00A76C5E"/>
    <w:rsid w:val="00A81B15"/>
    <w:rsid w:val="00A835D7"/>
    <w:rsid w:val="00A85DBC"/>
    <w:rsid w:val="00A9364F"/>
    <w:rsid w:val="00A96C36"/>
    <w:rsid w:val="00AA1ACA"/>
    <w:rsid w:val="00AA3870"/>
    <w:rsid w:val="00AA46C6"/>
    <w:rsid w:val="00AA570E"/>
    <w:rsid w:val="00AA582E"/>
    <w:rsid w:val="00AA5DED"/>
    <w:rsid w:val="00AB0EA4"/>
    <w:rsid w:val="00AB1649"/>
    <w:rsid w:val="00AB3F85"/>
    <w:rsid w:val="00AB5257"/>
    <w:rsid w:val="00AB615F"/>
    <w:rsid w:val="00AC05A1"/>
    <w:rsid w:val="00AC3638"/>
    <w:rsid w:val="00AC43E6"/>
    <w:rsid w:val="00AC4D01"/>
    <w:rsid w:val="00AC694F"/>
    <w:rsid w:val="00AD091A"/>
    <w:rsid w:val="00AD2C26"/>
    <w:rsid w:val="00AD6C47"/>
    <w:rsid w:val="00AD6E09"/>
    <w:rsid w:val="00AD6E1C"/>
    <w:rsid w:val="00AD7B11"/>
    <w:rsid w:val="00AE3E1C"/>
    <w:rsid w:val="00AE4558"/>
    <w:rsid w:val="00AE5E8E"/>
    <w:rsid w:val="00AE64B3"/>
    <w:rsid w:val="00AE6AA2"/>
    <w:rsid w:val="00AE6BBA"/>
    <w:rsid w:val="00AE73DB"/>
    <w:rsid w:val="00AE75F4"/>
    <w:rsid w:val="00AE778F"/>
    <w:rsid w:val="00AF3E12"/>
    <w:rsid w:val="00AF6F25"/>
    <w:rsid w:val="00B02DAA"/>
    <w:rsid w:val="00B05EED"/>
    <w:rsid w:val="00B10F1D"/>
    <w:rsid w:val="00B10F4E"/>
    <w:rsid w:val="00B12D97"/>
    <w:rsid w:val="00B159D5"/>
    <w:rsid w:val="00B16360"/>
    <w:rsid w:val="00B21530"/>
    <w:rsid w:val="00B22AE5"/>
    <w:rsid w:val="00B250A2"/>
    <w:rsid w:val="00B25DE0"/>
    <w:rsid w:val="00B26517"/>
    <w:rsid w:val="00B306F1"/>
    <w:rsid w:val="00B34565"/>
    <w:rsid w:val="00B373D3"/>
    <w:rsid w:val="00B43095"/>
    <w:rsid w:val="00B5003A"/>
    <w:rsid w:val="00B53FE2"/>
    <w:rsid w:val="00B5711E"/>
    <w:rsid w:val="00B579B9"/>
    <w:rsid w:val="00B60E0F"/>
    <w:rsid w:val="00B62104"/>
    <w:rsid w:val="00B65641"/>
    <w:rsid w:val="00B65B96"/>
    <w:rsid w:val="00B663E1"/>
    <w:rsid w:val="00B72448"/>
    <w:rsid w:val="00B724A5"/>
    <w:rsid w:val="00B72691"/>
    <w:rsid w:val="00B746E7"/>
    <w:rsid w:val="00B75969"/>
    <w:rsid w:val="00B80F80"/>
    <w:rsid w:val="00B82688"/>
    <w:rsid w:val="00B83244"/>
    <w:rsid w:val="00B834D1"/>
    <w:rsid w:val="00B8446C"/>
    <w:rsid w:val="00B85CA4"/>
    <w:rsid w:val="00B96A86"/>
    <w:rsid w:val="00B9734C"/>
    <w:rsid w:val="00BA3EC1"/>
    <w:rsid w:val="00BA5257"/>
    <w:rsid w:val="00BA723E"/>
    <w:rsid w:val="00BA7A28"/>
    <w:rsid w:val="00BB15DB"/>
    <w:rsid w:val="00BB1CCD"/>
    <w:rsid w:val="00BB1E7F"/>
    <w:rsid w:val="00BB63C0"/>
    <w:rsid w:val="00BC3A23"/>
    <w:rsid w:val="00BC47D8"/>
    <w:rsid w:val="00BC658E"/>
    <w:rsid w:val="00BD4A0C"/>
    <w:rsid w:val="00BD539E"/>
    <w:rsid w:val="00BD5530"/>
    <w:rsid w:val="00BD6420"/>
    <w:rsid w:val="00BF497C"/>
    <w:rsid w:val="00BF52AB"/>
    <w:rsid w:val="00C00748"/>
    <w:rsid w:val="00C02544"/>
    <w:rsid w:val="00C152F5"/>
    <w:rsid w:val="00C212D7"/>
    <w:rsid w:val="00C2149E"/>
    <w:rsid w:val="00C24B2F"/>
    <w:rsid w:val="00C27797"/>
    <w:rsid w:val="00C27A5B"/>
    <w:rsid w:val="00C3068F"/>
    <w:rsid w:val="00C33600"/>
    <w:rsid w:val="00C34B0C"/>
    <w:rsid w:val="00C37EA9"/>
    <w:rsid w:val="00C43808"/>
    <w:rsid w:val="00C43C6E"/>
    <w:rsid w:val="00C47215"/>
    <w:rsid w:val="00C50F5E"/>
    <w:rsid w:val="00C51828"/>
    <w:rsid w:val="00C526F9"/>
    <w:rsid w:val="00C538DB"/>
    <w:rsid w:val="00C55C02"/>
    <w:rsid w:val="00C602F1"/>
    <w:rsid w:val="00C619D3"/>
    <w:rsid w:val="00C6213A"/>
    <w:rsid w:val="00C65F56"/>
    <w:rsid w:val="00C66179"/>
    <w:rsid w:val="00C720E7"/>
    <w:rsid w:val="00C72303"/>
    <w:rsid w:val="00C72631"/>
    <w:rsid w:val="00C732D5"/>
    <w:rsid w:val="00C7492E"/>
    <w:rsid w:val="00C80450"/>
    <w:rsid w:val="00C81948"/>
    <w:rsid w:val="00C841E3"/>
    <w:rsid w:val="00C8473B"/>
    <w:rsid w:val="00C8668E"/>
    <w:rsid w:val="00C94711"/>
    <w:rsid w:val="00CA35A5"/>
    <w:rsid w:val="00CA7B70"/>
    <w:rsid w:val="00CB2802"/>
    <w:rsid w:val="00CB58F9"/>
    <w:rsid w:val="00CB76A8"/>
    <w:rsid w:val="00CC00F0"/>
    <w:rsid w:val="00CC0A92"/>
    <w:rsid w:val="00CC2547"/>
    <w:rsid w:val="00CC4027"/>
    <w:rsid w:val="00CC410F"/>
    <w:rsid w:val="00CC57A7"/>
    <w:rsid w:val="00CC700B"/>
    <w:rsid w:val="00CD0627"/>
    <w:rsid w:val="00CD28F2"/>
    <w:rsid w:val="00CD325E"/>
    <w:rsid w:val="00CE1BE6"/>
    <w:rsid w:val="00CE5967"/>
    <w:rsid w:val="00CE627D"/>
    <w:rsid w:val="00CE6E30"/>
    <w:rsid w:val="00CF3861"/>
    <w:rsid w:val="00CF61C0"/>
    <w:rsid w:val="00CF76BC"/>
    <w:rsid w:val="00CF7BED"/>
    <w:rsid w:val="00D005DC"/>
    <w:rsid w:val="00D04E92"/>
    <w:rsid w:val="00D072C4"/>
    <w:rsid w:val="00D07331"/>
    <w:rsid w:val="00D1157F"/>
    <w:rsid w:val="00D115EA"/>
    <w:rsid w:val="00D122C0"/>
    <w:rsid w:val="00D2097A"/>
    <w:rsid w:val="00D20B56"/>
    <w:rsid w:val="00D233BA"/>
    <w:rsid w:val="00D2486E"/>
    <w:rsid w:val="00D248FE"/>
    <w:rsid w:val="00D26FE8"/>
    <w:rsid w:val="00D32B25"/>
    <w:rsid w:val="00D33DCA"/>
    <w:rsid w:val="00D34E20"/>
    <w:rsid w:val="00D3707F"/>
    <w:rsid w:val="00D41BEE"/>
    <w:rsid w:val="00D5006B"/>
    <w:rsid w:val="00D50AE9"/>
    <w:rsid w:val="00D50BBD"/>
    <w:rsid w:val="00D510B7"/>
    <w:rsid w:val="00D520E4"/>
    <w:rsid w:val="00D57DFA"/>
    <w:rsid w:val="00D625B3"/>
    <w:rsid w:val="00D64225"/>
    <w:rsid w:val="00D64EF6"/>
    <w:rsid w:val="00D666E2"/>
    <w:rsid w:val="00D70273"/>
    <w:rsid w:val="00D72BC9"/>
    <w:rsid w:val="00D73C0E"/>
    <w:rsid w:val="00D756B6"/>
    <w:rsid w:val="00D77D1E"/>
    <w:rsid w:val="00D8154B"/>
    <w:rsid w:val="00D82323"/>
    <w:rsid w:val="00D8669A"/>
    <w:rsid w:val="00D91919"/>
    <w:rsid w:val="00D92FE0"/>
    <w:rsid w:val="00DA0F3D"/>
    <w:rsid w:val="00DB07C0"/>
    <w:rsid w:val="00DC0640"/>
    <w:rsid w:val="00DC238B"/>
    <w:rsid w:val="00DD0C2C"/>
    <w:rsid w:val="00DE15EF"/>
    <w:rsid w:val="00DF240E"/>
    <w:rsid w:val="00DF412F"/>
    <w:rsid w:val="00DF4787"/>
    <w:rsid w:val="00DF7083"/>
    <w:rsid w:val="00E04909"/>
    <w:rsid w:val="00E103E6"/>
    <w:rsid w:val="00E12EB7"/>
    <w:rsid w:val="00E13055"/>
    <w:rsid w:val="00E13A4A"/>
    <w:rsid w:val="00E15D38"/>
    <w:rsid w:val="00E16E02"/>
    <w:rsid w:val="00E24148"/>
    <w:rsid w:val="00E24717"/>
    <w:rsid w:val="00E24FE0"/>
    <w:rsid w:val="00E253A9"/>
    <w:rsid w:val="00E25C05"/>
    <w:rsid w:val="00E31856"/>
    <w:rsid w:val="00E33497"/>
    <w:rsid w:val="00E3585D"/>
    <w:rsid w:val="00E36196"/>
    <w:rsid w:val="00E41104"/>
    <w:rsid w:val="00E417C4"/>
    <w:rsid w:val="00E42B42"/>
    <w:rsid w:val="00E510D4"/>
    <w:rsid w:val="00E5253B"/>
    <w:rsid w:val="00E52F3B"/>
    <w:rsid w:val="00E54B6B"/>
    <w:rsid w:val="00E55ABC"/>
    <w:rsid w:val="00E57B74"/>
    <w:rsid w:val="00E61E32"/>
    <w:rsid w:val="00E677DC"/>
    <w:rsid w:val="00E72D9D"/>
    <w:rsid w:val="00E7357B"/>
    <w:rsid w:val="00E73A60"/>
    <w:rsid w:val="00E7697D"/>
    <w:rsid w:val="00E77A9C"/>
    <w:rsid w:val="00E842C5"/>
    <w:rsid w:val="00E8629F"/>
    <w:rsid w:val="00E8690F"/>
    <w:rsid w:val="00E90178"/>
    <w:rsid w:val="00E915D5"/>
    <w:rsid w:val="00E954F0"/>
    <w:rsid w:val="00E96009"/>
    <w:rsid w:val="00E96535"/>
    <w:rsid w:val="00E97AF0"/>
    <w:rsid w:val="00EA3C24"/>
    <w:rsid w:val="00EB37D2"/>
    <w:rsid w:val="00EB3BDE"/>
    <w:rsid w:val="00EB5789"/>
    <w:rsid w:val="00EC0173"/>
    <w:rsid w:val="00EC154B"/>
    <w:rsid w:val="00EC49B6"/>
    <w:rsid w:val="00EC4D3D"/>
    <w:rsid w:val="00EC5208"/>
    <w:rsid w:val="00EC5A1B"/>
    <w:rsid w:val="00ED04DF"/>
    <w:rsid w:val="00ED26E6"/>
    <w:rsid w:val="00ED43A0"/>
    <w:rsid w:val="00EE370E"/>
    <w:rsid w:val="00EE41ED"/>
    <w:rsid w:val="00EE569A"/>
    <w:rsid w:val="00EE587A"/>
    <w:rsid w:val="00EE65B0"/>
    <w:rsid w:val="00EE65ED"/>
    <w:rsid w:val="00EF2512"/>
    <w:rsid w:val="00EF5BDD"/>
    <w:rsid w:val="00EF6BA9"/>
    <w:rsid w:val="00EF7683"/>
    <w:rsid w:val="00EF7FFB"/>
    <w:rsid w:val="00F00DE1"/>
    <w:rsid w:val="00F019DA"/>
    <w:rsid w:val="00F072D8"/>
    <w:rsid w:val="00F11183"/>
    <w:rsid w:val="00F14AF8"/>
    <w:rsid w:val="00F21347"/>
    <w:rsid w:val="00F21F81"/>
    <w:rsid w:val="00F2287A"/>
    <w:rsid w:val="00F22A25"/>
    <w:rsid w:val="00F250D8"/>
    <w:rsid w:val="00F25D2D"/>
    <w:rsid w:val="00F30686"/>
    <w:rsid w:val="00F331D1"/>
    <w:rsid w:val="00F36AA3"/>
    <w:rsid w:val="00F4067C"/>
    <w:rsid w:val="00F414FE"/>
    <w:rsid w:val="00F41723"/>
    <w:rsid w:val="00F42308"/>
    <w:rsid w:val="00F43944"/>
    <w:rsid w:val="00F452AE"/>
    <w:rsid w:val="00F55CFA"/>
    <w:rsid w:val="00F61C57"/>
    <w:rsid w:val="00F62826"/>
    <w:rsid w:val="00F63271"/>
    <w:rsid w:val="00F63459"/>
    <w:rsid w:val="00F636DB"/>
    <w:rsid w:val="00F64E36"/>
    <w:rsid w:val="00F653BA"/>
    <w:rsid w:val="00F6636D"/>
    <w:rsid w:val="00F6718A"/>
    <w:rsid w:val="00F6793B"/>
    <w:rsid w:val="00F67E92"/>
    <w:rsid w:val="00F70276"/>
    <w:rsid w:val="00F705FB"/>
    <w:rsid w:val="00F75719"/>
    <w:rsid w:val="00F821F0"/>
    <w:rsid w:val="00F859B5"/>
    <w:rsid w:val="00F91D25"/>
    <w:rsid w:val="00FA3290"/>
    <w:rsid w:val="00FA5865"/>
    <w:rsid w:val="00FB374B"/>
    <w:rsid w:val="00FB6F5C"/>
    <w:rsid w:val="00FB7064"/>
    <w:rsid w:val="00FC051F"/>
    <w:rsid w:val="00FC211A"/>
    <w:rsid w:val="00FC2177"/>
    <w:rsid w:val="00FC3F06"/>
    <w:rsid w:val="00FC5E1A"/>
    <w:rsid w:val="00FC7BFC"/>
    <w:rsid w:val="00FD5616"/>
    <w:rsid w:val="00FD5B18"/>
    <w:rsid w:val="00FD6421"/>
    <w:rsid w:val="00FE0E93"/>
    <w:rsid w:val="00FE3587"/>
    <w:rsid w:val="00FE4CA6"/>
    <w:rsid w:val="00FE5E98"/>
    <w:rsid w:val="00FF4F73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8A11EC"/>
  <w15:chartTrackingRefBased/>
  <w15:docId w15:val="{C097F2F8-B109-4B55-9E9D-51FC47C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annotation text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Heading 14,Heading 141,Heading 142,subsub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rsid w:val="00AE5E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E8E"/>
    <w:rPr>
      <w:rFonts w:ascii="Segoe UI" w:hAnsi="Segoe UI" w:cs="Segoe UI"/>
      <w:sz w:val="18"/>
      <w:szCs w:val="18"/>
      <w:lang w:val="en-GB" w:eastAsia="en-US"/>
    </w:rPr>
  </w:style>
  <w:style w:type="character" w:customStyle="1" w:styleId="B1Char">
    <w:name w:val="B1 Char"/>
    <w:link w:val="B1"/>
    <w:qFormat/>
    <w:rsid w:val="003F0FF2"/>
    <w:rPr>
      <w:lang w:val="en-GB" w:eastAsia="en-US"/>
    </w:rPr>
  </w:style>
  <w:style w:type="character" w:customStyle="1" w:styleId="THChar">
    <w:name w:val="TH Char"/>
    <w:link w:val="TH"/>
    <w:qFormat/>
    <w:rsid w:val="003F0FF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F0FF2"/>
    <w:rPr>
      <w:rFonts w:ascii="Arial" w:hAnsi="Arial"/>
      <w:sz w:val="18"/>
      <w:lang w:val="en-GB" w:eastAsia="en-US"/>
    </w:rPr>
  </w:style>
  <w:style w:type="character" w:customStyle="1" w:styleId="Artref">
    <w:name w:val="Art_ref"/>
    <w:rsid w:val="003F0FF2"/>
  </w:style>
  <w:style w:type="character" w:customStyle="1" w:styleId="Tablefreq">
    <w:name w:val="Table_freq"/>
    <w:rsid w:val="003F0FF2"/>
    <w:rPr>
      <w:b/>
      <w:color w:val="auto"/>
      <w:sz w:val="20"/>
    </w:rPr>
  </w:style>
  <w:style w:type="paragraph" w:customStyle="1" w:styleId="TableTextS5">
    <w:name w:val="Table_TextS5"/>
    <w:basedOn w:val="Normal"/>
    <w:rsid w:val="003F0FF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AD7B11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table" w:styleId="TableGrid">
    <w:name w:val="Table Grid"/>
    <w:aliases w:val="TableGrid"/>
    <w:basedOn w:val="TableNormal"/>
    <w:qFormat/>
    <w:rsid w:val="00AD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32EC2"/>
    <w:rPr>
      <w:b/>
      <w:bCs/>
    </w:rPr>
  </w:style>
  <w:style w:type="character" w:customStyle="1" w:styleId="CommentTextChar">
    <w:name w:val="Comment Text Char"/>
    <w:basedOn w:val="DefaultParagraphFont"/>
    <w:link w:val="CommentText"/>
    <w:qFormat/>
    <w:rsid w:val="00832EC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32EC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AA5DED"/>
    <w:rPr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sid w:val="00D72BC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0245D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E510D4"/>
    <w:rPr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E510D4"/>
    <w:rPr>
      <w:lang w:val="en-GB" w:eastAsia="en-US"/>
    </w:rPr>
  </w:style>
  <w:style w:type="character" w:customStyle="1" w:styleId="TACChar">
    <w:name w:val="TAC Char"/>
    <w:link w:val="TAC"/>
    <w:qFormat/>
    <w:rsid w:val="00E51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10D4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E510D4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D64225"/>
    <w:rPr>
      <w:rFonts w:ascii="Arial" w:hAnsi="Arial"/>
      <w:b/>
      <w:noProof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D6422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样式 页眉 Char"/>
    <w:link w:val="a"/>
    <w:rsid w:val="00D64225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CRCoverPage">
    <w:name w:val="CR Cover Page"/>
    <w:link w:val="CRCoverPageChar"/>
    <w:qFormat/>
    <w:rsid w:val="00D64225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D64225"/>
    <w:rPr>
      <w:rFonts w:ascii="Arial" w:eastAsia="SimSun" w:hAnsi="Arial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C330C"/>
    <w:rPr>
      <w:color w:val="808080"/>
    </w:rPr>
  </w:style>
  <w:style w:type="character" w:customStyle="1" w:styleId="TALCar">
    <w:name w:val="TAL Car"/>
    <w:link w:val="TAL"/>
    <w:qFormat/>
    <w:rsid w:val="00B579B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952FA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0A7DD0"/>
    <w:rPr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7DD0"/>
    <w:rPr>
      <w:rFonts w:ascii="Arial" w:hAnsi="Arial"/>
      <w:sz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F14AF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873725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aliases w:val="Char Char1,NMP Heading 1 Char,H1 Char,h1 Char,app heading 1 Char,l1 Char,Memo Heading 1 Char,h11 Char,h12 Char,h13 Char,h14 Char,h15 Char,h16 Char,h17 Char,h111 Char,h121 Char,h131 Char,h141 Char,h151 Char,h161 Char,h18 Char,h112 Char"/>
    <w:link w:val="Heading1"/>
    <w:qFormat/>
    <w:rsid w:val="00EC4D3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Char Char Char,Head2A Char,2 Char,H2 Char,h2 Char,DO NOT USE_h2 Char,h21 Char,UNDERRUBRIK 1-2 Char,Head 2 Char,l2 Char,TitreProp Char,Header 2 Char,ITT t2 Char,PA Major Section Char,Livello 2 Char,R2 Char,H21 Char,Heading 2 Hidden Char"/>
    <w:link w:val="Heading2"/>
    <w:rsid w:val="00B724A5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B724A5"/>
    <w:rPr>
      <w:lang w:val="en-GB" w:eastAsia="en-US"/>
    </w:rPr>
  </w:style>
  <w:style w:type="character" w:customStyle="1" w:styleId="B1Zchn">
    <w:name w:val="B1 Zchn"/>
    <w:rsid w:val="00B65B96"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F3F0D"/>
    <w:rPr>
      <w:sz w:val="16"/>
      <w:lang w:val="en-GB" w:eastAsia="en-US"/>
    </w:rPr>
  </w:style>
  <w:style w:type="character" w:customStyle="1" w:styleId="date-display-single">
    <w:name w:val="date-display-single"/>
    <w:basedOn w:val="DefaultParagraphFont"/>
    <w:rsid w:val="00AB1649"/>
  </w:style>
  <w:style w:type="paragraph" w:styleId="Title">
    <w:name w:val="Title"/>
    <w:basedOn w:val="Normal"/>
    <w:next w:val="Normal"/>
    <w:link w:val="TitleChar"/>
    <w:uiPriority w:val="10"/>
    <w:qFormat/>
    <w:rsid w:val="00443646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43646"/>
    <w:rPr>
      <w:rFonts w:ascii="Arial" w:eastAsia="Times New Rom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rsid w:val="00443646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rsid w:val="00443646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2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6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0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9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8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6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0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8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7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5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2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5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9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7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3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ortal.3gpp.org/desktopmodules/Specifications/SpecificationDetails.aspx?specificationId=3893" TargetMode="Externa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57C9E-D115-4021-958F-45FB8F45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877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5490</CharactersWithSpaces>
  <SharedDoc>false</SharedDoc>
  <HyperlinkBase/>
  <HLinks>
    <vt:vector size="6" baseType="variant">
      <vt:variant>
        <vt:i4>4128872</vt:i4>
      </vt:variant>
      <vt:variant>
        <vt:i4>66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Ericsson</cp:lastModifiedBy>
  <cp:revision>2</cp:revision>
  <dcterms:created xsi:type="dcterms:W3CDTF">2021-08-19T03:33:00Z</dcterms:created>
  <dcterms:modified xsi:type="dcterms:W3CDTF">2021-08-19T03:33:00Z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1627905339</vt:lpwstr>
  </property>
</Properties>
</file>