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B03A803" w14:textId="02AFE045" w:rsidR="00841BCD" w:rsidRPr="00054EF6" w:rsidRDefault="005A162E"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054EF6">
        <w:rPr>
          <w:rFonts w:ascii="Arial" w:eastAsia="SimSun" w:hAnsi="Arial" w:cs="Times New Roman"/>
          <w:b/>
          <w:bCs/>
          <w:sz w:val="24"/>
          <w:szCs w:val="20"/>
        </w:rPr>
        <w:t xml:space="preserve">3GPP TSG-RAN WG4 Meeting # </w:t>
      </w:r>
      <w:r w:rsidR="002E57D8" w:rsidRPr="00054EF6">
        <w:rPr>
          <w:rFonts w:ascii="Arial" w:eastAsia="SimSun" w:hAnsi="Arial" w:cs="Times New Roman"/>
          <w:b/>
          <w:bCs/>
          <w:sz w:val="24"/>
          <w:szCs w:val="20"/>
        </w:rPr>
        <w:t>100</w:t>
      </w:r>
      <w:r w:rsidRPr="00054EF6">
        <w:rPr>
          <w:rFonts w:ascii="Arial" w:eastAsia="SimSun" w:hAnsi="Arial" w:cs="Times New Roman"/>
          <w:b/>
          <w:bCs/>
          <w:sz w:val="24"/>
          <w:szCs w:val="20"/>
        </w:rPr>
        <w:t>-e</w:t>
      </w:r>
      <w:r w:rsidR="00841BCD" w:rsidRPr="00054EF6">
        <w:rPr>
          <w:rFonts w:ascii="Arial" w:eastAsia="SimSun" w:hAnsi="Arial" w:cs="Times New Roman"/>
          <w:b/>
          <w:bCs/>
          <w:sz w:val="24"/>
          <w:szCs w:val="20"/>
        </w:rPr>
        <w:tab/>
      </w:r>
      <w:r w:rsidR="005C7A11" w:rsidRPr="00055AE0">
        <w:rPr>
          <w:rFonts w:ascii="Arial" w:eastAsia="SimSun" w:hAnsi="Arial" w:cs="Times New Roman"/>
          <w:b/>
          <w:bCs/>
          <w:sz w:val="24"/>
          <w:szCs w:val="20"/>
          <w:lang w:eastAsia="ja-JP"/>
        </w:rPr>
        <w:t>R4-21</w:t>
      </w:r>
      <w:r w:rsidR="00055AE0">
        <w:rPr>
          <w:rFonts w:ascii="Arial" w:eastAsia="SimSun" w:hAnsi="Arial" w:cs="Times New Roman"/>
          <w:b/>
          <w:bCs/>
          <w:sz w:val="24"/>
          <w:szCs w:val="20"/>
          <w:lang w:eastAsia="ja-JP"/>
        </w:rPr>
        <w:t>14587</w:t>
      </w:r>
    </w:p>
    <w:bookmarkEnd w:id="0"/>
    <w:bookmarkEnd w:id="1"/>
    <w:p w14:paraId="048E4EB2" w14:textId="19445EC0" w:rsidR="005A162E" w:rsidRPr="00054EF6" w:rsidRDefault="005A162E" w:rsidP="005A162E">
      <w:pPr>
        <w:tabs>
          <w:tab w:val="left" w:pos="1985"/>
        </w:tabs>
        <w:ind w:left="1985" w:hanging="1985"/>
        <w:rPr>
          <w:rFonts w:ascii="Arial" w:eastAsia="Calibri" w:hAnsi="Arial" w:cs="Arial"/>
          <w:b/>
          <w:bCs/>
          <w:sz w:val="24"/>
        </w:rPr>
      </w:pPr>
      <w:r w:rsidRPr="00054EF6">
        <w:rPr>
          <w:rFonts w:ascii="Arial" w:eastAsia="Calibri" w:hAnsi="Arial" w:cs="Arial"/>
          <w:b/>
          <w:bCs/>
          <w:sz w:val="24"/>
        </w:rPr>
        <w:t xml:space="preserve">Electronic Meeting, </w:t>
      </w:r>
      <w:r w:rsidR="002E57D8" w:rsidRPr="00054EF6">
        <w:rPr>
          <w:rFonts w:ascii="Arial" w:eastAsia="Calibri" w:hAnsi="Arial" w:cs="Arial"/>
          <w:b/>
          <w:bCs/>
          <w:sz w:val="24"/>
        </w:rPr>
        <w:t>August</w:t>
      </w:r>
      <w:r w:rsidRPr="00054EF6">
        <w:rPr>
          <w:rFonts w:ascii="Arial" w:eastAsia="Calibri" w:hAnsi="Arial" w:cs="Arial"/>
          <w:b/>
          <w:bCs/>
          <w:sz w:val="24"/>
        </w:rPr>
        <w:t xml:space="preserve"> 1</w:t>
      </w:r>
      <w:r w:rsidR="002E57D8" w:rsidRPr="00054EF6">
        <w:rPr>
          <w:rFonts w:ascii="Arial" w:eastAsia="Calibri" w:hAnsi="Arial" w:cs="Arial"/>
          <w:b/>
          <w:bCs/>
          <w:sz w:val="24"/>
        </w:rPr>
        <w:t>6</w:t>
      </w:r>
      <w:r w:rsidRPr="00054EF6">
        <w:rPr>
          <w:rFonts w:ascii="Arial" w:eastAsia="Calibri" w:hAnsi="Arial" w:cs="Arial"/>
          <w:b/>
          <w:bCs/>
          <w:sz w:val="24"/>
        </w:rPr>
        <w:t>-27, 2021</w:t>
      </w:r>
    </w:p>
    <w:p w14:paraId="5F210AFC" w14:textId="77777777" w:rsidR="005A162E" w:rsidRPr="00054EF6" w:rsidRDefault="00841BCD" w:rsidP="005A162E">
      <w:pPr>
        <w:tabs>
          <w:tab w:val="left" w:pos="1985"/>
        </w:tabs>
        <w:ind w:left="1985" w:hanging="1985"/>
        <w:rPr>
          <w:rFonts w:ascii="Arial" w:eastAsia="Calibri" w:hAnsi="Arial" w:cs="Arial"/>
          <w:b/>
          <w:bCs/>
          <w:sz w:val="24"/>
        </w:rPr>
      </w:pPr>
      <w:r w:rsidRPr="00054EF6">
        <w:rPr>
          <w:rFonts w:ascii="Arial" w:eastAsia="Calibri" w:hAnsi="Arial" w:cs="Arial"/>
          <w:b/>
          <w:bCs/>
          <w:sz w:val="24"/>
        </w:rPr>
        <w:t>Source:</w:t>
      </w:r>
      <w:r w:rsidRPr="00054EF6">
        <w:rPr>
          <w:rFonts w:ascii="Arial" w:eastAsia="Calibri" w:hAnsi="Arial" w:cs="Arial"/>
          <w:b/>
          <w:bCs/>
          <w:sz w:val="24"/>
        </w:rPr>
        <w:tab/>
        <w:t xml:space="preserve">Nokia, </w:t>
      </w:r>
      <w:r w:rsidR="0043750A" w:rsidRPr="00054EF6">
        <w:rPr>
          <w:rFonts w:ascii="Arial" w:eastAsia="Calibri" w:hAnsi="Arial" w:cs="Arial"/>
          <w:b/>
          <w:bCs/>
          <w:sz w:val="24"/>
        </w:rPr>
        <w:t>Nokia</w:t>
      </w:r>
      <w:r w:rsidRPr="00054EF6">
        <w:rPr>
          <w:rFonts w:ascii="Arial" w:eastAsia="Calibri" w:hAnsi="Arial" w:cs="Arial"/>
          <w:b/>
          <w:bCs/>
          <w:sz w:val="24"/>
        </w:rPr>
        <w:t xml:space="preserve"> Shanghai Bell</w:t>
      </w:r>
    </w:p>
    <w:p w14:paraId="07624E8E" w14:textId="6EE6E939" w:rsidR="00841BCD" w:rsidRPr="0059128E" w:rsidRDefault="00841BCD" w:rsidP="005A162E">
      <w:pPr>
        <w:tabs>
          <w:tab w:val="left" w:pos="1985"/>
        </w:tabs>
        <w:ind w:left="1985" w:hanging="1985"/>
        <w:rPr>
          <w:rFonts w:ascii="Arial" w:eastAsia="Calibri" w:hAnsi="Arial" w:cs="Arial"/>
          <w:b/>
          <w:bCs/>
          <w:sz w:val="24"/>
        </w:rPr>
      </w:pPr>
      <w:r w:rsidRPr="00054EF6">
        <w:rPr>
          <w:rFonts w:ascii="Arial" w:eastAsia="Calibri" w:hAnsi="Arial" w:cs="Arial"/>
          <w:b/>
          <w:bCs/>
          <w:sz w:val="24"/>
        </w:rPr>
        <w:t>Title:</w:t>
      </w:r>
      <w:r w:rsidRPr="00054EF6">
        <w:rPr>
          <w:rFonts w:ascii="Arial" w:eastAsia="Calibri" w:hAnsi="Arial" w:cs="Arial"/>
          <w:b/>
          <w:bCs/>
          <w:sz w:val="24"/>
        </w:rPr>
        <w:tab/>
      </w:r>
      <w:r w:rsidR="00480935" w:rsidRPr="00EC417D">
        <w:rPr>
          <w:rFonts w:ascii="Arial" w:eastAsia="Calibri" w:hAnsi="Arial" w:cs="Arial"/>
          <w:b/>
          <w:bCs/>
          <w:sz w:val="24"/>
          <w:lang w:val="en-GB"/>
        </w:rPr>
        <w:t xml:space="preserve">On </w:t>
      </w:r>
      <w:r w:rsidR="00D41AF7">
        <w:rPr>
          <w:rFonts w:ascii="Arial" w:eastAsia="Calibri" w:hAnsi="Arial" w:cs="Arial"/>
          <w:b/>
          <w:bCs/>
          <w:sz w:val="24"/>
        </w:rPr>
        <w:t xml:space="preserve">HST FR2 </w:t>
      </w:r>
      <w:r w:rsidR="0059128E">
        <w:rPr>
          <w:rFonts w:ascii="Arial" w:eastAsia="Calibri" w:hAnsi="Arial" w:cs="Arial"/>
          <w:b/>
          <w:bCs/>
          <w:sz w:val="24"/>
        </w:rPr>
        <w:t xml:space="preserve">Deployment </w:t>
      </w:r>
      <w:r w:rsidR="00C04595">
        <w:rPr>
          <w:rFonts w:ascii="Arial" w:eastAsia="Calibri" w:hAnsi="Arial" w:cs="Arial"/>
          <w:b/>
          <w:bCs/>
          <w:sz w:val="24"/>
        </w:rPr>
        <w:t>Scenario</w:t>
      </w:r>
      <w:r w:rsidR="001057A0">
        <w:rPr>
          <w:rFonts w:ascii="Arial" w:eastAsia="Calibri" w:hAnsi="Arial" w:cs="Arial"/>
          <w:b/>
          <w:bCs/>
          <w:sz w:val="24"/>
        </w:rPr>
        <w:t xml:space="preserve"> </w:t>
      </w:r>
      <w:r w:rsidR="0059128E">
        <w:rPr>
          <w:rFonts w:ascii="Arial" w:eastAsia="Calibri" w:hAnsi="Arial" w:cs="Arial"/>
          <w:b/>
          <w:bCs/>
          <w:sz w:val="24"/>
        </w:rPr>
        <w:t>A</w:t>
      </w:r>
    </w:p>
    <w:p w14:paraId="6A9936F8" w14:textId="529973C5" w:rsidR="00651BCD" w:rsidRPr="00054EF6" w:rsidRDefault="00651BCD" w:rsidP="005A162E">
      <w:pPr>
        <w:tabs>
          <w:tab w:val="left" w:pos="1985"/>
        </w:tabs>
        <w:ind w:left="1985" w:hanging="1985"/>
        <w:contextualSpacing/>
        <w:rPr>
          <w:rFonts w:ascii="Arial" w:eastAsia="Calibri" w:hAnsi="Arial" w:cs="Arial"/>
          <w:b/>
          <w:bCs/>
          <w:sz w:val="24"/>
        </w:rPr>
      </w:pPr>
      <w:r w:rsidRPr="00054EF6">
        <w:rPr>
          <w:rFonts w:ascii="Arial" w:eastAsia="Calibri" w:hAnsi="Arial" w:cs="Arial"/>
          <w:b/>
          <w:bCs/>
          <w:sz w:val="24"/>
        </w:rPr>
        <w:t>Agenda item:</w:t>
      </w:r>
      <w:r w:rsidRPr="00054EF6">
        <w:rPr>
          <w:rFonts w:ascii="Arial" w:eastAsia="Calibri" w:hAnsi="Arial" w:cs="Arial"/>
          <w:b/>
          <w:bCs/>
          <w:sz w:val="24"/>
        </w:rPr>
        <w:tab/>
      </w:r>
      <w:r w:rsidR="0059128E" w:rsidRPr="0059128E">
        <w:rPr>
          <w:rFonts w:ascii="Arial" w:eastAsia="Calibri" w:hAnsi="Arial" w:cs="Arial"/>
          <w:b/>
          <w:bCs/>
          <w:sz w:val="24"/>
        </w:rPr>
        <w:t>9.9.2.1</w:t>
      </w:r>
    </w:p>
    <w:p w14:paraId="61D8F1EF" w14:textId="0D7C81A2" w:rsidR="00147553" w:rsidRPr="00054EF6" w:rsidRDefault="00841BCD" w:rsidP="00841BCD">
      <w:pPr>
        <w:tabs>
          <w:tab w:val="left" w:pos="1985"/>
        </w:tabs>
        <w:contextualSpacing/>
        <w:rPr>
          <w:rFonts w:ascii="Arial" w:eastAsia="Calibri" w:hAnsi="Arial" w:cs="Arial"/>
          <w:b/>
          <w:bCs/>
          <w:sz w:val="24"/>
        </w:rPr>
      </w:pPr>
      <w:r w:rsidRPr="00054EF6">
        <w:rPr>
          <w:rFonts w:ascii="Arial" w:eastAsia="Calibri" w:hAnsi="Arial" w:cs="Arial"/>
          <w:b/>
          <w:bCs/>
          <w:sz w:val="24"/>
        </w:rPr>
        <w:t>Document for:</w:t>
      </w:r>
      <w:r w:rsidRPr="00054EF6">
        <w:rPr>
          <w:rFonts w:ascii="Arial" w:eastAsia="Calibri" w:hAnsi="Arial" w:cs="Arial"/>
          <w:b/>
          <w:bCs/>
          <w:sz w:val="24"/>
        </w:rPr>
        <w:tab/>
      </w:r>
      <w:r w:rsidR="00C97A3A" w:rsidRPr="00054EF6">
        <w:rPr>
          <w:rFonts w:ascii="Arial" w:eastAsia="Calibri" w:hAnsi="Arial" w:cs="Arial"/>
          <w:b/>
          <w:bCs/>
          <w:sz w:val="24"/>
        </w:rPr>
        <w:t>Discussion</w:t>
      </w:r>
    </w:p>
    <w:p w14:paraId="7C85CEA2" w14:textId="77777777" w:rsidR="005A162E" w:rsidRPr="00054EF6" w:rsidRDefault="005A162E" w:rsidP="00841BCD">
      <w:pPr>
        <w:tabs>
          <w:tab w:val="left" w:pos="1985"/>
        </w:tabs>
        <w:rPr>
          <w:rFonts w:ascii="Arial" w:eastAsia="Calibri" w:hAnsi="Arial" w:cs="Arial"/>
          <w:b/>
          <w:bCs/>
          <w:sz w:val="24"/>
        </w:rPr>
      </w:pPr>
    </w:p>
    <w:p w14:paraId="081C4E42" w14:textId="0C2935D6" w:rsidR="007865E5" w:rsidRPr="00054EF6" w:rsidRDefault="00841BCD" w:rsidP="00605BC7">
      <w:pPr>
        <w:pStyle w:val="RAN4H1"/>
      </w:pPr>
      <w:r w:rsidRPr="00054EF6">
        <w:t>Intro</w:t>
      </w:r>
      <w:r w:rsidRPr="00054EF6">
        <w:rPr>
          <w:rStyle w:val="RAN4H1Char"/>
        </w:rPr>
        <w:t>ductio</w:t>
      </w:r>
      <w:r w:rsidRPr="00054EF6">
        <w:t>n</w:t>
      </w:r>
    </w:p>
    <w:p w14:paraId="01A61C54" w14:textId="4608F892" w:rsidR="007865E5" w:rsidRDefault="003C5811" w:rsidP="00605BC7">
      <w:r>
        <w:t>The discussion o</w:t>
      </w:r>
      <w:r w:rsidR="006227F7">
        <w:t xml:space="preserve">f HST FR2 </w:t>
      </w:r>
      <w:r w:rsidR="000F52D4">
        <w:t xml:space="preserve">deployments </w:t>
      </w:r>
      <w:r w:rsidR="006227F7">
        <w:t>continue</w:t>
      </w:r>
      <w:r w:rsidR="000F52D4">
        <w:t>d</w:t>
      </w:r>
      <w:r w:rsidR="006227F7">
        <w:t xml:space="preserve"> at the previous RA</w:t>
      </w:r>
      <w:r w:rsidR="00224D0A">
        <w:t>N</w:t>
      </w:r>
      <w:r w:rsidR="006227F7">
        <w:t xml:space="preserve">#99-e meeting in </w:t>
      </w:r>
      <w:r w:rsidR="00224D0A">
        <w:t>terms</w:t>
      </w:r>
      <w:r w:rsidR="00825AD5">
        <w:t xml:space="preserve"> of two main </w:t>
      </w:r>
      <w:r w:rsidR="00224D0A">
        <w:t>deployment</w:t>
      </w:r>
      <w:r w:rsidR="00825AD5">
        <w:t xml:space="preserve"> scenario</w:t>
      </w:r>
      <w:r w:rsidR="00AD196F">
        <w:t>s</w:t>
      </w:r>
      <w:r w:rsidR="004572ED">
        <w:t>:</w:t>
      </w:r>
    </w:p>
    <w:p w14:paraId="6850C856" w14:textId="1C973A2B" w:rsidR="00224D0A" w:rsidRDefault="000F52D4" w:rsidP="00224D0A">
      <w:pPr>
        <w:pStyle w:val="ListParagraph"/>
        <w:numPr>
          <w:ilvl w:val="0"/>
          <w:numId w:val="22"/>
        </w:numPr>
      </w:pPr>
      <w:r>
        <w:t>Scenario</w:t>
      </w:r>
      <w:r w:rsidR="00224D0A">
        <w:t xml:space="preserve">-A: </w:t>
      </w:r>
      <w:r w:rsidR="00D35441">
        <w:t>Ds=10m, i.e., the RRHs are located close the railway track</w:t>
      </w:r>
    </w:p>
    <w:p w14:paraId="709F5178" w14:textId="1B8B7283" w:rsidR="00D35441" w:rsidRDefault="00D35441" w:rsidP="00224D0A">
      <w:pPr>
        <w:pStyle w:val="ListParagraph"/>
        <w:numPr>
          <w:ilvl w:val="0"/>
          <w:numId w:val="22"/>
        </w:numPr>
      </w:pPr>
      <w:r>
        <w:t>Scenario B: Ds=</w:t>
      </w:r>
      <w:r w:rsidR="00ED39EF">
        <w:t>150, i.e., the RRHs are located further away from the track, and this deployment can reuse FR1 sites.</w:t>
      </w:r>
    </w:p>
    <w:p w14:paraId="7945F588" w14:textId="636220FE" w:rsidR="00646988" w:rsidRDefault="007F52F4" w:rsidP="00ED39EF">
      <w:r>
        <w:t>Following the WF</w:t>
      </w:r>
      <w:r w:rsidR="00BD0AE0">
        <w:t xml:space="preserve"> </w:t>
      </w:r>
      <w:r w:rsidR="00BD0AE0">
        <w:fldChar w:fldCharType="begin"/>
      </w:r>
      <w:r w:rsidR="00BD0AE0">
        <w:instrText xml:space="preserve"> REF _Ref79154124 \r \h </w:instrText>
      </w:r>
      <w:r w:rsidR="00BD0AE0">
        <w:fldChar w:fldCharType="separate"/>
      </w:r>
      <w:r w:rsidR="00BD0AE0">
        <w:t>[</w:t>
      </w:r>
      <w:r w:rsidR="00680B0B">
        <w:t>1</w:t>
      </w:r>
      <w:r w:rsidR="00BD0AE0">
        <w:t>]</w:t>
      </w:r>
      <w:r w:rsidR="00BD0AE0">
        <w:fldChar w:fldCharType="end"/>
      </w:r>
      <w:r>
        <w:t xml:space="preserve">, </w:t>
      </w:r>
      <w:r w:rsidR="00437167">
        <w:t>n</w:t>
      </w:r>
      <w:r w:rsidR="00646988">
        <w:t>ot that many issues left open in relation to Scenario</w:t>
      </w:r>
      <w:r w:rsidR="00FF1BFC">
        <w:t xml:space="preserve"> </w:t>
      </w:r>
      <w:r w:rsidR="00646988">
        <w:t>A.</w:t>
      </w:r>
    </w:p>
    <w:p w14:paraId="553823D8" w14:textId="71EA4494" w:rsidR="007A4A5B" w:rsidRDefault="007A4A5B" w:rsidP="00ED39EF">
      <w:r>
        <w:t>In th</w:t>
      </w:r>
      <w:r w:rsidR="00631D05">
        <w:t>is</w:t>
      </w:r>
      <w:r>
        <w:t xml:space="preserve"> contribution, we share our opinion </w:t>
      </w:r>
      <w:r w:rsidR="00BD0AE0">
        <w:t>on the following topics</w:t>
      </w:r>
      <w:r w:rsidR="00687475">
        <w:t>:</w:t>
      </w:r>
    </w:p>
    <w:p w14:paraId="3B25B933" w14:textId="52A8AB19" w:rsidR="00746523" w:rsidRPr="00F9506D" w:rsidRDefault="00F9506D" w:rsidP="00841295">
      <w:pPr>
        <w:pStyle w:val="ListParagraph"/>
        <w:numPr>
          <w:ilvl w:val="0"/>
          <w:numId w:val="24"/>
        </w:numPr>
      </w:pPr>
      <w:r>
        <w:t>Potential HO issues in uni-directional setting due to the sudden degraded serving cell quality.</w:t>
      </w:r>
    </w:p>
    <w:p w14:paraId="2417CD74" w14:textId="3C5B6BDD" w:rsidR="007A4A5B" w:rsidRDefault="00C65483" w:rsidP="00ED39EF">
      <w:r>
        <w:t>Our analysis</w:t>
      </w:r>
      <w:r w:rsidR="008E4404">
        <w:rPr>
          <w:lang w:val="ru-RU"/>
        </w:rPr>
        <w:t xml:space="preserve"> </w:t>
      </w:r>
      <w:r w:rsidR="00EA6B39">
        <w:t>relies</w:t>
      </w:r>
      <w:r w:rsidR="008E4404">
        <w:t xml:space="preserve"> mostly on the results of system-level simulations that are introduced in more details in our </w:t>
      </w:r>
      <w:r w:rsidR="008E4404" w:rsidRPr="00931F7C">
        <w:t>accompanying contribution</w:t>
      </w:r>
      <w:r w:rsidR="00931F7C">
        <w:t xml:space="preserve"> </w:t>
      </w:r>
      <w:r w:rsidR="00931F7C">
        <w:fldChar w:fldCharType="begin"/>
      </w:r>
      <w:r w:rsidR="00931F7C">
        <w:instrText xml:space="preserve"> REF _Ref79154295 \r \h </w:instrText>
      </w:r>
      <w:r w:rsidR="00931F7C">
        <w:fldChar w:fldCharType="separate"/>
      </w:r>
      <w:r w:rsidR="00931F7C">
        <w:t>[</w:t>
      </w:r>
      <w:r w:rsidR="00680B0B">
        <w:t>2</w:t>
      </w:r>
      <w:r w:rsidR="00931F7C">
        <w:t>]</w:t>
      </w:r>
      <w:r w:rsidR="00931F7C">
        <w:fldChar w:fldCharType="end"/>
      </w:r>
      <w:r w:rsidR="00931F7C">
        <w:t>.</w:t>
      </w:r>
    </w:p>
    <w:p w14:paraId="061C2F45" w14:textId="77777777" w:rsidR="00E159A8" w:rsidRPr="008E4404" w:rsidRDefault="00E159A8" w:rsidP="00ED39EF"/>
    <w:p w14:paraId="5D636E52" w14:textId="69389631" w:rsidR="002458EC" w:rsidRPr="00054EF6" w:rsidRDefault="00AA36E1" w:rsidP="002458EC">
      <w:pPr>
        <w:pStyle w:val="RAN4H1"/>
      </w:pPr>
      <w:r w:rsidRPr="00054EF6">
        <w:t>Discussion</w:t>
      </w:r>
    </w:p>
    <w:p w14:paraId="1947212D" w14:textId="33A2273E" w:rsidR="00F542C8" w:rsidRDefault="00831FAD" w:rsidP="00831FAD">
      <w:pPr>
        <w:pStyle w:val="RAN4H2"/>
      </w:pPr>
      <w:r>
        <w:t>Potential HO issue</w:t>
      </w:r>
    </w:p>
    <w:p w14:paraId="6EC84F83" w14:textId="28938D1C" w:rsidR="00FA0E0F" w:rsidRPr="00FA0E0F" w:rsidRDefault="000F165A" w:rsidP="00FA0E0F">
      <w:bookmarkStart w:id="2" w:name="_Hlk79181793"/>
      <w:r>
        <w:t>In [1],</w:t>
      </w:r>
      <w:r w:rsidR="003C6DA0">
        <w:t xml:space="preserve"> a potential HO </w:t>
      </w:r>
      <w:r w:rsidR="00002A1A">
        <w:t xml:space="preserve">due to the sudden degradation of the serving cell quality when </w:t>
      </w:r>
      <w:r w:rsidR="00FF1BFC">
        <w:t>U</w:t>
      </w:r>
      <w:r w:rsidR="00002A1A">
        <w:t>E is moving towards the serving beam</w:t>
      </w:r>
      <w:r>
        <w:t xml:space="preserve"> is outlined</w:t>
      </w:r>
      <w:r w:rsidR="00002A1A">
        <w:t>:</w:t>
      </w:r>
    </w:p>
    <w:tbl>
      <w:tblPr>
        <w:tblStyle w:val="TableGrid"/>
        <w:tblW w:w="8647" w:type="dxa"/>
        <w:jc w:val="center"/>
        <w:tblLook w:val="04A0" w:firstRow="1" w:lastRow="0" w:firstColumn="1" w:lastColumn="0" w:noHBand="0" w:noVBand="1"/>
      </w:tblPr>
      <w:tblGrid>
        <w:gridCol w:w="8647"/>
      </w:tblGrid>
      <w:tr w:rsidR="00783670" w14:paraId="735E72CE" w14:textId="77777777" w:rsidTr="00783670">
        <w:trPr>
          <w:jc w:val="center"/>
        </w:trPr>
        <w:tc>
          <w:tcPr>
            <w:tcW w:w="8647" w:type="dxa"/>
          </w:tcPr>
          <w:bookmarkEnd w:id="2"/>
          <w:p w14:paraId="0B2FF9AF" w14:textId="77777777" w:rsidR="00FA0E0F" w:rsidRPr="00FA0E0F" w:rsidRDefault="00FA0E0F" w:rsidP="00FA0E0F">
            <w:pPr>
              <w:pStyle w:val="ListParagraph"/>
              <w:numPr>
                <w:ilvl w:val="0"/>
                <w:numId w:val="23"/>
              </w:numPr>
            </w:pPr>
            <w:r w:rsidRPr="00FA0E0F">
              <w:t xml:space="preserve">Potential Handover Issue: </w:t>
            </w:r>
          </w:p>
          <w:p w14:paraId="4A8A5C35" w14:textId="77777777" w:rsidR="00FA0E0F" w:rsidRPr="00FA0E0F" w:rsidRDefault="00FA0E0F" w:rsidP="00FA0E0F">
            <w:pPr>
              <w:pStyle w:val="ListParagraph"/>
              <w:numPr>
                <w:ilvl w:val="1"/>
                <w:numId w:val="23"/>
              </w:numPr>
            </w:pPr>
            <w:r w:rsidRPr="00FA0E0F">
              <w:t>Potential handover problem due to sudden RX signal increase of the target cell can be alleviated by DPS transmission scheme with carefully allocated SSB-index among neighboring cells to avoid inter-cell interference.</w:t>
            </w:r>
          </w:p>
          <w:p w14:paraId="44BBCAC3" w14:textId="3900287C" w:rsidR="00783670" w:rsidRPr="00FA0E0F" w:rsidRDefault="00FA0E0F" w:rsidP="00FA0E0F">
            <w:pPr>
              <w:pStyle w:val="ListParagraph"/>
              <w:numPr>
                <w:ilvl w:val="1"/>
                <w:numId w:val="23"/>
              </w:numPr>
              <w:rPr>
                <w:b/>
                <w:bCs/>
              </w:rPr>
            </w:pPr>
            <w:r w:rsidRPr="00FA0E0F">
              <w:rPr>
                <w:b/>
                <w:bCs/>
              </w:rPr>
              <w:t>FFS another potential handover issue due to the sudden degraded serving cell quality for UE moving toward the serving beam in uni-directional deployment.</w:t>
            </w:r>
          </w:p>
        </w:tc>
      </w:tr>
    </w:tbl>
    <w:p w14:paraId="0C8A2EDA" w14:textId="77777777" w:rsidR="007657D9" w:rsidRDefault="007657D9" w:rsidP="00961638">
      <w:pPr>
        <w:keepNext/>
        <w:jc w:val="center"/>
      </w:pPr>
      <w:r>
        <w:rPr>
          <w:noProof/>
        </w:rPr>
        <w:lastRenderedPageBreak/>
        <w:drawing>
          <wp:inline distT="0" distB="0" distL="0" distR="0" wp14:anchorId="56E6E87C" wp14:editId="0BC9C6DA">
            <wp:extent cx="5014477" cy="2520000"/>
            <wp:effectExtent l="0" t="0" r="0" b="0"/>
            <wp:docPr id="6" name="Picture 6" descr="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Graphical user interface&#10;&#10;Description automatically generated"/>
                    <pic:cNvPicPr/>
                  </pic:nvPicPr>
                  <pic:blipFill>
                    <a:blip r:embed="rId13">
                      <a:extLst>
                        <a:ext uri="{28A0092B-C50C-407E-A947-70E740481C1C}">
                          <a14:useLocalDpi xmlns:a14="http://schemas.microsoft.com/office/drawing/2010/main" val="0"/>
                        </a:ext>
                      </a:extLst>
                    </a:blip>
                    <a:stretch>
                      <a:fillRect/>
                    </a:stretch>
                  </pic:blipFill>
                  <pic:spPr>
                    <a:xfrm>
                      <a:off x="0" y="0"/>
                      <a:ext cx="5014477" cy="2520000"/>
                    </a:xfrm>
                    <a:prstGeom prst="rect">
                      <a:avLst/>
                    </a:prstGeom>
                  </pic:spPr>
                </pic:pic>
              </a:graphicData>
            </a:graphic>
          </wp:inline>
        </w:drawing>
      </w:r>
    </w:p>
    <w:p w14:paraId="5FA7FAD1" w14:textId="00946DEE" w:rsidR="007657D9" w:rsidRDefault="007657D9" w:rsidP="00961638">
      <w:pPr>
        <w:pStyle w:val="Caption"/>
      </w:pPr>
      <w:r>
        <w:t xml:space="preserve">Figure </w:t>
      </w:r>
      <w:r w:rsidR="00B00BEF">
        <w:fldChar w:fldCharType="begin"/>
      </w:r>
      <w:r w:rsidR="00B00BEF">
        <w:instrText xml:space="preserve"> SEQ Figure \* ARABIC </w:instrText>
      </w:r>
      <w:r w:rsidR="00B00BEF">
        <w:fldChar w:fldCharType="separate"/>
      </w:r>
      <w:r>
        <w:rPr>
          <w:noProof/>
        </w:rPr>
        <w:t>1</w:t>
      </w:r>
      <w:r w:rsidR="00B00BEF">
        <w:rPr>
          <w:noProof/>
        </w:rPr>
        <w:fldChar w:fldCharType="end"/>
      </w:r>
      <w:r>
        <w:t xml:space="preserve"> Illustration of Scenario-A with RRH direction opposite to train movement</w:t>
      </w:r>
    </w:p>
    <w:p w14:paraId="166AAA5D" w14:textId="3E2FE84A" w:rsidR="00FA0E0F" w:rsidRDefault="00FA0E0F" w:rsidP="00783670"/>
    <w:p w14:paraId="5FFA3D20" w14:textId="098CF0AC" w:rsidR="00B94CD7" w:rsidRDefault="00B94CD7" w:rsidP="00075B95">
      <w:pPr>
        <w:rPr>
          <w:highlight w:val="yellow"/>
        </w:rPr>
      </w:pPr>
      <w:r>
        <w:rPr>
          <w:highlight w:val="yellow"/>
        </w:rPr>
        <w:fldChar w:fldCharType="begin"/>
      </w:r>
      <w:r>
        <w:rPr>
          <w:highlight w:val="yellow"/>
        </w:rPr>
        <w:instrText xml:space="preserve"> REF _Ref79076742 \h </w:instrText>
      </w:r>
      <w:r>
        <w:rPr>
          <w:highlight w:val="yellow"/>
        </w:rPr>
      </w:r>
      <w:r>
        <w:rPr>
          <w:highlight w:val="yellow"/>
        </w:rPr>
        <w:fldChar w:fldCharType="separate"/>
      </w:r>
      <w:r w:rsidR="0065308D">
        <w:t xml:space="preserve">Figure </w:t>
      </w:r>
      <w:r w:rsidR="0065308D">
        <w:rPr>
          <w:noProof/>
        </w:rPr>
        <w:t>2</w:t>
      </w:r>
      <w:r>
        <w:rPr>
          <w:highlight w:val="yellow"/>
        </w:rPr>
        <w:fldChar w:fldCharType="end"/>
      </w:r>
      <w:r w:rsidRPr="00075B95">
        <w:t xml:space="preserve"> shows</w:t>
      </w:r>
      <w:r>
        <w:t xml:space="preserve"> SINR trace for serving RRH in Scenario</w:t>
      </w:r>
      <w:r w:rsidR="00FF1BFC">
        <w:t xml:space="preserve"> </w:t>
      </w:r>
      <w:r>
        <w:t>A uni-directional deployment where RRH direction is opposite to train movement. We observe quick drop in signal quality after train passes the main lobe of the beam from nearby RRH. This may cause mobility failures particularly with longer measurement delays caused by DRX. Results in [</w:t>
      </w:r>
      <w:r w:rsidR="00146192">
        <w:t>3</w:t>
      </w:r>
      <w:r>
        <w:t>] show that Scenario-A where RRH direction is the same as train movement has robust mobility even up to 160 ms DRX cycles with N=8 scaling for Rx beams.</w:t>
      </w:r>
    </w:p>
    <w:p w14:paraId="0E149D53" w14:textId="77777777" w:rsidR="008F5140" w:rsidRDefault="008F5140" w:rsidP="008F5140">
      <w:pPr>
        <w:keepNext/>
        <w:jc w:val="center"/>
      </w:pPr>
      <w:r>
        <w:rPr>
          <w:noProof/>
        </w:rPr>
        <w:drawing>
          <wp:inline distT="0" distB="0" distL="0" distR="0" wp14:anchorId="26D528BC" wp14:editId="26FFAD60">
            <wp:extent cx="4003858" cy="2520000"/>
            <wp:effectExtent l="0" t="0" r="0" b="0"/>
            <wp:docPr id="4" name="Picture 4"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Chart, line chart&#10;&#10;Description automatically generated"/>
                    <pic:cNvPicPr/>
                  </pic:nvPicPr>
                  <pic:blipFill>
                    <a:blip r:embed="rId14">
                      <a:extLst>
                        <a:ext uri="{28A0092B-C50C-407E-A947-70E740481C1C}">
                          <a14:useLocalDpi xmlns:a14="http://schemas.microsoft.com/office/drawing/2010/main" val="0"/>
                        </a:ext>
                      </a:extLst>
                    </a:blip>
                    <a:stretch>
                      <a:fillRect/>
                    </a:stretch>
                  </pic:blipFill>
                  <pic:spPr>
                    <a:xfrm>
                      <a:off x="0" y="0"/>
                      <a:ext cx="4003858" cy="2520000"/>
                    </a:xfrm>
                    <a:prstGeom prst="rect">
                      <a:avLst/>
                    </a:prstGeom>
                  </pic:spPr>
                </pic:pic>
              </a:graphicData>
            </a:graphic>
          </wp:inline>
        </w:drawing>
      </w:r>
    </w:p>
    <w:p w14:paraId="6FAB61BC" w14:textId="5F30E041" w:rsidR="008F5140" w:rsidRDefault="008F5140" w:rsidP="008F5140">
      <w:pPr>
        <w:pStyle w:val="Caption"/>
      </w:pPr>
      <w:bookmarkStart w:id="3" w:name="_Ref79076742"/>
      <w:r>
        <w:t xml:space="preserve">Figure </w:t>
      </w:r>
      <w:r>
        <w:fldChar w:fldCharType="begin"/>
      </w:r>
      <w:r>
        <w:instrText>SEQ Figure \* ARABIC</w:instrText>
      </w:r>
      <w:r>
        <w:fldChar w:fldCharType="separate"/>
      </w:r>
      <w:r w:rsidR="007657D9">
        <w:rPr>
          <w:noProof/>
        </w:rPr>
        <w:t>2</w:t>
      </w:r>
      <w:r>
        <w:fldChar w:fldCharType="end"/>
      </w:r>
      <w:bookmarkEnd w:id="3"/>
      <w:r>
        <w:t xml:space="preserve"> SINR trace</w:t>
      </w:r>
    </w:p>
    <w:p w14:paraId="406CB8DA" w14:textId="465F2F71" w:rsidR="00F10F69" w:rsidRPr="00075B95" w:rsidRDefault="00F10F69" w:rsidP="00075B95">
      <w:r w:rsidRPr="00075B95">
        <w:fldChar w:fldCharType="begin"/>
      </w:r>
      <w:r w:rsidRPr="00075B95">
        <w:instrText xml:space="preserve"> REF _Ref79131547 \h </w:instrText>
      </w:r>
      <w:r>
        <w:instrText xml:space="preserve"> \* MERGEFORMAT </w:instrText>
      </w:r>
      <w:r w:rsidRPr="00075B95">
        <w:fldChar w:fldCharType="separate"/>
      </w:r>
      <w:r w:rsidR="0065308D">
        <w:t xml:space="preserve">Figure </w:t>
      </w:r>
      <w:r w:rsidR="0065308D">
        <w:rPr>
          <w:noProof/>
        </w:rPr>
        <w:t>3</w:t>
      </w:r>
      <w:r w:rsidRPr="00075B95">
        <w:fldChar w:fldCharType="end"/>
      </w:r>
      <w:r w:rsidRPr="00075B95">
        <w:t xml:space="preserve"> </w:t>
      </w:r>
      <w:r>
        <w:t xml:space="preserve">shows SINR distributions for uni-directional Scenario-A cases with different RRH directions and DRX cycles. We observe that in a deployment where RRHs are pointing to opposite direction from train movement there are significant number of very low SINRs particularly with long DRX cycles. </w:t>
      </w:r>
      <w:r w:rsidR="00195369">
        <w:t>Also,</w:t>
      </w:r>
      <w:r>
        <w:t xml:space="preserve"> when </w:t>
      </w:r>
      <w:r w:rsidR="00195369">
        <w:t>RRHs are pointing to the same direction as train movement DRX has impact on SINR, but no DRX and short DRX cases (below 160 ms) provide excellent SINRs even at 5-percentile. Based on these results in uni-directional scenario there is a significant impact on mobility performance depending on the RRH direction in relation to train movement.</w:t>
      </w:r>
      <w:r w:rsidR="00F4381D">
        <w:t xml:space="preserve"> Note that these results assume N=8 scaling, so measurement periods are very long with DRX.</w:t>
      </w:r>
    </w:p>
    <w:p w14:paraId="00978CE9" w14:textId="77777777" w:rsidR="00FC6C6F" w:rsidRPr="00FC6C6F" w:rsidRDefault="00FC6C6F" w:rsidP="000A7A29">
      <w:pPr>
        <w:jc w:val="center"/>
        <w:rPr>
          <w:highlight w:val="yellow"/>
        </w:rPr>
      </w:pPr>
    </w:p>
    <w:p w14:paraId="54DD75F2" w14:textId="77777777" w:rsidR="00C26333" w:rsidRDefault="00C26333" w:rsidP="00075B95">
      <w:pPr>
        <w:keepNext/>
        <w:jc w:val="center"/>
      </w:pPr>
      <w:r>
        <w:rPr>
          <w:noProof/>
        </w:rPr>
        <w:lastRenderedPageBreak/>
        <w:drawing>
          <wp:inline distT="0" distB="0" distL="0" distR="0" wp14:anchorId="7788D67B" wp14:editId="6EDEAE89">
            <wp:extent cx="3953078" cy="2520000"/>
            <wp:effectExtent l="0" t="0" r="0" b="0"/>
            <wp:docPr id="5" name="Picture 5" descr="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Chart&#10;&#10;Description automatically generated"/>
                    <pic:cNvPicPr/>
                  </pic:nvPicPr>
                  <pic:blipFill>
                    <a:blip r:embed="rId15">
                      <a:extLst>
                        <a:ext uri="{28A0092B-C50C-407E-A947-70E740481C1C}">
                          <a14:useLocalDpi xmlns:a14="http://schemas.microsoft.com/office/drawing/2010/main" val="0"/>
                        </a:ext>
                      </a:extLst>
                    </a:blip>
                    <a:stretch>
                      <a:fillRect/>
                    </a:stretch>
                  </pic:blipFill>
                  <pic:spPr>
                    <a:xfrm>
                      <a:off x="0" y="0"/>
                      <a:ext cx="3953078" cy="2520000"/>
                    </a:xfrm>
                    <a:prstGeom prst="rect">
                      <a:avLst/>
                    </a:prstGeom>
                  </pic:spPr>
                </pic:pic>
              </a:graphicData>
            </a:graphic>
          </wp:inline>
        </w:drawing>
      </w:r>
    </w:p>
    <w:p w14:paraId="43341D20" w14:textId="04C7B2DC" w:rsidR="00C26333" w:rsidRPr="00FC6C6F" w:rsidRDefault="00C26333" w:rsidP="00075B95">
      <w:pPr>
        <w:pStyle w:val="Caption"/>
        <w:rPr>
          <w:highlight w:val="yellow"/>
        </w:rPr>
      </w:pPr>
      <w:bookmarkStart w:id="4" w:name="_Ref79131547"/>
      <w:r>
        <w:t xml:space="preserve">Figure </w:t>
      </w:r>
      <w:r w:rsidR="00B00BEF">
        <w:fldChar w:fldCharType="begin"/>
      </w:r>
      <w:r w:rsidR="00B00BEF">
        <w:instrText xml:space="preserve"> SEQ Figure \* ARABIC </w:instrText>
      </w:r>
      <w:r w:rsidR="00B00BEF">
        <w:fldChar w:fldCharType="separate"/>
      </w:r>
      <w:r w:rsidR="007657D9">
        <w:rPr>
          <w:noProof/>
        </w:rPr>
        <w:t>3</w:t>
      </w:r>
      <w:r w:rsidR="00B00BEF">
        <w:rPr>
          <w:noProof/>
        </w:rPr>
        <w:fldChar w:fldCharType="end"/>
      </w:r>
      <w:bookmarkEnd w:id="4"/>
      <w:r>
        <w:t xml:space="preserve"> SINR distributions for uni-directional Scenario-A with different RRH directions and DRX cycles</w:t>
      </w:r>
    </w:p>
    <w:p w14:paraId="3658885C" w14:textId="563310DC" w:rsidR="007375DE" w:rsidRDefault="002704FF" w:rsidP="00075B95">
      <w:r>
        <w:rPr>
          <w:highlight w:val="yellow"/>
        </w:rPr>
        <w:fldChar w:fldCharType="begin"/>
      </w:r>
      <w:r>
        <w:instrText xml:space="preserve"> REF _Ref79076527 \h </w:instrText>
      </w:r>
      <w:r>
        <w:rPr>
          <w:highlight w:val="yellow"/>
        </w:rPr>
      </w:r>
      <w:r>
        <w:rPr>
          <w:highlight w:val="yellow"/>
        </w:rPr>
        <w:fldChar w:fldCharType="separate"/>
      </w:r>
      <w:r w:rsidR="0065308D">
        <w:t xml:space="preserve">Figure </w:t>
      </w:r>
      <w:r w:rsidR="0065308D">
        <w:rPr>
          <w:noProof/>
        </w:rPr>
        <w:t>4</w:t>
      </w:r>
      <w:r>
        <w:rPr>
          <w:highlight w:val="yellow"/>
        </w:rPr>
        <w:fldChar w:fldCharType="end"/>
      </w:r>
      <w:r>
        <w:t xml:space="preserve"> shows time-of-outage percentage per call in all uni-directional scenario variations. We observe that if RRHs are pointing opposite to train movement direction the time-of-outage percentage is higher. This is particularly</w:t>
      </w:r>
      <w:r w:rsidR="00411445">
        <w:t xml:space="preserve"> evident for Scenario-A, where some increased time-of-outage is seen even with short DRX cycles. More results </w:t>
      </w:r>
      <w:r w:rsidR="00BB24CB">
        <w:t xml:space="preserve">can be found </w:t>
      </w:r>
      <w:r w:rsidR="00411445">
        <w:t>i</w:t>
      </w:r>
      <w:r w:rsidR="00BB24CB">
        <w:t>n [</w:t>
      </w:r>
      <w:r w:rsidR="00A1755C">
        <w:t>2</w:t>
      </w:r>
      <w:r w:rsidR="00BB24CB">
        <w:t>].</w:t>
      </w:r>
    </w:p>
    <w:p w14:paraId="2C4B3EB9" w14:textId="77777777" w:rsidR="00753003" w:rsidRDefault="00EC417D" w:rsidP="00753003">
      <w:pPr>
        <w:keepNext/>
        <w:jc w:val="center"/>
      </w:pPr>
      <w:r>
        <w:rPr>
          <w:noProof/>
        </w:rPr>
        <w:drawing>
          <wp:inline distT="0" distB="0" distL="0" distR="0" wp14:anchorId="252ACDC4" wp14:editId="41F3FBA4">
            <wp:extent cx="3346058" cy="2520000"/>
            <wp:effectExtent l="0" t="0" r="698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6">
                      <a:extLst>
                        <a:ext uri="{28A0092B-C50C-407E-A947-70E740481C1C}">
                          <a14:useLocalDpi xmlns:a14="http://schemas.microsoft.com/office/drawing/2010/main" val="0"/>
                        </a:ext>
                      </a:extLst>
                    </a:blip>
                    <a:stretch>
                      <a:fillRect/>
                    </a:stretch>
                  </pic:blipFill>
                  <pic:spPr>
                    <a:xfrm>
                      <a:off x="0" y="0"/>
                      <a:ext cx="3346058" cy="2520000"/>
                    </a:xfrm>
                    <a:prstGeom prst="rect">
                      <a:avLst/>
                    </a:prstGeom>
                  </pic:spPr>
                </pic:pic>
              </a:graphicData>
            </a:graphic>
          </wp:inline>
        </w:drawing>
      </w:r>
    </w:p>
    <w:p w14:paraId="72FA96CD" w14:textId="1FB7BEDC" w:rsidR="00EC417D" w:rsidRPr="00753003" w:rsidRDefault="00753003" w:rsidP="00753003">
      <w:pPr>
        <w:pStyle w:val="Caption"/>
        <w:rPr>
          <w:lang w:val="en-GB"/>
        </w:rPr>
      </w:pPr>
      <w:bookmarkStart w:id="5" w:name="_Ref79076527"/>
      <w:r>
        <w:t xml:space="preserve">Figure </w:t>
      </w:r>
      <w:r>
        <w:fldChar w:fldCharType="begin"/>
      </w:r>
      <w:r>
        <w:instrText>SEQ Figure \* ARABIC</w:instrText>
      </w:r>
      <w:r>
        <w:fldChar w:fldCharType="separate"/>
      </w:r>
      <w:r w:rsidR="007657D9">
        <w:rPr>
          <w:noProof/>
        </w:rPr>
        <w:t>4</w:t>
      </w:r>
      <w:r>
        <w:fldChar w:fldCharType="end"/>
      </w:r>
      <w:bookmarkEnd w:id="5"/>
      <w:r w:rsidRPr="00753003">
        <w:rPr>
          <w:lang w:val="en-GB"/>
        </w:rPr>
        <w:t xml:space="preserve"> Time-of-outage in uni-directional scenarios</w:t>
      </w:r>
    </w:p>
    <w:p w14:paraId="03BAB927" w14:textId="77777777" w:rsidR="00FC6C6F" w:rsidRDefault="00FC6C6F" w:rsidP="00FC17A3">
      <w:pPr>
        <w:jc w:val="center"/>
      </w:pPr>
    </w:p>
    <w:p w14:paraId="54C541A6" w14:textId="284DFF83" w:rsidR="00546001" w:rsidRPr="002B329F" w:rsidRDefault="00092A75" w:rsidP="00546001">
      <w:pPr>
        <w:pStyle w:val="RAN4observation0"/>
      </w:pPr>
      <w:bookmarkStart w:id="6" w:name="_Hlk79182281"/>
      <w:r w:rsidRPr="002B329F">
        <w:t>Based on our system-level simulations in scenario-A</w:t>
      </w:r>
      <w:r w:rsidR="002B329F">
        <w:t>, no</w:t>
      </w:r>
      <w:r w:rsidRPr="002B329F">
        <w:t xml:space="preserve"> </w:t>
      </w:r>
      <w:r w:rsidR="002B329F">
        <w:t>potential HO issues are observed</w:t>
      </w:r>
      <w:r w:rsidR="00546001" w:rsidRPr="002B329F">
        <w:t>.</w:t>
      </w:r>
    </w:p>
    <w:bookmarkEnd w:id="6"/>
    <w:p w14:paraId="40CFB1A6" w14:textId="77777777" w:rsidR="00546001" w:rsidRPr="00546001" w:rsidRDefault="00546001" w:rsidP="00546001"/>
    <w:p w14:paraId="5F3E897B" w14:textId="3672E14A" w:rsidR="00920B6D" w:rsidRDefault="00D377E7" w:rsidP="00920B6D">
      <w:pPr>
        <w:pStyle w:val="RAN4H2"/>
      </w:pPr>
      <w:r>
        <w:t xml:space="preserve">RRH </w:t>
      </w:r>
      <w:r w:rsidR="001434F5">
        <w:t xml:space="preserve">beam </w:t>
      </w:r>
      <w:r>
        <w:t>back-lobe</w:t>
      </w:r>
    </w:p>
    <w:p w14:paraId="2BD1A84A" w14:textId="4C9C3A58" w:rsidR="00347556" w:rsidRDefault="00AD2959" w:rsidP="00D377E7">
      <w:r>
        <w:t xml:space="preserve"> In Scenario-A</w:t>
      </w:r>
      <w:r w:rsidR="00F51205">
        <w:t>,</w:t>
      </w:r>
      <w:r>
        <w:t xml:space="preserve"> </w:t>
      </w:r>
      <w:r w:rsidR="00D25729">
        <w:t>the panel boresight and therefore the back-lobe are almost</w:t>
      </w:r>
      <w:r w:rsidR="00F51205">
        <w:t xml:space="preserve"> parallel to the railway track, thus a UE can occasionally get connected to the back side of the panel. We do not see it </w:t>
      </w:r>
      <w:r w:rsidR="00512A59">
        <w:t xml:space="preserve">practical in real deployment. Therefore, the back lobe of the beam </w:t>
      </w:r>
      <w:r w:rsidR="004E2962">
        <w:t>should be excluded from modelling, e.g., be attenuated.</w:t>
      </w:r>
    </w:p>
    <w:p w14:paraId="44FF3262" w14:textId="6E1F8B98" w:rsidR="00510A26" w:rsidRDefault="0000496D" w:rsidP="00841295">
      <w:pPr>
        <w:jc w:val="center"/>
      </w:pPr>
      <w:r>
        <w:rPr>
          <w:noProof/>
        </w:rPr>
        <w:lastRenderedPageBreak/>
        <w:drawing>
          <wp:inline distT="0" distB="0" distL="0" distR="0" wp14:anchorId="70493047" wp14:editId="409C98F9">
            <wp:extent cx="3017183" cy="4930140"/>
            <wp:effectExtent l="0" t="0" r="0" b="381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r:link="rId18">
                      <a:extLst>
                        <a:ext uri="{28A0092B-C50C-407E-A947-70E740481C1C}">
                          <a14:useLocalDpi xmlns:a14="http://schemas.microsoft.com/office/drawing/2010/main" val="0"/>
                        </a:ext>
                      </a:extLst>
                    </a:blip>
                    <a:srcRect/>
                    <a:stretch>
                      <a:fillRect/>
                    </a:stretch>
                  </pic:blipFill>
                  <pic:spPr bwMode="auto">
                    <a:xfrm>
                      <a:off x="0" y="0"/>
                      <a:ext cx="3022790" cy="4939301"/>
                    </a:xfrm>
                    <a:prstGeom prst="rect">
                      <a:avLst/>
                    </a:prstGeom>
                    <a:noFill/>
                    <a:ln>
                      <a:noFill/>
                    </a:ln>
                  </pic:spPr>
                </pic:pic>
              </a:graphicData>
            </a:graphic>
          </wp:inline>
        </w:drawing>
      </w:r>
    </w:p>
    <w:p w14:paraId="47E6ADC4" w14:textId="230525EF" w:rsidR="008F5140" w:rsidRDefault="008F5140" w:rsidP="00510A26">
      <w:pPr>
        <w:jc w:val="both"/>
      </w:pPr>
      <w:r>
        <w:fldChar w:fldCharType="begin"/>
      </w:r>
      <w:r>
        <w:instrText xml:space="preserve"> REF _Ref79076180 \h </w:instrText>
      </w:r>
      <w:r>
        <w:fldChar w:fldCharType="separate"/>
      </w:r>
      <w:r w:rsidR="0065308D">
        <w:t xml:space="preserve">Figure </w:t>
      </w:r>
      <w:r w:rsidR="0065308D">
        <w:rPr>
          <w:noProof/>
        </w:rPr>
        <w:t>5</w:t>
      </w:r>
      <w:r>
        <w:fldChar w:fldCharType="end"/>
      </w:r>
      <w:r>
        <w:t xml:space="preserve"> shows RSRP trace of same RRH with and without backlobe modeling. In both cases we observe quick drop in RSRP around the time train passes the RRH location in Scenario-A. When </w:t>
      </w:r>
      <w:r w:rsidR="007B0B04">
        <w:t>RRH is pointing to opposite direction of train movement, serving cell signal level may drop low very quickly (during 100-200 ms). The behavior is even more evident when backlobe is attenuated.</w:t>
      </w:r>
      <w:r w:rsidR="00E66C3A">
        <w:t xml:space="preserve"> </w:t>
      </w:r>
      <w:r w:rsidR="00E85C44">
        <w:t>Thus,</w:t>
      </w:r>
      <w:r w:rsidR="00E66C3A">
        <w:t xml:space="preserve"> the backlobe modeling can affect the conclusions for mobility robustness in Scenario-A.</w:t>
      </w:r>
    </w:p>
    <w:p w14:paraId="3CECA041" w14:textId="77777777" w:rsidR="000A72EE" w:rsidRDefault="000A72EE" w:rsidP="000A72EE">
      <w:pPr>
        <w:keepNext/>
        <w:jc w:val="center"/>
      </w:pPr>
      <w:r>
        <w:rPr>
          <w:noProof/>
        </w:rPr>
        <w:drawing>
          <wp:inline distT="0" distB="0" distL="0" distR="0" wp14:anchorId="12DEEE77" wp14:editId="7BA60E2A">
            <wp:extent cx="3974010" cy="2520000"/>
            <wp:effectExtent l="0" t="0" r="7620" b="0"/>
            <wp:docPr id="3" name="Picture 3"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Chart, line chart&#10;&#10;Description automatically generated"/>
                    <pic:cNvPicPr/>
                  </pic:nvPicPr>
                  <pic:blipFill>
                    <a:blip r:embed="rId19">
                      <a:extLst>
                        <a:ext uri="{28A0092B-C50C-407E-A947-70E740481C1C}">
                          <a14:useLocalDpi xmlns:a14="http://schemas.microsoft.com/office/drawing/2010/main" val="0"/>
                        </a:ext>
                      </a:extLst>
                    </a:blip>
                    <a:stretch>
                      <a:fillRect/>
                    </a:stretch>
                  </pic:blipFill>
                  <pic:spPr>
                    <a:xfrm>
                      <a:off x="0" y="0"/>
                      <a:ext cx="3974010" cy="2520000"/>
                    </a:xfrm>
                    <a:prstGeom prst="rect">
                      <a:avLst/>
                    </a:prstGeom>
                  </pic:spPr>
                </pic:pic>
              </a:graphicData>
            </a:graphic>
          </wp:inline>
        </w:drawing>
      </w:r>
    </w:p>
    <w:p w14:paraId="773F3335" w14:textId="46C6B589" w:rsidR="003A666D" w:rsidRPr="000A72EE" w:rsidRDefault="000A72EE" w:rsidP="000A72EE">
      <w:pPr>
        <w:pStyle w:val="Caption"/>
        <w:rPr>
          <w:lang w:val="en-GB"/>
        </w:rPr>
      </w:pPr>
      <w:bookmarkStart w:id="7" w:name="_Ref79076180"/>
      <w:r>
        <w:t xml:space="preserve">Figure </w:t>
      </w:r>
      <w:r>
        <w:fldChar w:fldCharType="begin"/>
      </w:r>
      <w:r>
        <w:instrText>SEQ Figure \* ARABIC</w:instrText>
      </w:r>
      <w:r>
        <w:fldChar w:fldCharType="separate"/>
      </w:r>
      <w:r w:rsidR="007657D9">
        <w:rPr>
          <w:noProof/>
        </w:rPr>
        <w:t>5</w:t>
      </w:r>
      <w:r>
        <w:fldChar w:fldCharType="end"/>
      </w:r>
      <w:bookmarkEnd w:id="7"/>
      <w:r w:rsidRPr="000A72EE">
        <w:rPr>
          <w:lang w:val="en-GB"/>
        </w:rPr>
        <w:t xml:space="preserve"> RSRP trace with and without backlobe </w:t>
      </w:r>
      <w:r>
        <w:rPr>
          <w:lang w:val="en-GB"/>
        </w:rPr>
        <w:t>(RRH direction opposite to train movement)</w:t>
      </w:r>
    </w:p>
    <w:p w14:paraId="2B126DCE" w14:textId="7BFD1485" w:rsidR="0000496D" w:rsidRDefault="005B62CB" w:rsidP="00841295">
      <w:pPr>
        <w:pStyle w:val="RAN4observation0"/>
      </w:pPr>
      <w:r>
        <w:t xml:space="preserve">In Scenario-A, the </w:t>
      </w:r>
      <w:r w:rsidR="00841295">
        <w:t xml:space="preserve">power of the </w:t>
      </w:r>
      <w:r>
        <w:t xml:space="preserve">back-lobe </w:t>
      </w:r>
      <w:r w:rsidR="007B33C6">
        <w:t xml:space="preserve">of the RRH antenna panel </w:t>
      </w:r>
      <w:r w:rsidR="00841295">
        <w:t>is non-negligible.</w:t>
      </w:r>
    </w:p>
    <w:p w14:paraId="3C9292D5" w14:textId="77777777" w:rsidR="00757FC7" w:rsidRPr="00757FC7" w:rsidRDefault="00757FC7" w:rsidP="00757FC7"/>
    <w:p w14:paraId="46731DE7" w14:textId="61497BA8" w:rsidR="006006E9" w:rsidRPr="00054EF6" w:rsidRDefault="00CD7492" w:rsidP="005C23A4">
      <w:pPr>
        <w:pStyle w:val="RAN4H1"/>
      </w:pPr>
      <w:r w:rsidRPr="00054EF6">
        <w:t>Conclusion</w:t>
      </w:r>
    </w:p>
    <w:p w14:paraId="0B0D5BC1" w14:textId="424487B0" w:rsidR="007865E5" w:rsidRDefault="000E0CEB" w:rsidP="005C23A4">
      <w:r>
        <w:t>The contribution has discussed potential HO issues in uni-directional Scenario A and made the following observations:</w:t>
      </w:r>
    </w:p>
    <w:p w14:paraId="0FEC74FB" w14:textId="76585CE9" w:rsidR="00F00B9B" w:rsidRPr="00F00B9B" w:rsidRDefault="00F00B9B" w:rsidP="00F00B9B">
      <w:pPr>
        <w:pStyle w:val="RAN4Observation"/>
        <w:numPr>
          <w:ilvl w:val="0"/>
          <w:numId w:val="25"/>
        </w:numPr>
        <w:ind w:left="357" w:hanging="357"/>
        <w:contextualSpacing w:val="0"/>
      </w:pPr>
      <w:r w:rsidRPr="002B329F">
        <w:t>Based on our system-level simulations in scenario-A</w:t>
      </w:r>
      <w:r>
        <w:t>, no</w:t>
      </w:r>
      <w:r w:rsidRPr="002B329F">
        <w:t xml:space="preserve"> </w:t>
      </w:r>
      <w:r>
        <w:t>potential HO issues are observed</w:t>
      </w:r>
      <w:r w:rsidRPr="002B329F">
        <w:t>.</w:t>
      </w:r>
    </w:p>
    <w:p w14:paraId="004EB6D3" w14:textId="77777777" w:rsidR="00F00B9B" w:rsidRDefault="00F00B9B" w:rsidP="00F00B9B">
      <w:pPr>
        <w:pStyle w:val="RAN4Observation"/>
        <w:numPr>
          <w:ilvl w:val="0"/>
          <w:numId w:val="25"/>
        </w:numPr>
      </w:pPr>
      <w:r>
        <w:t>In Scenario-A, the power of the back-lobe of the RRH antenna panel is non-negligible.</w:t>
      </w:r>
    </w:p>
    <w:p w14:paraId="5DE353A9" w14:textId="77777777" w:rsidR="00F00B9B" w:rsidRPr="00054EF6" w:rsidRDefault="00F00B9B" w:rsidP="005C23A4"/>
    <w:p w14:paraId="5ADFF7D8" w14:textId="77777777" w:rsidR="003B659E" w:rsidRPr="00054EF6" w:rsidRDefault="003B659E" w:rsidP="005C23A4">
      <w:pPr>
        <w:pStyle w:val="RAN4H1"/>
        <w:numPr>
          <w:ilvl w:val="0"/>
          <w:numId w:val="0"/>
        </w:numPr>
        <w:ind w:left="360" w:hanging="360"/>
      </w:pPr>
      <w:r w:rsidRPr="00054EF6">
        <w:t>References</w:t>
      </w:r>
    </w:p>
    <w:p w14:paraId="099358E9" w14:textId="2D3607CD" w:rsidR="00A45AEF" w:rsidRPr="00D3517A" w:rsidRDefault="00A45AEF" w:rsidP="004572ED">
      <w:pPr>
        <w:pStyle w:val="ListParagraph"/>
        <w:numPr>
          <w:ilvl w:val="0"/>
          <w:numId w:val="5"/>
        </w:numPr>
        <w:ind w:right="-22"/>
      </w:pPr>
      <w:bookmarkStart w:id="8" w:name="_Ref79154124"/>
      <w:r w:rsidRPr="00687475">
        <w:t>R4-2108660</w:t>
      </w:r>
      <w:r>
        <w:t>,</w:t>
      </w:r>
      <w:bookmarkEnd w:id="8"/>
      <w:r>
        <w:t xml:space="preserve"> </w:t>
      </w:r>
      <w:r w:rsidR="00DA0866">
        <w:t>WF on FR2 HST deployment scenario analysis, Samsung</w:t>
      </w:r>
    </w:p>
    <w:p w14:paraId="42C69359" w14:textId="264E1347" w:rsidR="00CA30DE" w:rsidRPr="00054EF6" w:rsidRDefault="00996FFF" w:rsidP="00680B0B">
      <w:pPr>
        <w:pStyle w:val="ListParagraph"/>
        <w:numPr>
          <w:ilvl w:val="0"/>
          <w:numId w:val="5"/>
        </w:numPr>
        <w:ind w:right="-22"/>
      </w:pPr>
      <w:bookmarkStart w:id="9" w:name="_Ref79154295"/>
      <w:r>
        <w:t xml:space="preserve">R4-2114467, </w:t>
      </w:r>
      <w:r w:rsidRPr="00996FFF">
        <w:t>Detailed simulation analysis for FR2 HST</w:t>
      </w:r>
      <w:r>
        <w:t>, Nokia, Nokia Shanghai Bell</w:t>
      </w:r>
      <w:bookmarkEnd w:id="9"/>
    </w:p>
    <w:sectPr w:rsidR="00CA30DE" w:rsidRPr="00054EF6"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C212E21" w14:textId="77777777" w:rsidR="00B00BEF" w:rsidRDefault="00B00BEF" w:rsidP="00001C9B">
      <w:pPr>
        <w:spacing w:after="0" w:line="240" w:lineRule="auto"/>
      </w:pPr>
      <w:r>
        <w:separator/>
      </w:r>
    </w:p>
  </w:endnote>
  <w:endnote w:type="continuationSeparator" w:id="0">
    <w:p w14:paraId="0BCE336F" w14:textId="77777777" w:rsidR="00B00BEF" w:rsidRDefault="00B00BEF" w:rsidP="00001C9B">
      <w:pPr>
        <w:spacing w:after="0" w:line="240" w:lineRule="auto"/>
      </w:pPr>
      <w:r>
        <w:continuationSeparator/>
      </w:r>
    </w:p>
  </w:endnote>
  <w:endnote w:type="continuationNotice" w:id="1">
    <w:p w14:paraId="5BB10525" w14:textId="77777777" w:rsidR="00B00BEF" w:rsidRDefault="00B00BE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0DD7F2E" w14:textId="77777777" w:rsidR="00B00BEF" w:rsidRDefault="00B00BEF" w:rsidP="00001C9B">
      <w:pPr>
        <w:spacing w:after="0" w:line="240" w:lineRule="auto"/>
      </w:pPr>
      <w:r>
        <w:separator/>
      </w:r>
    </w:p>
  </w:footnote>
  <w:footnote w:type="continuationSeparator" w:id="0">
    <w:p w14:paraId="63114835" w14:textId="77777777" w:rsidR="00B00BEF" w:rsidRDefault="00B00BEF" w:rsidP="00001C9B">
      <w:pPr>
        <w:spacing w:after="0" w:line="240" w:lineRule="auto"/>
      </w:pPr>
      <w:r>
        <w:continuationSeparator/>
      </w:r>
    </w:p>
  </w:footnote>
  <w:footnote w:type="continuationNotice" w:id="1">
    <w:p w14:paraId="4B87E53C" w14:textId="77777777" w:rsidR="00B00BEF" w:rsidRDefault="00B00BEF">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CF9546D"/>
    <w:multiLevelType w:val="hybridMultilevel"/>
    <w:tmpl w:val="CF0A55C0"/>
    <w:lvl w:ilvl="0" w:tplc="38E4D1D8">
      <w:numFmt w:val="bullet"/>
      <w:lvlText w:val="-"/>
      <w:lvlJc w:val="left"/>
      <w:pPr>
        <w:ind w:left="720" w:hanging="360"/>
      </w:pPr>
      <w:rPr>
        <w:rFonts w:ascii="Times New Roman" w:eastAsiaTheme="minorHAnsi"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13265464"/>
    <w:multiLevelType w:val="hybridMultilevel"/>
    <w:tmpl w:val="D9C28B32"/>
    <w:lvl w:ilvl="0" w:tplc="040B000F">
      <w:start w:val="1"/>
      <w:numFmt w:val="decimal"/>
      <w:lvlText w:val="%1."/>
      <w:lvlJc w:val="left"/>
      <w:pPr>
        <w:ind w:left="720" w:hanging="360"/>
      </w:pPr>
    </w:lvl>
    <w:lvl w:ilvl="1" w:tplc="040B0001">
      <w:start w:val="1"/>
      <w:numFmt w:val="bullet"/>
      <w:lvlText w:val=""/>
      <w:lvlJc w:val="left"/>
      <w:pPr>
        <w:ind w:left="1440" w:hanging="360"/>
      </w:pPr>
      <w:rPr>
        <w:rFonts w:ascii="Symbol" w:hAnsi="Symbol" w:hint="default"/>
      </w:rPr>
    </w:lvl>
    <w:lvl w:ilvl="2" w:tplc="040B001B">
      <w:start w:val="1"/>
      <w:numFmt w:val="lowerRoman"/>
      <w:lvlText w:val="%3."/>
      <w:lvlJc w:val="right"/>
      <w:pPr>
        <w:ind w:left="2160" w:hanging="180"/>
      </w:pPr>
    </w:lvl>
    <w:lvl w:ilvl="3" w:tplc="040B000F">
      <w:start w:val="1"/>
      <w:numFmt w:val="decimal"/>
      <w:lvlText w:val="%4."/>
      <w:lvlJc w:val="left"/>
      <w:pPr>
        <w:ind w:left="2880" w:hanging="360"/>
      </w:pPr>
    </w:lvl>
    <w:lvl w:ilvl="4" w:tplc="040B0019">
      <w:start w:val="1"/>
      <w:numFmt w:val="lowerLetter"/>
      <w:lvlText w:val="%5."/>
      <w:lvlJc w:val="left"/>
      <w:pPr>
        <w:ind w:left="3600" w:hanging="360"/>
      </w:pPr>
    </w:lvl>
    <w:lvl w:ilvl="5" w:tplc="040B001B">
      <w:start w:val="1"/>
      <w:numFmt w:val="lowerRoman"/>
      <w:lvlText w:val="%6."/>
      <w:lvlJc w:val="right"/>
      <w:pPr>
        <w:ind w:left="4320" w:hanging="180"/>
      </w:pPr>
    </w:lvl>
    <w:lvl w:ilvl="6" w:tplc="040B000F">
      <w:start w:val="1"/>
      <w:numFmt w:val="decimal"/>
      <w:lvlText w:val="%7."/>
      <w:lvlJc w:val="left"/>
      <w:pPr>
        <w:ind w:left="5040" w:hanging="360"/>
      </w:pPr>
    </w:lvl>
    <w:lvl w:ilvl="7" w:tplc="040B0019">
      <w:start w:val="1"/>
      <w:numFmt w:val="lowerLetter"/>
      <w:lvlText w:val="%8."/>
      <w:lvlJc w:val="left"/>
      <w:pPr>
        <w:ind w:left="5760" w:hanging="360"/>
      </w:pPr>
    </w:lvl>
    <w:lvl w:ilvl="8" w:tplc="040B001B">
      <w:start w:val="1"/>
      <w:numFmt w:val="lowerRoman"/>
      <w:lvlText w:val="%9."/>
      <w:lvlJc w:val="right"/>
      <w:pPr>
        <w:ind w:left="6480" w:hanging="180"/>
      </w:pPr>
    </w:lvl>
  </w:abstractNum>
  <w:abstractNum w:abstractNumId="2" w15:restartNumberingAfterBreak="0">
    <w:nsid w:val="18F81EE8"/>
    <w:multiLevelType w:val="hybridMultilevel"/>
    <w:tmpl w:val="999EB5EC"/>
    <w:lvl w:ilvl="0" w:tplc="0AC230CE">
      <w:start w:val="4"/>
      <w:numFmt w:val="bullet"/>
      <w:lvlText w:val="-"/>
      <w:lvlJc w:val="left"/>
      <w:pPr>
        <w:ind w:left="720" w:hanging="360"/>
      </w:pPr>
      <w:rPr>
        <w:rFonts w:ascii="Times New Roman" w:eastAsiaTheme="minorHAnsi"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32897DBA"/>
    <w:multiLevelType w:val="hybridMultilevel"/>
    <w:tmpl w:val="4774815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377968C8"/>
    <w:multiLevelType w:val="hybridMultilevel"/>
    <w:tmpl w:val="68667C32"/>
    <w:lvl w:ilvl="0" w:tplc="E79E2EEC">
      <w:numFmt w:val="bullet"/>
      <w:lvlText w:val=""/>
      <w:lvlJc w:val="left"/>
      <w:pPr>
        <w:ind w:left="720" w:hanging="360"/>
      </w:pPr>
      <w:rPr>
        <w:rFonts w:ascii="Wingdings" w:eastAsiaTheme="minorHAnsi" w:hAnsi="Wingdings" w:cstheme="minorBidi"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15:restartNumberingAfterBreak="0">
    <w:nsid w:val="3F376D24"/>
    <w:multiLevelType w:val="hybridMultilevel"/>
    <w:tmpl w:val="86503E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419830DF"/>
    <w:multiLevelType w:val="hybridMultilevel"/>
    <w:tmpl w:val="54A2404C"/>
    <w:lvl w:ilvl="0" w:tplc="9F98133C">
      <w:start w:val="2"/>
      <w:numFmt w:val="bullet"/>
      <w:lvlText w:val="-"/>
      <w:lvlJc w:val="left"/>
      <w:pPr>
        <w:ind w:left="720" w:hanging="360"/>
      </w:pPr>
      <w:rPr>
        <w:rFonts w:ascii="Times New Roman" w:eastAsiaTheme="minorHAnsi"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44C926CC"/>
    <w:multiLevelType w:val="hybridMultilevel"/>
    <w:tmpl w:val="AE441720"/>
    <w:lvl w:ilvl="0" w:tplc="0409000F">
      <w:start w:val="1"/>
      <w:numFmt w:val="decimal"/>
      <w:lvlText w:val="%1."/>
      <w:lvlJc w:val="left"/>
      <w:pPr>
        <w:ind w:left="720" w:hanging="360"/>
      </w:pPr>
    </w:lvl>
    <w:lvl w:ilvl="1" w:tplc="040B0001">
      <w:start w:val="1"/>
      <w:numFmt w:val="bullet"/>
      <w:lvlText w:val=""/>
      <w:lvlJc w:val="left"/>
      <w:pPr>
        <w:ind w:left="1440" w:hanging="360"/>
      </w:pPr>
      <w:rPr>
        <w:rFonts w:ascii="Symbol" w:hAnsi="Symbol" w:hint="default"/>
      </w:r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15:restartNumberingAfterBreak="0">
    <w:nsid w:val="46B43B9D"/>
    <w:multiLevelType w:val="hybridMultilevel"/>
    <w:tmpl w:val="9CB44C1E"/>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4D19700F"/>
    <w:multiLevelType w:val="hybridMultilevel"/>
    <w:tmpl w:val="68A03A4E"/>
    <w:lvl w:ilvl="0" w:tplc="0409000F">
      <w:start w:val="1"/>
      <w:numFmt w:val="decimal"/>
      <w:lvlText w:val="%1."/>
      <w:lvlJc w:val="left"/>
      <w:pPr>
        <w:ind w:left="720" w:hanging="360"/>
      </w:pPr>
    </w:lvl>
    <w:lvl w:ilvl="1" w:tplc="040B0001">
      <w:start w:val="1"/>
      <w:numFmt w:val="bullet"/>
      <w:lvlText w:val=""/>
      <w:lvlJc w:val="left"/>
      <w:pPr>
        <w:ind w:left="1440" w:hanging="360"/>
      </w:pPr>
      <w:rPr>
        <w:rFonts w:ascii="Symbol" w:hAnsi="Symbol" w:hint="default"/>
      </w:r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0"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25141FC"/>
    <w:multiLevelType w:val="hybridMultilevel"/>
    <w:tmpl w:val="5DCE0A2A"/>
    <w:lvl w:ilvl="0" w:tplc="BB1CC8B0">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 w15:restartNumberingAfterBreak="0">
    <w:nsid w:val="5EF058B6"/>
    <w:multiLevelType w:val="hybridMultilevel"/>
    <w:tmpl w:val="5D3C3C16"/>
    <w:lvl w:ilvl="0" w:tplc="AD3E959E">
      <w:start w:val="2"/>
      <w:numFmt w:val="bullet"/>
      <w:lvlText w:val="-"/>
      <w:lvlJc w:val="left"/>
      <w:pPr>
        <w:ind w:left="720" w:hanging="360"/>
      </w:pPr>
      <w:rPr>
        <w:rFonts w:ascii="Times New Roman" w:eastAsiaTheme="minorHAnsi"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6925029B"/>
    <w:multiLevelType w:val="hybridMultilevel"/>
    <w:tmpl w:val="BB7648AC"/>
    <w:lvl w:ilvl="0" w:tplc="3F0E5D74">
      <w:start w:val="4"/>
      <w:numFmt w:val="bullet"/>
      <w:lvlText w:val="-"/>
      <w:lvlJc w:val="left"/>
      <w:pPr>
        <w:ind w:left="720" w:hanging="360"/>
      </w:pPr>
      <w:rPr>
        <w:rFonts w:ascii="Times New Roman" w:eastAsiaTheme="minorHAnsi"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6FA01E53"/>
    <w:multiLevelType w:val="hybridMultilevel"/>
    <w:tmpl w:val="2DC8BB3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7048425C"/>
    <w:multiLevelType w:val="hybridMultilevel"/>
    <w:tmpl w:val="04D4B93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75785F6A"/>
    <w:multiLevelType w:val="hybridMultilevel"/>
    <w:tmpl w:val="46C8EFEA"/>
    <w:lvl w:ilvl="0" w:tplc="0409000F">
      <w:start w:val="1"/>
      <w:numFmt w:val="decimal"/>
      <w:lvlText w:val="%1."/>
      <w:lvlJc w:val="left"/>
      <w:pPr>
        <w:ind w:left="720" w:hanging="360"/>
      </w:p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9" w15:restartNumberingAfterBreak="0">
    <w:nsid w:val="76881276"/>
    <w:multiLevelType w:val="hybridMultilevel"/>
    <w:tmpl w:val="B3D46B8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78260F2B"/>
    <w:multiLevelType w:val="hybridMultilevel"/>
    <w:tmpl w:val="08CA7A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1"/>
  </w:num>
  <w:num w:numId="2">
    <w:abstractNumId w:val="8"/>
  </w:num>
  <w:num w:numId="3">
    <w:abstractNumId w:val="10"/>
  </w:num>
  <w:num w:numId="4">
    <w:abstractNumId w:val="14"/>
  </w:num>
  <w:num w:numId="5">
    <w:abstractNumId w:val="12"/>
  </w:num>
  <w:num w:numId="6">
    <w:abstractNumId w:val="17"/>
  </w:num>
  <w:num w:numId="7">
    <w:abstractNumId w:val="5"/>
  </w:num>
  <w:num w:numId="8">
    <w:abstractNumId w:val="20"/>
  </w:num>
  <w:num w:numId="9">
    <w:abstractNumId w:val="1"/>
  </w:num>
  <w:num w:numId="10">
    <w:abstractNumId w:val="7"/>
  </w:num>
  <w:num w:numId="11">
    <w:abstractNumId w:val="18"/>
  </w:num>
  <w:num w:numId="12">
    <w:abstractNumId w:val="4"/>
  </w:num>
  <w:num w:numId="13">
    <w:abstractNumId w:val="6"/>
  </w:num>
  <w:num w:numId="14">
    <w:abstractNumId w:val="13"/>
  </w:num>
  <w:num w:numId="15">
    <w:abstractNumId w:val="15"/>
  </w:num>
  <w:num w:numId="16">
    <w:abstractNumId w:val="2"/>
  </w:num>
  <w:num w:numId="17">
    <w:abstractNumId w:val="1"/>
  </w:num>
  <w:num w:numId="18">
    <w:abstractNumId w:val="9"/>
  </w:num>
  <w:num w:numId="19">
    <w:abstractNumId w:val="8"/>
    <w:lvlOverride w:ilvl="0">
      <w:startOverride w:val="1"/>
    </w:lvlOverride>
  </w:num>
  <w:num w:numId="20">
    <w:abstractNumId w:val="10"/>
    <w:lvlOverride w:ilvl="0">
      <w:startOverride w:val="1"/>
    </w:lvlOverride>
  </w:num>
  <w:num w:numId="21">
    <w:abstractNumId w:val="0"/>
  </w:num>
  <w:num w:numId="22">
    <w:abstractNumId w:val="3"/>
  </w:num>
  <w:num w:numId="23">
    <w:abstractNumId w:val="19"/>
  </w:num>
  <w:num w:numId="24">
    <w:abstractNumId w:val="16"/>
  </w:num>
  <w:num w:numId="25">
    <w:abstractNumId w:val="8"/>
    <w:lvlOverride w:ilvl="0">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00"/>
  <w:defaultTabStop w:val="720"/>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TA0MjU2MLWwNDAyM7FU0lEKTi0uzszPAykwMqwFAKKpwcotAAAA"/>
  </w:docVars>
  <w:rsids>
    <w:rsidRoot w:val="00841BCD"/>
    <w:rsid w:val="00000FD2"/>
    <w:rsid w:val="00001C9B"/>
    <w:rsid w:val="00002A1A"/>
    <w:rsid w:val="0000496D"/>
    <w:rsid w:val="00004F71"/>
    <w:rsid w:val="000075D6"/>
    <w:rsid w:val="000129D7"/>
    <w:rsid w:val="00012EB5"/>
    <w:rsid w:val="000168B2"/>
    <w:rsid w:val="00021896"/>
    <w:rsid w:val="00023147"/>
    <w:rsid w:val="000245C2"/>
    <w:rsid w:val="00024F54"/>
    <w:rsid w:val="00025F4D"/>
    <w:rsid w:val="00030A3E"/>
    <w:rsid w:val="0003517A"/>
    <w:rsid w:val="0003528F"/>
    <w:rsid w:val="00035A7A"/>
    <w:rsid w:val="000400D4"/>
    <w:rsid w:val="00046845"/>
    <w:rsid w:val="00046A38"/>
    <w:rsid w:val="0005046D"/>
    <w:rsid w:val="00050697"/>
    <w:rsid w:val="00050F32"/>
    <w:rsid w:val="000523A3"/>
    <w:rsid w:val="000528A1"/>
    <w:rsid w:val="00054EF6"/>
    <w:rsid w:val="00055AE0"/>
    <w:rsid w:val="00057C03"/>
    <w:rsid w:val="0006089F"/>
    <w:rsid w:val="000611D0"/>
    <w:rsid w:val="00061B0B"/>
    <w:rsid w:val="00064279"/>
    <w:rsid w:val="000648BF"/>
    <w:rsid w:val="00070807"/>
    <w:rsid w:val="00070D00"/>
    <w:rsid w:val="00072309"/>
    <w:rsid w:val="000730BF"/>
    <w:rsid w:val="00075B95"/>
    <w:rsid w:val="00077E84"/>
    <w:rsid w:val="00084B13"/>
    <w:rsid w:val="0008612A"/>
    <w:rsid w:val="00087E4D"/>
    <w:rsid w:val="0009074C"/>
    <w:rsid w:val="000919D9"/>
    <w:rsid w:val="00092A75"/>
    <w:rsid w:val="00094DD4"/>
    <w:rsid w:val="0009624D"/>
    <w:rsid w:val="000A0489"/>
    <w:rsid w:val="000A1247"/>
    <w:rsid w:val="000A2607"/>
    <w:rsid w:val="000A373E"/>
    <w:rsid w:val="000A4ACE"/>
    <w:rsid w:val="000A63F4"/>
    <w:rsid w:val="000A64E8"/>
    <w:rsid w:val="000A72EE"/>
    <w:rsid w:val="000A7A29"/>
    <w:rsid w:val="000B0056"/>
    <w:rsid w:val="000B24DB"/>
    <w:rsid w:val="000C5921"/>
    <w:rsid w:val="000C5964"/>
    <w:rsid w:val="000C6A6E"/>
    <w:rsid w:val="000D2CBD"/>
    <w:rsid w:val="000D30E1"/>
    <w:rsid w:val="000E062B"/>
    <w:rsid w:val="000E0CEB"/>
    <w:rsid w:val="000E20DA"/>
    <w:rsid w:val="000E22E0"/>
    <w:rsid w:val="000E4D44"/>
    <w:rsid w:val="000E6439"/>
    <w:rsid w:val="000F165A"/>
    <w:rsid w:val="000F16E5"/>
    <w:rsid w:val="000F210A"/>
    <w:rsid w:val="000F23CC"/>
    <w:rsid w:val="000F3F82"/>
    <w:rsid w:val="000F52D4"/>
    <w:rsid w:val="000F607D"/>
    <w:rsid w:val="000F648E"/>
    <w:rsid w:val="00101EEE"/>
    <w:rsid w:val="00102A51"/>
    <w:rsid w:val="001057A0"/>
    <w:rsid w:val="00106A64"/>
    <w:rsid w:val="001117AD"/>
    <w:rsid w:val="00116EBD"/>
    <w:rsid w:val="0012410C"/>
    <w:rsid w:val="00125EBD"/>
    <w:rsid w:val="00126CF6"/>
    <w:rsid w:val="0012743B"/>
    <w:rsid w:val="00134D68"/>
    <w:rsid w:val="0013542B"/>
    <w:rsid w:val="001359B9"/>
    <w:rsid w:val="00136624"/>
    <w:rsid w:val="00140EA7"/>
    <w:rsid w:val="001426FC"/>
    <w:rsid w:val="001427B3"/>
    <w:rsid w:val="001434F5"/>
    <w:rsid w:val="0014543A"/>
    <w:rsid w:val="00145BC8"/>
    <w:rsid w:val="00146192"/>
    <w:rsid w:val="00146654"/>
    <w:rsid w:val="00147553"/>
    <w:rsid w:val="00150761"/>
    <w:rsid w:val="00153278"/>
    <w:rsid w:val="00160973"/>
    <w:rsid w:val="001621A7"/>
    <w:rsid w:val="00162F09"/>
    <w:rsid w:val="00166BB1"/>
    <w:rsid w:val="00170B08"/>
    <w:rsid w:val="00170F5D"/>
    <w:rsid w:val="00171D91"/>
    <w:rsid w:val="0017303F"/>
    <w:rsid w:val="001737D6"/>
    <w:rsid w:val="0017384C"/>
    <w:rsid w:val="001745F8"/>
    <w:rsid w:val="00182ECB"/>
    <w:rsid w:val="001838CF"/>
    <w:rsid w:val="00183915"/>
    <w:rsid w:val="0018433C"/>
    <w:rsid w:val="0018637A"/>
    <w:rsid w:val="001875A7"/>
    <w:rsid w:val="001879D2"/>
    <w:rsid w:val="00190FD3"/>
    <w:rsid w:val="00191A9E"/>
    <w:rsid w:val="00193F91"/>
    <w:rsid w:val="00195369"/>
    <w:rsid w:val="001A12C7"/>
    <w:rsid w:val="001A133D"/>
    <w:rsid w:val="001A23E5"/>
    <w:rsid w:val="001A3290"/>
    <w:rsid w:val="001A3BA4"/>
    <w:rsid w:val="001A49DF"/>
    <w:rsid w:val="001A6E8B"/>
    <w:rsid w:val="001A7493"/>
    <w:rsid w:val="001B2CDC"/>
    <w:rsid w:val="001B3B0E"/>
    <w:rsid w:val="001B5E0A"/>
    <w:rsid w:val="001C1807"/>
    <w:rsid w:val="001C1C0C"/>
    <w:rsid w:val="001C1D96"/>
    <w:rsid w:val="001C2059"/>
    <w:rsid w:val="001C2291"/>
    <w:rsid w:val="001C2B4C"/>
    <w:rsid w:val="001C44A5"/>
    <w:rsid w:val="001C6111"/>
    <w:rsid w:val="001C735D"/>
    <w:rsid w:val="001D3164"/>
    <w:rsid w:val="001D62AF"/>
    <w:rsid w:val="001D6532"/>
    <w:rsid w:val="001E30F6"/>
    <w:rsid w:val="001E4AB7"/>
    <w:rsid w:val="001E4F8A"/>
    <w:rsid w:val="001E6FB4"/>
    <w:rsid w:val="001F34B9"/>
    <w:rsid w:val="001F462A"/>
    <w:rsid w:val="001F4D08"/>
    <w:rsid w:val="001F64BF"/>
    <w:rsid w:val="001F6B89"/>
    <w:rsid w:val="00200958"/>
    <w:rsid w:val="002016C3"/>
    <w:rsid w:val="002113BC"/>
    <w:rsid w:val="00213C76"/>
    <w:rsid w:val="00220959"/>
    <w:rsid w:val="00222285"/>
    <w:rsid w:val="00224D0A"/>
    <w:rsid w:val="00225B51"/>
    <w:rsid w:val="002324C6"/>
    <w:rsid w:val="00233B0A"/>
    <w:rsid w:val="00235246"/>
    <w:rsid w:val="0023579A"/>
    <w:rsid w:val="002357F2"/>
    <w:rsid w:val="00235A2A"/>
    <w:rsid w:val="00235F5C"/>
    <w:rsid w:val="00236B1D"/>
    <w:rsid w:val="00240A2A"/>
    <w:rsid w:val="002458EC"/>
    <w:rsid w:val="00246F04"/>
    <w:rsid w:val="002527E4"/>
    <w:rsid w:val="00254382"/>
    <w:rsid w:val="00256625"/>
    <w:rsid w:val="00256FD9"/>
    <w:rsid w:val="00257C62"/>
    <w:rsid w:val="0026150D"/>
    <w:rsid w:val="002619B4"/>
    <w:rsid w:val="002630FD"/>
    <w:rsid w:val="002649F8"/>
    <w:rsid w:val="002704FF"/>
    <w:rsid w:val="00270A18"/>
    <w:rsid w:val="0027289A"/>
    <w:rsid w:val="002729C9"/>
    <w:rsid w:val="00277539"/>
    <w:rsid w:val="002804FD"/>
    <w:rsid w:val="0028254A"/>
    <w:rsid w:val="002833CE"/>
    <w:rsid w:val="0028610E"/>
    <w:rsid w:val="002914B9"/>
    <w:rsid w:val="00292837"/>
    <w:rsid w:val="002956D8"/>
    <w:rsid w:val="00296627"/>
    <w:rsid w:val="00297096"/>
    <w:rsid w:val="0029709F"/>
    <w:rsid w:val="002A0657"/>
    <w:rsid w:val="002A1F68"/>
    <w:rsid w:val="002A314E"/>
    <w:rsid w:val="002A4E6B"/>
    <w:rsid w:val="002A5ED1"/>
    <w:rsid w:val="002A7DB3"/>
    <w:rsid w:val="002B0684"/>
    <w:rsid w:val="002B072E"/>
    <w:rsid w:val="002B329F"/>
    <w:rsid w:val="002B4922"/>
    <w:rsid w:val="002B5C02"/>
    <w:rsid w:val="002C003B"/>
    <w:rsid w:val="002C1D39"/>
    <w:rsid w:val="002C27D8"/>
    <w:rsid w:val="002C2D19"/>
    <w:rsid w:val="002C3949"/>
    <w:rsid w:val="002D10FA"/>
    <w:rsid w:val="002D4001"/>
    <w:rsid w:val="002D4C55"/>
    <w:rsid w:val="002D68E2"/>
    <w:rsid w:val="002D7505"/>
    <w:rsid w:val="002E1085"/>
    <w:rsid w:val="002E10C6"/>
    <w:rsid w:val="002E57D8"/>
    <w:rsid w:val="002E5911"/>
    <w:rsid w:val="002F0B25"/>
    <w:rsid w:val="002F1F41"/>
    <w:rsid w:val="002F339F"/>
    <w:rsid w:val="002F7600"/>
    <w:rsid w:val="002F7637"/>
    <w:rsid w:val="002F79B0"/>
    <w:rsid w:val="002F7EB1"/>
    <w:rsid w:val="00300449"/>
    <w:rsid w:val="00302102"/>
    <w:rsid w:val="00302EBC"/>
    <w:rsid w:val="00304907"/>
    <w:rsid w:val="00304F24"/>
    <w:rsid w:val="00310D39"/>
    <w:rsid w:val="003118D1"/>
    <w:rsid w:val="0031309A"/>
    <w:rsid w:val="00316D1D"/>
    <w:rsid w:val="00320717"/>
    <w:rsid w:val="00321BD6"/>
    <w:rsid w:val="00321EDC"/>
    <w:rsid w:val="003228F8"/>
    <w:rsid w:val="00330497"/>
    <w:rsid w:val="003316F8"/>
    <w:rsid w:val="00333443"/>
    <w:rsid w:val="003343F0"/>
    <w:rsid w:val="003355AD"/>
    <w:rsid w:val="00340115"/>
    <w:rsid w:val="00340C31"/>
    <w:rsid w:val="00342C0B"/>
    <w:rsid w:val="00343787"/>
    <w:rsid w:val="00347556"/>
    <w:rsid w:val="00351037"/>
    <w:rsid w:val="00351503"/>
    <w:rsid w:val="00351BB6"/>
    <w:rsid w:val="00353114"/>
    <w:rsid w:val="0035383C"/>
    <w:rsid w:val="003538B9"/>
    <w:rsid w:val="00354545"/>
    <w:rsid w:val="00354B0A"/>
    <w:rsid w:val="00355342"/>
    <w:rsid w:val="0035553B"/>
    <w:rsid w:val="003636F7"/>
    <w:rsid w:val="00363919"/>
    <w:rsid w:val="00364D13"/>
    <w:rsid w:val="00367808"/>
    <w:rsid w:val="00370CD6"/>
    <w:rsid w:val="003738F3"/>
    <w:rsid w:val="003756FE"/>
    <w:rsid w:val="0037636D"/>
    <w:rsid w:val="00377969"/>
    <w:rsid w:val="00382CD0"/>
    <w:rsid w:val="003836BC"/>
    <w:rsid w:val="00387696"/>
    <w:rsid w:val="00391BD1"/>
    <w:rsid w:val="003937B7"/>
    <w:rsid w:val="0039460D"/>
    <w:rsid w:val="003954D3"/>
    <w:rsid w:val="00397CAA"/>
    <w:rsid w:val="003A0C50"/>
    <w:rsid w:val="003A1095"/>
    <w:rsid w:val="003A2104"/>
    <w:rsid w:val="003A2793"/>
    <w:rsid w:val="003A2ECE"/>
    <w:rsid w:val="003A3B69"/>
    <w:rsid w:val="003A666D"/>
    <w:rsid w:val="003A7540"/>
    <w:rsid w:val="003A7B91"/>
    <w:rsid w:val="003A7D86"/>
    <w:rsid w:val="003B063E"/>
    <w:rsid w:val="003B1C71"/>
    <w:rsid w:val="003B25E3"/>
    <w:rsid w:val="003B2665"/>
    <w:rsid w:val="003B6554"/>
    <w:rsid w:val="003B659E"/>
    <w:rsid w:val="003C2139"/>
    <w:rsid w:val="003C21E6"/>
    <w:rsid w:val="003C2CF3"/>
    <w:rsid w:val="003C3E80"/>
    <w:rsid w:val="003C46DC"/>
    <w:rsid w:val="003C5811"/>
    <w:rsid w:val="003C6DA0"/>
    <w:rsid w:val="003C7941"/>
    <w:rsid w:val="003D1963"/>
    <w:rsid w:val="003D2BC8"/>
    <w:rsid w:val="003D3614"/>
    <w:rsid w:val="003D53FA"/>
    <w:rsid w:val="003D618A"/>
    <w:rsid w:val="003D633B"/>
    <w:rsid w:val="003E1491"/>
    <w:rsid w:val="003E21C4"/>
    <w:rsid w:val="003E2FD6"/>
    <w:rsid w:val="003E321C"/>
    <w:rsid w:val="003E35B4"/>
    <w:rsid w:val="003E4D9D"/>
    <w:rsid w:val="003E50E8"/>
    <w:rsid w:val="003E7374"/>
    <w:rsid w:val="003F0321"/>
    <w:rsid w:val="003F29F2"/>
    <w:rsid w:val="003F5E4C"/>
    <w:rsid w:val="003F5EBC"/>
    <w:rsid w:val="00400E09"/>
    <w:rsid w:val="004022BD"/>
    <w:rsid w:val="00402587"/>
    <w:rsid w:val="004036C2"/>
    <w:rsid w:val="0040600E"/>
    <w:rsid w:val="00406495"/>
    <w:rsid w:val="004065A3"/>
    <w:rsid w:val="004070A0"/>
    <w:rsid w:val="00407D70"/>
    <w:rsid w:val="00411445"/>
    <w:rsid w:val="00411C39"/>
    <w:rsid w:val="00411FD0"/>
    <w:rsid w:val="00412AB4"/>
    <w:rsid w:val="00412D38"/>
    <w:rsid w:val="00414DED"/>
    <w:rsid w:val="00414E92"/>
    <w:rsid w:val="0041783C"/>
    <w:rsid w:val="004202D3"/>
    <w:rsid w:val="00421000"/>
    <w:rsid w:val="00421051"/>
    <w:rsid w:val="00422826"/>
    <w:rsid w:val="00425E83"/>
    <w:rsid w:val="00426613"/>
    <w:rsid w:val="00427ABA"/>
    <w:rsid w:val="0043290F"/>
    <w:rsid w:val="004335F6"/>
    <w:rsid w:val="004356C8"/>
    <w:rsid w:val="00437167"/>
    <w:rsid w:val="0043750A"/>
    <w:rsid w:val="00437569"/>
    <w:rsid w:val="00437BBF"/>
    <w:rsid w:val="004400F6"/>
    <w:rsid w:val="0044074C"/>
    <w:rsid w:val="00440A0A"/>
    <w:rsid w:val="0044112A"/>
    <w:rsid w:val="0044112D"/>
    <w:rsid w:val="0044292A"/>
    <w:rsid w:val="004438EF"/>
    <w:rsid w:val="00450BFB"/>
    <w:rsid w:val="00452EDD"/>
    <w:rsid w:val="00453EBB"/>
    <w:rsid w:val="00455877"/>
    <w:rsid w:val="00456279"/>
    <w:rsid w:val="004567F4"/>
    <w:rsid w:val="004572ED"/>
    <w:rsid w:val="004572F3"/>
    <w:rsid w:val="004610C7"/>
    <w:rsid w:val="004614B4"/>
    <w:rsid w:val="0046203E"/>
    <w:rsid w:val="00462C3D"/>
    <w:rsid w:val="00463086"/>
    <w:rsid w:val="004721A2"/>
    <w:rsid w:val="004738CC"/>
    <w:rsid w:val="00476D82"/>
    <w:rsid w:val="00480935"/>
    <w:rsid w:val="00480ABD"/>
    <w:rsid w:val="004838ED"/>
    <w:rsid w:val="004878AA"/>
    <w:rsid w:val="00487F02"/>
    <w:rsid w:val="004947C2"/>
    <w:rsid w:val="00495B23"/>
    <w:rsid w:val="004A0813"/>
    <w:rsid w:val="004A27C8"/>
    <w:rsid w:val="004A28F6"/>
    <w:rsid w:val="004A4704"/>
    <w:rsid w:val="004A65EA"/>
    <w:rsid w:val="004A7643"/>
    <w:rsid w:val="004B0E82"/>
    <w:rsid w:val="004B1C7C"/>
    <w:rsid w:val="004B493E"/>
    <w:rsid w:val="004B6B34"/>
    <w:rsid w:val="004C0D4E"/>
    <w:rsid w:val="004C1752"/>
    <w:rsid w:val="004C2F6D"/>
    <w:rsid w:val="004C4E89"/>
    <w:rsid w:val="004C7374"/>
    <w:rsid w:val="004C7B6D"/>
    <w:rsid w:val="004D0246"/>
    <w:rsid w:val="004D07C3"/>
    <w:rsid w:val="004D0BE2"/>
    <w:rsid w:val="004D1395"/>
    <w:rsid w:val="004D1E2F"/>
    <w:rsid w:val="004D78DD"/>
    <w:rsid w:val="004D7BA7"/>
    <w:rsid w:val="004E1167"/>
    <w:rsid w:val="004E152A"/>
    <w:rsid w:val="004E2962"/>
    <w:rsid w:val="004E5618"/>
    <w:rsid w:val="004E5E66"/>
    <w:rsid w:val="004E7601"/>
    <w:rsid w:val="004F02F0"/>
    <w:rsid w:val="004F194E"/>
    <w:rsid w:val="004F2772"/>
    <w:rsid w:val="005004C4"/>
    <w:rsid w:val="00502326"/>
    <w:rsid w:val="005035E4"/>
    <w:rsid w:val="00503B4D"/>
    <w:rsid w:val="00504EE9"/>
    <w:rsid w:val="00506B72"/>
    <w:rsid w:val="005076A2"/>
    <w:rsid w:val="00510717"/>
    <w:rsid w:val="00510A26"/>
    <w:rsid w:val="005121AE"/>
    <w:rsid w:val="00512A59"/>
    <w:rsid w:val="00512E0D"/>
    <w:rsid w:val="0051389C"/>
    <w:rsid w:val="00513E9E"/>
    <w:rsid w:val="005169AF"/>
    <w:rsid w:val="00516D59"/>
    <w:rsid w:val="0051784E"/>
    <w:rsid w:val="0052118B"/>
    <w:rsid w:val="00521FC3"/>
    <w:rsid w:val="0052551D"/>
    <w:rsid w:val="00526B79"/>
    <w:rsid w:val="00530AEF"/>
    <w:rsid w:val="00531016"/>
    <w:rsid w:val="005324E1"/>
    <w:rsid w:val="005349A9"/>
    <w:rsid w:val="00534CA3"/>
    <w:rsid w:val="00535966"/>
    <w:rsid w:val="00536D2B"/>
    <w:rsid w:val="00543F89"/>
    <w:rsid w:val="0054442C"/>
    <w:rsid w:val="00544905"/>
    <w:rsid w:val="00546001"/>
    <w:rsid w:val="00546AFA"/>
    <w:rsid w:val="00547126"/>
    <w:rsid w:val="00550285"/>
    <w:rsid w:val="005512FA"/>
    <w:rsid w:val="00551C08"/>
    <w:rsid w:val="00553F2A"/>
    <w:rsid w:val="0055472B"/>
    <w:rsid w:val="0055655B"/>
    <w:rsid w:val="00556FF1"/>
    <w:rsid w:val="00557FD4"/>
    <w:rsid w:val="0056118F"/>
    <w:rsid w:val="00562644"/>
    <w:rsid w:val="00562936"/>
    <w:rsid w:val="00563A62"/>
    <w:rsid w:val="00563A79"/>
    <w:rsid w:val="00565140"/>
    <w:rsid w:val="00567409"/>
    <w:rsid w:val="005704C3"/>
    <w:rsid w:val="0057114E"/>
    <w:rsid w:val="005724AC"/>
    <w:rsid w:val="00572772"/>
    <w:rsid w:val="00574044"/>
    <w:rsid w:val="00576499"/>
    <w:rsid w:val="00577C0E"/>
    <w:rsid w:val="00577D2F"/>
    <w:rsid w:val="005836F8"/>
    <w:rsid w:val="00584303"/>
    <w:rsid w:val="0058443A"/>
    <w:rsid w:val="005876A0"/>
    <w:rsid w:val="0059128E"/>
    <w:rsid w:val="005918FA"/>
    <w:rsid w:val="00596913"/>
    <w:rsid w:val="00597BB7"/>
    <w:rsid w:val="005A162E"/>
    <w:rsid w:val="005A3280"/>
    <w:rsid w:val="005A4877"/>
    <w:rsid w:val="005B11C9"/>
    <w:rsid w:val="005B145B"/>
    <w:rsid w:val="005B1C9E"/>
    <w:rsid w:val="005B230A"/>
    <w:rsid w:val="005B3692"/>
    <w:rsid w:val="005B60C6"/>
    <w:rsid w:val="005B62CB"/>
    <w:rsid w:val="005B6E31"/>
    <w:rsid w:val="005C1E8A"/>
    <w:rsid w:val="005C23A4"/>
    <w:rsid w:val="005C33FF"/>
    <w:rsid w:val="005C4980"/>
    <w:rsid w:val="005C7A11"/>
    <w:rsid w:val="005D0F99"/>
    <w:rsid w:val="005D1CDF"/>
    <w:rsid w:val="005D37DA"/>
    <w:rsid w:val="005D3CF6"/>
    <w:rsid w:val="005D5DA3"/>
    <w:rsid w:val="005D75AD"/>
    <w:rsid w:val="005E0BA4"/>
    <w:rsid w:val="005E14BE"/>
    <w:rsid w:val="005E14FF"/>
    <w:rsid w:val="005E61A8"/>
    <w:rsid w:val="005E6FCB"/>
    <w:rsid w:val="005F20BC"/>
    <w:rsid w:val="005F2980"/>
    <w:rsid w:val="005F464F"/>
    <w:rsid w:val="005F5441"/>
    <w:rsid w:val="005F6419"/>
    <w:rsid w:val="006006E8"/>
    <w:rsid w:val="006006E9"/>
    <w:rsid w:val="00601860"/>
    <w:rsid w:val="00603273"/>
    <w:rsid w:val="00605BC7"/>
    <w:rsid w:val="00607EA7"/>
    <w:rsid w:val="00611BAB"/>
    <w:rsid w:val="0061489D"/>
    <w:rsid w:val="00614B06"/>
    <w:rsid w:val="0061656B"/>
    <w:rsid w:val="00617400"/>
    <w:rsid w:val="00617643"/>
    <w:rsid w:val="006177BD"/>
    <w:rsid w:val="00621C0F"/>
    <w:rsid w:val="00621DAB"/>
    <w:rsid w:val="006227F7"/>
    <w:rsid w:val="0062654D"/>
    <w:rsid w:val="00626888"/>
    <w:rsid w:val="00631D05"/>
    <w:rsid w:val="00633D30"/>
    <w:rsid w:val="0063425C"/>
    <w:rsid w:val="00635539"/>
    <w:rsid w:val="00635C0C"/>
    <w:rsid w:val="00637AE7"/>
    <w:rsid w:val="006412C7"/>
    <w:rsid w:val="00643488"/>
    <w:rsid w:val="006438CF"/>
    <w:rsid w:val="0064432E"/>
    <w:rsid w:val="00644388"/>
    <w:rsid w:val="00644617"/>
    <w:rsid w:val="006449C1"/>
    <w:rsid w:val="00646988"/>
    <w:rsid w:val="00646EB3"/>
    <w:rsid w:val="00647846"/>
    <w:rsid w:val="00651BCD"/>
    <w:rsid w:val="006525F7"/>
    <w:rsid w:val="00652A5A"/>
    <w:rsid w:val="0065308D"/>
    <w:rsid w:val="00654238"/>
    <w:rsid w:val="00660C0B"/>
    <w:rsid w:val="00663DE6"/>
    <w:rsid w:val="00663EA9"/>
    <w:rsid w:val="00664950"/>
    <w:rsid w:val="0066691F"/>
    <w:rsid w:val="006702DB"/>
    <w:rsid w:val="00670434"/>
    <w:rsid w:val="006726D9"/>
    <w:rsid w:val="00675C57"/>
    <w:rsid w:val="00680B0B"/>
    <w:rsid w:val="006810F9"/>
    <w:rsid w:val="00681CFA"/>
    <w:rsid w:val="00682477"/>
    <w:rsid w:val="00683220"/>
    <w:rsid w:val="00686E5F"/>
    <w:rsid w:val="00687093"/>
    <w:rsid w:val="00687475"/>
    <w:rsid w:val="00687FA0"/>
    <w:rsid w:val="006903A5"/>
    <w:rsid w:val="006940BC"/>
    <w:rsid w:val="00697E99"/>
    <w:rsid w:val="006A0DBE"/>
    <w:rsid w:val="006A1D47"/>
    <w:rsid w:val="006A268D"/>
    <w:rsid w:val="006A4FF9"/>
    <w:rsid w:val="006A73E2"/>
    <w:rsid w:val="006A78E8"/>
    <w:rsid w:val="006B2781"/>
    <w:rsid w:val="006B3D8A"/>
    <w:rsid w:val="006B4F1D"/>
    <w:rsid w:val="006B69A3"/>
    <w:rsid w:val="006B7010"/>
    <w:rsid w:val="006C2416"/>
    <w:rsid w:val="006C2B83"/>
    <w:rsid w:val="006C3CDE"/>
    <w:rsid w:val="006C3FB7"/>
    <w:rsid w:val="006D129B"/>
    <w:rsid w:val="006D27FC"/>
    <w:rsid w:val="006D3625"/>
    <w:rsid w:val="006D3D78"/>
    <w:rsid w:val="006D4378"/>
    <w:rsid w:val="006D6BC0"/>
    <w:rsid w:val="006D7B7B"/>
    <w:rsid w:val="006D7F54"/>
    <w:rsid w:val="006E06E5"/>
    <w:rsid w:val="006E1220"/>
    <w:rsid w:val="006E1AEE"/>
    <w:rsid w:val="006E5FBA"/>
    <w:rsid w:val="006F3272"/>
    <w:rsid w:val="006F6917"/>
    <w:rsid w:val="006F7D8B"/>
    <w:rsid w:val="00701D8C"/>
    <w:rsid w:val="007024BD"/>
    <w:rsid w:val="007040B0"/>
    <w:rsid w:val="007054FA"/>
    <w:rsid w:val="00710A82"/>
    <w:rsid w:val="0071118A"/>
    <w:rsid w:val="0071205C"/>
    <w:rsid w:val="00712307"/>
    <w:rsid w:val="007145FF"/>
    <w:rsid w:val="00720FE4"/>
    <w:rsid w:val="00726234"/>
    <w:rsid w:val="00727EC2"/>
    <w:rsid w:val="0073261F"/>
    <w:rsid w:val="00732F7E"/>
    <w:rsid w:val="00733B26"/>
    <w:rsid w:val="0073440E"/>
    <w:rsid w:val="00735158"/>
    <w:rsid w:val="00735FD6"/>
    <w:rsid w:val="00736CEE"/>
    <w:rsid w:val="007375DE"/>
    <w:rsid w:val="007377F8"/>
    <w:rsid w:val="00741DC9"/>
    <w:rsid w:val="00743610"/>
    <w:rsid w:val="00746523"/>
    <w:rsid w:val="00750964"/>
    <w:rsid w:val="00751515"/>
    <w:rsid w:val="00751D5E"/>
    <w:rsid w:val="0075236F"/>
    <w:rsid w:val="00753003"/>
    <w:rsid w:val="00754083"/>
    <w:rsid w:val="00754FF1"/>
    <w:rsid w:val="00755D21"/>
    <w:rsid w:val="00757FC7"/>
    <w:rsid w:val="0076188B"/>
    <w:rsid w:val="007622FA"/>
    <w:rsid w:val="00762385"/>
    <w:rsid w:val="007633BD"/>
    <w:rsid w:val="00763A4A"/>
    <w:rsid w:val="00764420"/>
    <w:rsid w:val="00765658"/>
    <w:rsid w:val="007657D9"/>
    <w:rsid w:val="007676CC"/>
    <w:rsid w:val="0077013C"/>
    <w:rsid w:val="0077603E"/>
    <w:rsid w:val="00781FB5"/>
    <w:rsid w:val="00782248"/>
    <w:rsid w:val="00783368"/>
    <w:rsid w:val="00783670"/>
    <w:rsid w:val="00783B35"/>
    <w:rsid w:val="00783D67"/>
    <w:rsid w:val="00785232"/>
    <w:rsid w:val="007865E5"/>
    <w:rsid w:val="007903E4"/>
    <w:rsid w:val="00791021"/>
    <w:rsid w:val="00793F16"/>
    <w:rsid w:val="00794DAC"/>
    <w:rsid w:val="00794F1A"/>
    <w:rsid w:val="00797AC8"/>
    <w:rsid w:val="007A06D8"/>
    <w:rsid w:val="007A085A"/>
    <w:rsid w:val="007A08FF"/>
    <w:rsid w:val="007A18A9"/>
    <w:rsid w:val="007A3B46"/>
    <w:rsid w:val="007A4A5B"/>
    <w:rsid w:val="007A6D60"/>
    <w:rsid w:val="007A77ED"/>
    <w:rsid w:val="007A7B49"/>
    <w:rsid w:val="007B0B04"/>
    <w:rsid w:val="007B0D17"/>
    <w:rsid w:val="007B33C6"/>
    <w:rsid w:val="007B39D1"/>
    <w:rsid w:val="007B49BA"/>
    <w:rsid w:val="007B4F91"/>
    <w:rsid w:val="007B57D1"/>
    <w:rsid w:val="007B69A7"/>
    <w:rsid w:val="007B69CC"/>
    <w:rsid w:val="007C1435"/>
    <w:rsid w:val="007C3012"/>
    <w:rsid w:val="007C32CD"/>
    <w:rsid w:val="007C3CD2"/>
    <w:rsid w:val="007C3ED0"/>
    <w:rsid w:val="007C4A1E"/>
    <w:rsid w:val="007C5477"/>
    <w:rsid w:val="007C623B"/>
    <w:rsid w:val="007C7DBA"/>
    <w:rsid w:val="007D145B"/>
    <w:rsid w:val="007D3580"/>
    <w:rsid w:val="007D5622"/>
    <w:rsid w:val="007D71BC"/>
    <w:rsid w:val="007E00D4"/>
    <w:rsid w:val="007E29D6"/>
    <w:rsid w:val="007E31D1"/>
    <w:rsid w:val="007E496C"/>
    <w:rsid w:val="007E49DF"/>
    <w:rsid w:val="007E5FFB"/>
    <w:rsid w:val="007E68D6"/>
    <w:rsid w:val="007E6948"/>
    <w:rsid w:val="007E6C17"/>
    <w:rsid w:val="007F0AC2"/>
    <w:rsid w:val="007F1D0E"/>
    <w:rsid w:val="007F4B64"/>
    <w:rsid w:val="007F52F4"/>
    <w:rsid w:val="007F6458"/>
    <w:rsid w:val="007F6C0F"/>
    <w:rsid w:val="007F79A9"/>
    <w:rsid w:val="0080343D"/>
    <w:rsid w:val="008048AF"/>
    <w:rsid w:val="008066E5"/>
    <w:rsid w:val="00806A76"/>
    <w:rsid w:val="00807C73"/>
    <w:rsid w:val="00810131"/>
    <w:rsid w:val="00810D0C"/>
    <w:rsid w:val="00811099"/>
    <w:rsid w:val="0081132E"/>
    <w:rsid w:val="008116B1"/>
    <w:rsid w:val="00811847"/>
    <w:rsid w:val="00811C9D"/>
    <w:rsid w:val="008120B9"/>
    <w:rsid w:val="0081210B"/>
    <w:rsid w:val="00814046"/>
    <w:rsid w:val="008141FB"/>
    <w:rsid w:val="00814C75"/>
    <w:rsid w:val="00814DFE"/>
    <w:rsid w:val="00816C80"/>
    <w:rsid w:val="0081742A"/>
    <w:rsid w:val="008201C6"/>
    <w:rsid w:val="0082153E"/>
    <w:rsid w:val="00821A8B"/>
    <w:rsid w:val="00821CDF"/>
    <w:rsid w:val="00822906"/>
    <w:rsid w:val="00824BD6"/>
    <w:rsid w:val="00825236"/>
    <w:rsid w:val="00825AD5"/>
    <w:rsid w:val="00825C6A"/>
    <w:rsid w:val="00826B07"/>
    <w:rsid w:val="00827F0B"/>
    <w:rsid w:val="008316F1"/>
    <w:rsid w:val="00831FAD"/>
    <w:rsid w:val="008322AA"/>
    <w:rsid w:val="008362D2"/>
    <w:rsid w:val="00840A14"/>
    <w:rsid w:val="00841295"/>
    <w:rsid w:val="00841BCD"/>
    <w:rsid w:val="008420E5"/>
    <w:rsid w:val="00842481"/>
    <w:rsid w:val="008439D9"/>
    <w:rsid w:val="0084562C"/>
    <w:rsid w:val="008465A8"/>
    <w:rsid w:val="00847139"/>
    <w:rsid w:val="00847D0C"/>
    <w:rsid w:val="00850920"/>
    <w:rsid w:val="00851A8E"/>
    <w:rsid w:val="00851F97"/>
    <w:rsid w:val="008522DA"/>
    <w:rsid w:val="00857236"/>
    <w:rsid w:val="0086155B"/>
    <w:rsid w:val="00864B6F"/>
    <w:rsid w:val="008653FB"/>
    <w:rsid w:val="008655E6"/>
    <w:rsid w:val="008656DC"/>
    <w:rsid w:val="00866037"/>
    <w:rsid w:val="008665F3"/>
    <w:rsid w:val="008722A9"/>
    <w:rsid w:val="008724BC"/>
    <w:rsid w:val="00873BFB"/>
    <w:rsid w:val="008808A5"/>
    <w:rsid w:val="00881848"/>
    <w:rsid w:val="00881CB9"/>
    <w:rsid w:val="008826C1"/>
    <w:rsid w:val="008851E8"/>
    <w:rsid w:val="00885A87"/>
    <w:rsid w:val="008871E6"/>
    <w:rsid w:val="00893D23"/>
    <w:rsid w:val="0089625C"/>
    <w:rsid w:val="00896B37"/>
    <w:rsid w:val="00896E72"/>
    <w:rsid w:val="008A3056"/>
    <w:rsid w:val="008A5463"/>
    <w:rsid w:val="008A78FD"/>
    <w:rsid w:val="008B1719"/>
    <w:rsid w:val="008B2B85"/>
    <w:rsid w:val="008C0FE2"/>
    <w:rsid w:val="008C5E12"/>
    <w:rsid w:val="008C6C4B"/>
    <w:rsid w:val="008C709D"/>
    <w:rsid w:val="008C70A0"/>
    <w:rsid w:val="008D1888"/>
    <w:rsid w:val="008D2EDD"/>
    <w:rsid w:val="008D3456"/>
    <w:rsid w:val="008E000D"/>
    <w:rsid w:val="008E0A58"/>
    <w:rsid w:val="008E3600"/>
    <w:rsid w:val="008E38EB"/>
    <w:rsid w:val="008E4404"/>
    <w:rsid w:val="008E61B8"/>
    <w:rsid w:val="008E6DF3"/>
    <w:rsid w:val="008F5140"/>
    <w:rsid w:val="00900666"/>
    <w:rsid w:val="00900886"/>
    <w:rsid w:val="0090091A"/>
    <w:rsid w:val="00901B06"/>
    <w:rsid w:val="00901E01"/>
    <w:rsid w:val="00902C0E"/>
    <w:rsid w:val="009042BD"/>
    <w:rsid w:val="00905798"/>
    <w:rsid w:val="00905967"/>
    <w:rsid w:val="00906B6D"/>
    <w:rsid w:val="00912177"/>
    <w:rsid w:val="00912868"/>
    <w:rsid w:val="00915B87"/>
    <w:rsid w:val="00917AEE"/>
    <w:rsid w:val="00917C79"/>
    <w:rsid w:val="00920094"/>
    <w:rsid w:val="0092018C"/>
    <w:rsid w:val="009209AC"/>
    <w:rsid w:val="00920A91"/>
    <w:rsid w:val="00920B6D"/>
    <w:rsid w:val="0092234E"/>
    <w:rsid w:val="009232A9"/>
    <w:rsid w:val="00923CAE"/>
    <w:rsid w:val="009245ED"/>
    <w:rsid w:val="00927368"/>
    <w:rsid w:val="00931F7C"/>
    <w:rsid w:val="00932A8B"/>
    <w:rsid w:val="00932BF9"/>
    <w:rsid w:val="0093696B"/>
    <w:rsid w:val="00941255"/>
    <w:rsid w:val="00945B98"/>
    <w:rsid w:val="0094747C"/>
    <w:rsid w:val="009508A6"/>
    <w:rsid w:val="009508D4"/>
    <w:rsid w:val="009529C3"/>
    <w:rsid w:val="0095479A"/>
    <w:rsid w:val="009548BF"/>
    <w:rsid w:val="00956796"/>
    <w:rsid w:val="00957279"/>
    <w:rsid w:val="00960187"/>
    <w:rsid w:val="00961638"/>
    <w:rsid w:val="0096188D"/>
    <w:rsid w:val="0096571D"/>
    <w:rsid w:val="00966B5C"/>
    <w:rsid w:val="00966C03"/>
    <w:rsid w:val="00970EAF"/>
    <w:rsid w:val="0097171F"/>
    <w:rsid w:val="009723DA"/>
    <w:rsid w:val="0097245A"/>
    <w:rsid w:val="00974C72"/>
    <w:rsid w:val="009752C5"/>
    <w:rsid w:val="0097546A"/>
    <w:rsid w:val="00977C9A"/>
    <w:rsid w:val="00977E1D"/>
    <w:rsid w:val="009828B5"/>
    <w:rsid w:val="00982B77"/>
    <w:rsid w:val="00983BF9"/>
    <w:rsid w:val="009858B9"/>
    <w:rsid w:val="00987038"/>
    <w:rsid w:val="00990067"/>
    <w:rsid w:val="00992C12"/>
    <w:rsid w:val="00996FFF"/>
    <w:rsid w:val="009A2752"/>
    <w:rsid w:val="009A33D6"/>
    <w:rsid w:val="009A3CB6"/>
    <w:rsid w:val="009A5EB4"/>
    <w:rsid w:val="009A61DA"/>
    <w:rsid w:val="009B22D5"/>
    <w:rsid w:val="009B2360"/>
    <w:rsid w:val="009B3718"/>
    <w:rsid w:val="009B4D1D"/>
    <w:rsid w:val="009B5B8F"/>
    <w:rsid w:val="009B6CD3"/>
    <w:rsid w:val="009B7554"/>
    <w:rsid w:val="009C0A37"/>
    <w:rsid w:val="009C0EA1"/>
    <w:rsid w:val="009C78A0"/>
    <w:rsid w:val="009D0BF6"/>
    <w:rsid w:val="009D0F16"/>
    <w:rsid w:val="009D2701"/>
    <w:rsid w:val="009D5E90"/>
    <w:rsid w:val="009E017B"/>
    <w:rsid w:val="009E288A"/>
    <w:rsid w:val="009E67FA"/>
    <w:rsid w:val="009E756B"/>
    <w:rsid w:val="009F059E"/>
    <w:rsid w:val="009F064A"/>
    <w:rsid w:val="009F2A4C"/>
    <w:rsid w:val="009F2FF0"/>
    <w:rsid w:val="009F406B"/>
    <w:rsid w:val="009F46F3"/>
    <w:rsid w:val="00A00F02"/>
    <w:rsid w:val="00A01D00"/>
    <w:rsid w:val="00A02AED"/>
    <w:rsid w:val="00A04673"/>
    <w:rsid w:val="00A05B85"/>
    <w:rsid w:val="00A06330"/>
    <w:rsid w:val="00A1148C"/>
    <w:rsid w:val="00A117F4"/>
    <w:rsid w:val="00A13471"/>
    <w:rsid w:val="00A135B6"/>
    <w:rsid w:val="00A1755C"/>
    <w:rsid w:val="00A17C65"/>
    <w:rsid w:val="00A22B78"/>
    <w:rsid w:val="00A22CAB"/>
    <w:rsid w:val="00A24402"/>
    <w:rsid w:val="00A25AE5"/>
    <w:rsid w:val="00A27C29"/>
    <w:rsid w:val="00A30A78"/>
    <w:rsid w:val="00A30E88"/>
    <w:rsid w:val="00A31012"/>
    <w:rsid w:val="00A335A3"/>
    <w:rsid w:val="00A36149"/>
    <w:rsid w:val="00A37002"/>
    <w:rsid w:val="00A41313"/>
    <w:rsid w:val="00A43EEA"/>
    <w:rsid w:val="00A45AEF"/>
    <w:rsid w:val="00A50B58"/>
    <w:rsid w:val="00A5223D"/>
    <w:rsid w:val="00A52816"/>
    <w:rsid w:val="00A5350E"/>
    <w:rsid w:val="00A54DDD"/>
    <w:rsid w:val="00A61FD7"/>
    <w:rsid w:val="00A632F8"/>
    <w:rsid w:val="00A63464"/>
    <w:rsid w:val="00A6421E"/>
    <w:rsid w:val="00A66ABC"/>
    <w:rsid w:val="00A66D4E"/>
    <w:rsid w:val="00A67661"/>
    <w:rsid w:val="00A67CB8"/>
    <w:rsid w:val="00A708A3"/>
    <w:rsid w:val="00A71333"/>
    <w:rsid w:val="00A71EEE"/>
    <w:rsid w:val="00A72A0B"/>
    <w:rsid w:val="00A7405E"/>
    <w:rsid w:val="00A746F2"/>
    <w:rsid w:val="00A7517D"/>
    <w:rsid w:val="00A75B0C"/>
    <w:rsid w:val="00A77B43"/>
    <w:rsid w:val="00A77BCE"/>
    <w:rsid w:val="00A83B11"/>
    <w:rsid w:val="00A844AB"/>
    <w:rsid w:val="00A86319"/>
    <w:rsid w:val="00A877F8"/>
    <w:rsid w:val="00A9288F"/>
    <w:rsid w:val="00A9377A"/>
    <w:rsid w:val="00A93872"/>
    <w:rsid w:val="00A95102"/>
    <w:rsid w:val="00A95385"/>
    <w:rsid w:val="00AA1B0E"/>
    <w:rsid w:val="00AA3659"/>
    <w:rsid w:val="00AA36E1"/>
    <w:rsid w:val="00AB057B"/>
    <w:rsid w:val="00AB4776"/>
    <w:rsid w:val="00AB4A6A"/>
    <w:rsid w:val="00AC0AB1"/>
    <w:rsid w:val="00AC5CA7"/>
    <w:rsid w:val="00AD138A"/>
    <w:rsid w:val="00AD196F"/>
    <w:rsid w:val="00AD1A03"/>
    <w:rsid w:val="00AD1A45"/>
    <w:rsid w:val="00AD1CF2"/>
    <w:rsid w:val="00AD1ECD"/>
    <w:rsid w:val="00AD2959"/>
    <w:rsid w:val="00AD2B76"/>
    <w:rsid w:val="00AE0456"/>
    <w:rsid w:val="00AE0A2F"/>
    <w:rsid w:val="00AE3AEF"/>
    <w:rsid w:val="00AE44B8"/>
    <w:rsid w:val="00AE50E1"/>
    <w:rsid w:val="00AE56B1"/>
    <w:rsid w:val="00AE5B76"/>
    <w:rsid w:val="00AF0CCF"/>
    <w:rsid w:val="00AF1A14"/>
    <w:rsid w:val="00AF308C"/>
    <w:rsid w:val="00AF456E"/>
    <w:rsid w:val="00B00BEF"/>
    <w:rsid w:val="00B02AB3"/>
    <w:rsid w:val="00B03ACE"/>
    <w:rsid w:val="00B04FEB"/>
    <w:rsid w:val="00B04FF1"/>
    <w:rsid w:val="00B05B5F"/>
    <w:rsid w:val="00B06A74"/>
    <w:rsid w:val="00B07831"/>
    <w:rsid w:val="00B10ADE"/>
    <w:rsid w:val="00B10B68"/>
    <w:rsid w:val="00B12873"/>
    <w:rsid w:val="00B12DF2"/>
    <w:rsid w:val="00B13149"/>
    <w:rsid w:val="00B137C7"/>
    <w:rsid w:val="00B1444C"/>
    <w:rsid w:val="00B16666"/>
    <w:rsid w:val="00B170F2"/>
    <w:rsid w:val="00B17A61"/>
    <w:rsid w:val="00B17F9B"/>
    <w:rsid w:val="00B20DD2"/>
    <w:rsid w:val="00B21F63"/>
    <w:rsid w:val="00B23784"/>
    <w:rsid w:val="00B25150"/>
    <w:rsid w:val="00B2731D"/>
    <w:rsid w:val="00B36BFF"/>
    <w:rsid w:val="00B3707B"/>
    <w:rsid w:val="00B370C5"/>
    <w:rsid w:val="00B370F7"/>
    <w:rsid w:val="00B37813"/>
    <w:rsid w:val="00B41CC9"/>
    <w:rsid w:val="00B4265C"/>
    <w:rsid w:val="00B42943"/>
    <w:rsid w:val="00B445DB"/>
    <w:rsid w:val="00B44F68"/>
    <w:rsid w:val="00B45176"/>
    <w:rsid w:val="00B5065E"/>
    <w:rsid w:val="00B5157A"/>
    <w:rsid w:val="00B521A8"/>
    <w:rsid w:val="00B54414"/>
    <w:rsid w:val="00B554D6"/>
    <w:rsid w:val="00B55D86"/>
    <w:rsid w:val="00B5676F"/>
    <w:rsid w:val="00B575F8"/>
    <w:rsid w:val="00B62127"/>
    <w:rsid w:val="00B623B9"/>
    <w:rsid w:val="00B630E1"/>
    <w:rsid w:val="00B63B73"/>
    <w:rsid w:val="00B63EFA"/>
    <w:rsid w:val="00B66D61"/>
    <w:rsid w:val="00B677DA"/>
    <w:rsid w:val="00B67C26"/>
    <w:rsid w:val="00B72069"/>
    <w:rsid w:val="00B72276"/>
    <w:rsid w:val="00B72C17"/>
    <w:rsid w:val="00B73862"/>
    <w:rsid w:val="00B7482B"/>
    <w:rsid w:val="00B74A59"/>
    <w:rsid w:val="00B76E99"/>
    <w:rsid w:val="00B77CFC"/>
    <w:rsid w:val="00B81B16"/>
    <w:rsid w:val="00B827A8"/>
    <w:rsid w:val="00B84F37"/>
    <w:rsid w:val="00B84FAF"/>
    <w:rsid w:val="00B86FCF"/>
    <w:rsid w:val="00B873BE"/>
    <w:rsid w:val="00B90AA0"/>
    <w:rsid w:val="00B926B3"/>
    <w:rsid w:val="00B94CD7"/>
    <w:rsid w:val="00B94ED1"/>
    <w:rsid w:val="00BA0267"/>
    <w:rsid w:val="00BA1477"/>
    <w:rsid w:val="00BA1712"/>
    <w:rsid w:val="00BA3704"/>
    <w:rsid w:val="00BA6E48"/>
    <w:rsid w:val="00BB17A2"/>
    <w:rsid w:val="00BB1E0D"/>
    <w:rsid w:val="00BB24CB"/>
    <w:rsid w:val="00BB4EB0"/>
    <w:rsid w:val="00BB529A"/>
    <w:rsid w:val="00BB540D"/>
    <w:rsid w:val="00BB5639"/>
    <w:rsid w:val="00BB68C7"/>
    <w:rsid w:val="00BC0871"/>
    <w:rsid w:val="00BC0F3C"/>
    <w:rsid w:val="00BC1159"/>
    <w:rsid w:val="00BC1876"/>
    <w:rsid w:val="00BC3FF2"/>
    <w:rsid w:val="00BC4A6F"/>
    <w:rsid w:val="00BC4BD7"/>
    <w:rsid w:val="00BD0AE0"/>
    <w:rsid w:val="00BD10B7"/>
    <w:rsid w:val="00BD11B7"/>
    <w:rsid w:val="00BD1AAF"/>
    <w:rsid w:val="00BD1B48"/>
    <w:rsid w:val="00BD497F"/>
    <w:rsid w:val="00BD6714"/>
    <w:rsid w:val="00BE1326"/>
    <w:rsid w:val="00BE2A34"/>
    <w:rsid w:val="00BE2E7A"/>
    <w:rsid w:val="00BF2218"/>
    <w:rsid w:val="00BF66C6"/>
    <w:rsid w:val="00BF7D8C"/>
    <w:rsid w:val="00C0318C"/>
    <w:rsid w:val="00C04595"/>
    <w:rsid w:val="00C0520B"/>
    <w:rsid w:val="00C05501"/>
    <w:rsid w:val="00C05A3F"/>
    <w:rsid w:val="00C06D11"/>
    <w:rsid w:val="00C12132"/>
    <w:rsid w:val="00C125E5"/>
    <w:rsid w:val="00C15ABF"/>
    <w:rsid w:val="00C1728A"/>
    <w:rsid w:val="00C23622"/>
    <w:rsid w:val="00C24F40"/>
    <w:rsid w:val="00C2563B"/>
    <w:rsid w:val="00C26333"/>
    <w:rsid w:val="00C26C1B"/>
    <w:rsid w:val="00C313E2"/>
    <w:rsid w:val="00C32129"/>
    <w:rsid w:val="00C3518B"/>
    <w:rsid w:val="00C351F2"/>
    <w:rsid w:val="00C35CB1"/>
    <w:rsid w:val="00C43FC6"/>
    <w:rsid w:val="00C500A7"/>
    <w:rsid w:val="00C517CA"/>
    <w:rsid w:val="00C51BE5"/>
    <w:rsid w:val="00C549D1"/>
    <w:rsid w:val="00C56308"/>
    <w:rsid w:val="00C62110"/>
    <w:rsid w:val="00C62ECD"/>
    <w:rsid w:val="00C6348E"/>
    <w:rsid w:val="00C63AA9"/>
    <w:rsid w:val="00C64AC8"/>
    <w:rsid w:val="00C65483"/>
    <w:rsid w:val="00C72E0C"/>
    <w:rsid w:val="00C737B4"/>
    <w:rsid w:val="00C74C72"/>
    <w:rsid w:val="00C76B8E"/>
    <w:rsid w:val="00C80642"/>
    <w:rsid w:val="00C80713"/>
    <w:rsid w:val="00C81FCE"/>
    <w:rsid w:val="00C83145"/>
    <w:rsid w:val="00C836BF"/>
    <w:rsid w:val="00C84414"/>
    <w:rsid w:val="00C93089"/>
    <w:rsid w:val="00C94C6F"/>
    <w:rsid w:val="00C94D1B"/>
    <w:rsid w:val="00C95927"/>
    <w:rsid w:val="00C97A3A"/>
    <w:rsid w:val="00CA03C6"/>
    <w:rsid w:val="00CA2555"/>
    <w:rsid w:val="00CA289A"/>
    <w:rsid w:val="00CA30DE"/>
    <w:rsid w:val="00CA4E5B"/>
    <w:rsid w:val="00CA515D"/>
    <w:rsid w:val="00CA606D"/>
    <w:rsid w:val="00CA7017"/>
    <w:rsid w:val="00CB0A1A"/>
    <w:rsid w:val="00CB1C2B"/>
    <w:rsid w:val="00CB1E7B"/>
    <w:rsid w:val="00CB2FA5"/>
    <w:rsid w:val="00CB457B"/>
    <w:rsid w:val="00CC11E4"/>
    <w:rsid w:val="00CC51E0"/>
    <w:rsid w:val="00CC5CAB"/>
    <w:rsid w:val="00CD174C"/>
    <w:rsid w:val="00CD1AF5"/>
    <w:rsid w:val="00CD2260"/>
    <w:rsid w:val="00CD22F6"/>
    <w:rsid w:val="00CD3A7B"/>
    <w:rsid w:val="00CD3EF1"/>
    <w:rsid w:val="00CD706C"/>
    <w:rsid w:val="00CD7339"/>
    <w:rsid w:val="00CD7492"/>
    <w:rsid w:val="00CE1FA5"/>
    <w:rsid w:val="00CE3A6B"/>
    <w:rsid w:val="00CE519F"/>
    <w:rsid w:val="00CE62A1"/>
    <w:rsid w:val="00CE6A2C"/>
    <w:rsid w:val="00CF043D"/>
    <w:rsid w:val="00CF31A7"/>
    <w:rsid w:val="00CF449E"/>
    <w:rsid w:val="00CF519A"/>
    <w:rsid w:val="00CF5782"/>
    <w:rsid w:val="00CF5FD8"/>
    <w:rsid w:val="00D00211"/>
    <w:rsid w:val="00D00641"/>
    <w:rsid w:val="00D06309"/>
    <w:rsid w:val="00D06A50"/>
    <w:rsid w:val="00D10607"/>
    <w:rsid w:val="00D11118"/>
    <w:rsid w:val="00D13326"/>
    <w:rsid w:val="00D178FB"/>
    <w:rsid w:val="00D17B3C"/>
    <w:rsid w:val="00D20FB1"/>
    <w:rsid w:val="00D21AAA"/>
    <w:rsid w:val="00D21FDD"/>
    <w:rsid w:val="00D22480"/>
    <w:rsid w:val="00D238A8"/>
    <w:rsid w:val="00D24249"/>
    <w:rsid w:val="00D24FB9"/>
    <w:rsid w:val="00D2520F"/>
    <w:rsid w:val="00D25573"/>
    <w:rsid w:val="00D25729"/>
    <w:rsid w:val="00D26E32"/>
    <w:rsid w:val="00D306F8"/>
    <w:rsid w:val="00D30F8E"/>
    <w:rsid w:val="00D3214D"/>
    <w:rsid w:val="00D3517A"/>
    <w:rsid w:val="00D351EA"/>
    <w:rsid w:val="00D35441"/>
    <w:rsid w:val="00D377E7"/>
    <w:rsid w:val="00D40B77"/>
    <w:rsid w:val="00D4131B"/>
    <w:rsid w:val="00D41AF7"/>
    <w:rsid w:val="00D43403"/>
    <w:rsid w:val="00D43F1F"/>
    <w:rsid w:val="00D44455"/>
    <w:rsid w:val="00D47597"/>
    <w:rsid w:val="00D51893"/>
    <w:rsid w:val="00D52C62"/>
    <w:rsid w:val="00D540EA"/>
    <w:rsid w:val="00D61F86"/>
    <w:rsid w:val="00D62E71"/>
    <w:rsid w:val="00D670DF"/>
    <w:rsid w:val="00D73013"/>
    <w:rsid w:val="00D7318C"/>
    <w:rsid w:val="00D740CA"/>
    <w:rsid w:val="00D7472B"/>
    <w:rsid w:val="00D75A0F"/>
    <w:rsid w:val="00D7757C"/>
    <w:rsid w:val="00D808C7"/>
    <w:rsid w:val="00D8387E"/>
    <w:rsid w:val="00D85728"/>
    <w:rsid w:val="00D8621E"/>
    <w:rsid w:val="00D86C79"/>
    <w:rsid w:val="00D8769C"/>
    <w:rsid w:val="00D90E84"/>
    <w:rsid w:val="00D91A82"/>
    <w:rsid w:val="00D92AD5"/>
    <w:rsid w:val="00D94F66"/>
    <w:rsid w:val="00D96D42"/>
    <w:rsid w:val="00D96D75"/>
    <w:rsid w:val="00D96F36"/>
    <w:rsid w:val="00D97E4B"/>
    <w:rsid w:val="00DA0866"/>
    <w:rsid w:val="00DA176E"/>
    <w:rsid w:val="00DA2E43"/>
    <w:rsid w:val="00DA471A"/>
    <w:rsid w:val="00DA478B"/>
    <w:rsid w:val="00DA6F6F"/>
    <w:rsid w:val="00DB15BA"/>
    <w:rsid w:val="00DB2A9A"/>
    <w:rsid w:val="00DB4C05"/>
    <w:rsid w:val="00DB4CA5"/>
    <w:rsid w:val="00DB5026"/>
    <w:rsid w:val="00DB50DE"/>
    <w:rsid w:val="00DB652A"/>
    <w:rsid w:val="00DB6E61"/>
    <w:rsid w:val="00DB7BAB"/>
    <w:rsid w:val="00DC07E2"/>
    <w:rsid w:val="00DC19E6"/>
    <w:rsid w:val="00DC1C21"/>
    <w:rsid w:val="00DC2010"/>
    <w:rsid w:val="00DC3387"/>
    <w:rsid w:val="00DC3686"/>
    <w:rsid w:val="00DC39FC"/>
    <w:rsid w:val="00DC3ACB"/>
    <w:rsid w:val="00DC408A"/>
    <w:rsid w:val="00DC52B9"/>
    <w:rsid w:val="00DC61B0"/>
    <w:rsid w:val="00DD177A"/>
    <w:rsid w:val="00DD22C7"/>
    <w:rsid w:val="00DD4C0F"/>
    <w:rsid w:val="00DD6ABA"/>
    <w:rsid w:val="00DD6DB0"/>
    <w:rsid w:val="00DD72D0"/>
    <w:rsid w:val="00DE16E6"/>
    <w:rsid w:val="00DE36CF"/>
    <w:rsid w:val="00DE4650"/>
    <w:rsid w:val="00DE5C87"/>
    <w:rsid w:val="00DE66EA"/>
    <w:rsid w:val="00DF2997"/>
    <w:rsid w:val="00DF454E"/>
    <w:rsid w:val="00DF556E"/>
    <w:rsid w:val="00DF5CB7"/>
    <w:rsid w:val="00DF6469"/>
    <w:rsid w:val="00DF6568"/>
    <w:rsid w:val="00E017A8"/>
    <w:rsid w:val="00E02F94"/>
    <w:rsid w:val="00E046CA"/>
    <w:rsid w:val="00E04B89"/>
    <w:rsid w:val="00E07977"/>
    <w:rsid w:val="00E159A8"/>
    <w:rsid w:val="00E15D20"/>
    <w:rsid w:val="00E209BC"/>
    <w:rsid w:val="00E23177"/>
    <w:rsid w:val="00E23EE7"/>
    <w:rsid w:val="00E27B9D"/>
    <w:rsid w:val="00E30154"/>
    <w:rsid w:val="00E324D4"/>
    <w:rsid w:val="00E339BD"/>
    <w:rsid w:val="00E340E8"/>
    <w:rsid w:val="00E3787B"/>
    <w:rsid w:val="00E43B6C"/>
    <w:rsid w:val="00E43C16"/>
    <w:rsid w:val="00E45236"/>
    <w:rsid w:val="00E4605C"/>
    <w:rsid w:val="00E46791"/>
    <w:rsid w:val="00E46AEA"/>
    <w:rsid w:val="00E47608"/>
    <w:rsid w:val="00E524BC"/>
    <w:rsid w:val="00E549FC"/>
    <w:rsid w:val="00E55382"/>
    <w:rsid w:val="00E576FF"/>
    <w:rsid w:val="00E634D8"/>
    <w:rsid w:val="00E63A5A"/>
    <w:rsid w:val="00E6556D"/>
    <w:rsid w:val="00E66C3A"/>
    <w:rsid w:val="00E670CC"/>
    <w:rsid w:val="00E67AC4"/>
    <w:rsid w:val="00E75BBE"/>
    <w:rsid w:val="00E761CE"/>
    <w:rsid w:val="00E76F50"/>
    <w:rsid w:val="00E77ACE"/>
    <w:rsid w:val="00E81853"/>
    <w:rsid w:val="00E84018"/>
    <w:rsid w:val="00E85121"/>
    <w:rsid w:val="00E85C44"/>
    <w:rsid w:val="00E925A7"/>
    <w:rsid w:val="00E94F05"/>
    <w:rsid w:val="00E9572D"/>
    <w:rsid w:val="00EA2C3D"/>
    <w:rsid w:val="00EA4973"/>
    <w:rsid w:val="00EA6B39"/>
    <w:rsid w:val="00EB00CF"/>
    <w:rsid w:val="00EB16D0"/>
    <w:rsid w:val="00EB4106"/>
    <w:rsid w:val="00EB4635"/>
    <w:rsid w:val="00EB7D78"/>
    <w:rsid w:val="00EC417D"/>
    <w:rsid w:val="00EC7BC3"/>
    <w:rsid w:val="00ED0E82"/>
    <w:rsid w:val="00ED1732"/>
    <w:rsid w:val="00ED3554"/>
    <w:rsid w:val="00ED3632"/>
    <w:rsid w:val="00ED39EF"/>
    <w:rsid w:val="00ED3BEE"/>
    <w:rsid w:val="00ED5FCC"/>
    <w:rsid w:val="00ED61A2"/>
    <w:rsid w:val="00ED67ED"/>
    <w:rsid w:val="00ED7302"/>
    <w:rsid w:val="00ED7600"/>
    <w:rsid w:val="00EE025E"/>
    <w:rsid w:val="00EE034C"/>
    <w:rsid w:val="00EE0626"/>
    <w:rsid w:val="00EE27E2"/>
    <w:rsid w:val="00EE5A58"/>
    <w:rsid w:val="00EE5FB7"/>
    <w:rsid w:val="00EE6031"/>
    <w:rsid w:val="00EE73F3"/>
    <w:rsid w:val="00EF1873"/>
    <w:rsid w:val="00EF2AD0"/>
    <w:rsid w:val="00EF3D15"/>
    <w:rsid w:val="00EF4251"/>
    <w:rsid w:val="00EF50B0"/>
    <w:rsid w:val="00EF7B2E"/>
    <w:rsid w:val="00F00B27"/>
    <w:rsid w:val="00F00B9B"/>
    <w:rsid w:val="00F013C8"/>
    <w:rsid w:val="00F014B2"/>
    <w:rsid w:val="00F053F0"/>
    <w:rsid w:val="00F068F9"/>
    <w:rsid w:val="00F10F69"/>
    <w:rsid w:val="00F11195"/>
    <w:rsid w:val="00F11BFE"/>
    <w:rsid w:val="00F1362C"/>
    <w:rsid w:val="00F13F67"/>
    <w:rsid w:val="00F14AE0"/>
    <w:rsid w:val="00F14AE6"/>
    <w:rsid w:val="00F14BF6"/>
    <w:rsid w:val="00F16F7E"/>
    <w:rsid w:val="00F17262"/>
    <w:rsid w:val="00F20161"/>
    <w:rsid w:val="00F21CC0"/>
    <w:rsid w:val="00F21D05"/>
    <w:rsid w:val="00F2472B"/>
    <w:rsid w:val="00F35B03"/>
    <w:rsid w:val="00F35B2D"/>
    <w:rsid w:val="00F377A9"/>
    <w:rsid w:val="00F37DB1"/>
    <w:rsid w:val="00F41D21"/>
    <w:rsid w:val="00F42536"/>
    <w:rsid w:val="00F43245"/>
    <w:rsid w:val="00F4381D"/>
    <w:rsid w:val="00F448DE"/>
    <w:rsid w:val="00F45822"/>
    <w:rsid w:val="00F46857"/>
    <w:rsid w:val="00F50800"/>
    <w:rsid w:val="00F51205"/>
    <w:rsid w:val="00F51DA8"/>
    <w:rsid w:val="00F542C8"/>
    <w:rsid w:val="00F54D9D"/>
    <w:rsid w:val="00F553BC"/>
    <w:rsid w:val="00F55D7D"/>
    <w:rsid w:val="00F60616"/>
    <w:rsid w:val="00F60DFB"/>
    <w:rsid w:val="00F62A33"/>
    <w:rsid w:val="00F71694"/>
    <w:rsid w:val="00F71734"/>
    <w:rsid w:val="00F740AD"/>
    <w:rsid w:val="00F752D0"/>
    <w:rsid w:val="00F816D1"/>
    <w:rsid w:val="00F824F5"/>
    <w:rsid w:val="00F83FDC"/>
    <w:rsid w:val="00F84DAB"/>
    <w:rsid w:val="00F86108"/>
    <w:rsid w:val="00F87448"/>
    <w:rsid w:val="00F928B2"/>
    <w:rsid w:val="00F92EA0"/>
    <w:rsid w:val="00F93F05"/>
    <w:rsid w:val="00F9506D"/>
    <w:rsid w:val="00F9580F"/>
    <w:rsid w:val="00FA0E0F"/>
    <w:rsid w:val="00FA168E"/>
    <w:rsid w:val="00FA2BA0"/>
    <w:rsid w:val="00FA3E79"/>
    <w:rsid w:val="00FA4C32"/>
    <w:rsid w:val="00FA4C6D"/>
    <w:rsid w:val="00FB0641"/>
    <w:rsid w:val="00FB11C0"/>
    <w:rsid w:val="00FB4503"/>
    <w:rsid w:val="00FB6B66"/>
    <w:rsid w:val="00FC0D24"/>
    <w:rsid w:val="00FC17A3"/>
    <w:rsid w:val="00FC1DAE"/>
    <w:rsid w:val="00FC29B9"/>
    <w:rsid w:val="00FC2A1D"/>
    <w:rsid w:val="00FC6C6F"/>
    <w:rsid w:val="00FC6FD3"/>
    <w:rsid w:val="00FD0731"/>
    <w:rsid w:val="00FD1433"/>
    <w:rsid w:val="00FD192C"/>
    <w:rsid w:val="00FD1DC1"/>
    <w:rsid w:val="00FD21E6"/>
    <w:rsid w:val="00FD264D"/>
    <w:rsid w:val="00FD2A8F"/>
    <w:rsid w:val="00FD3577"/>
    <w:rsid w:val="00FD459F"/>
    <w:rsid w:val="00FD511A"/>
    <w:rsid w:val="00FD5C1E"/>
    <w:rsid w:val="00FD6EEE"/>
    <w:rsid w:val="00FD6F7D"/>
    <w:rsid w:val="00FD734C"/>
    <w:rsid w:val="00FE3E43"/>
    <w:rsid w:val="00FE7886"/>
    <w:rsid w:val="00FE7BFF"/>
    <w:rsid w:val="00FF0301"/>
    <w:rsid w:val="00FF0864"/>
    <w:rsid w:val="00FF126B"/>
    <w:rsid w:val="00FF1BFC"/>
    <w:rsid w:val="00FF3FF6"/>
    <w:rsid w:val="00FF4995"/>
    <w:rsid w:val="00FF73E2"/>
    <w:rsid w:val="0E55BC6F"/>
    <w:rsid w:val="1A239B12"/>
    <w:rsid w:val="1DACAFD8"/>
    <w:rsid w:val="213DE6F7"/>
    <w:rsid w:val="275013BA"/>
    <w:rsid w:val="2903CF1C"/>
    <w:rsid w:val="2A8F1FDE"/>
    <w:rsid w:val="39FFA4C4"/>
    <w:rsid w:val="3E40A172"/>
    <w:rsid w:val="4FBA1EC0"/>
    <w:rsid w:val="630FD0D2"/>
    <w:rsid w:val="639F802C"/>
    <w:rsid w:val="6D3FD6AD"/>
    <w:rsid w:val="704DE93D"/>
    <w:rsid w:val="728D5223"/>
    <w:rsid w:val="731EC6D6"/>
    <w:rsid w:val="74276596"/>
    <w:rsid w:val="7B89315A"/>
    <w:rsid w:val="7E898E6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A7764AA"/>
  <w15:chartTrackingRefBased/>
  <w15:docId w15:val="{771D3281-9F2F-4C84-B850-7602B875A0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E4D9D"/>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3">
    <w:name w:val="heading 3"/>
    <w:basedOn w:val="Normal"/>
    <w:next w:val="Normal"/>
    <w:link w:val="Heading3Char"/>
    <w:uiPriority w:val="9"/>
    <w:semiHidden/>
    <w:unhideWhenUsed/>
    <w:qFormat/>
    <w:rsid w:val="00DA6F6F"/>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4"/>
      </w:numPr>
    </w:pPr>
    <w:rPr>
      <w:lang w:val="en-US"/>
    </w:rPr>
  </w:style>
  <w:style w:type="paragraph" w:customStyle="1" w:styleId="RAN4H1">
    <w:name w:val="RAN4 H1"/>
    <w:basedOn w:val="Normal"/>
    <w:next w:val="Normal"/>
    <w:link w:val="RAN4H1Char"/>
    <w:qFormat/>
    <w:rsid w:val="00AE56B1"/>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2"/>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1"/>
      </w:numPr>
      <w:ind w:left="0" w:firstLine="0"/>
    </w:pPr>
    <w:rPr>
      <w:rFonts w:eastAsia="Calibri" w:cs="Times New Roman"/>
      <w:b/>
      <w:szCs w:val="20"/>
      <w:lang w:val="en-GB"/>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3"/>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Heading3"/>
    <w:link w:val="RAN4H3Char"/>
    <w:qFormat/>
    <w:rsid w:val="00DA6F6F"/>
    <w:pPr>
      <w:numPr>
        <w:ilvl w:val="2"/>
        <w:numId w:val="4"/>
      </w:numPr>
      <w:spacing w:after="180"/>
      <w:ind w:left="505" w:hanging="505"/>
    </w:pPr>
    <w:rPr>
      <w:rFonts w:ascii="Arial" w:hAnsi="Arial" w:cs="Arial"/>
      <w:color w:val="auto"/>
    </w:rPr>
  </w:style>
  <w:style w:type="character" w:customStyle="1" w:styleId="RAN4H3Char">
    <w:name w:val="RAN4 H3 Char"/>
    <w:basedOn w:val="DefaultParagraphFont"/>
    <w:link w:val="RAN4H3"/>
    <w:rsid w:val="00DA6F6F"/>
    <w:rPr>
      <w:rFonts w:ascii="Arial" w:eastAsiaTheme="majorEastAsia" w:hAnsi="Arial" w:cs="Arial"/>
      <w:sz w:val="24"/>
      <w:szCs w:val="24"/>
    </w:rPr>
  </w:style>
  <w:style w:type="character" w:styleId="CommentReference">
    <w:name w:val="annotation reference"/>
    <w:basedOn w:val="DefaultParagraphFont"/>
    <w:uiPriority w:val="99"/>
    <w:semiHidden/>
    <w:unhideWhenUsed/>
    <w:rsid w:val="00DB4CA5"/>
    <w:rPr>
      <w:sz w:val="16"/>
      <w:szCs w:val="16"/>
    </w:rPr>
  </w:style>
  <w:style w:type="paragraph" w:styleId="CommentText">
    <w:name w:val="annotation text"/>
    <w:basedOn w:val="Normal"/>
    <w:link w:val="CommentTextChar"/>
    <w:uiPriority w:val="99"/>
    <w:semiHidden/>
    <w:unhideWhenUsed/>
    <w:rsid w:val="00DB4CA5"/>
    <w:pPr>
      <w:spacing w:line="240" w:lineRule="auto"/>
    </w:pPr>
    <w:rPr>
      <w:szCs w:val="20"/>
    </w:rPr>
  </w:style>
  <w:style w:type="character" w:customStyle="1" w:styleId="CommentTextChar">
    <w:name w:val="Comment Text Char"/>
    <w:basedOn w:val="DefaultParagraphFont"/>
    <w:link w:val="CommentText"/>
    <w:uiPriority w:val="99"/>
    <w:semiHidden/>
    <w:rsid w:val="00DB4CA5"/>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DB4CA5"/>
    <w:rPr>
      <w:b/>
      <w:bCs/>
    </w:rPr>
  </w:style>
  <w:style w:type="character" w:customStyle="1" w:styleId="CommentSubjectChar">
    <w:name w:val="Comment Subject Char"/>
    <w:basedOn w:val="CommentTextChar"/>
    <w:link w:val="CommentSubject"/>
    <w:uiPriority w:val="99"/>
    <w:semiHidden/>
    <w:rsid w:val="00DB4CA5"/>
    <w:rPr>
      <w:rFonts w:ascii="Times New Roman" w:hAnsi="Times New Roman"/>
      <w:b/>
      <w:bCs/>
      <w:sz w:val="20"/>
      <w:szCs w:val="20"/>
    </w:rPr>
  </w:style>
  <w:style w:type="paragraph" w:styleId="BalloonText">
    <w:name w:val="Balloon Text"/>
    <w:basedOn w:val="Normal"/>
    <w:link w:val="BalloonTextChar"/>
    <w:uiPriority w:val="99"/>
    <w:semiHidden/>
    <w:unhideWhenUsed/>
    <w:rsid w:val="00DB4CA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B4CA5"/>
    <w:rPr>
      <w:rFonts w:ascii="Segoe UI" w:hAnsi="Segoe UI" w:cs="Segoe UI"/>
      <w:sz w:val="18"/>
      <w:szCs w:val="18"/>
    </w:rPr>
  </w:style>
  <w:style w:type="paragraph" w:customStyle="1" w:styleId="TAH">
    <w:name w:val="TAH"/>
    <w:basedOn w:val="TAC"/>
    <w:link w:val="TAHCar"/>
    <w:uiPriority w:val="99"/>
    <w:qFormat/>
    <w:rsid w:val="003B063E"/>
    <w:rPr>
      <w:b/>
    </w:rPr>
  </w:style>
  <w:style w:type="paragraph" w:customStyle="1" w:styleId="TAC">
    <w:name w:val="TAC"/>
    <w:basedOn w:val="Normal"/>
    <w:link w:val="TACChar"/>
    <w:qFormat/>
    <w:rsid w:val="003B063E"/>
    <w:pPr>
      <w:keepNext/>
      <w:keepLines/>
      <w:spacing w:after="0" w:line="240" w:lineRule="auto"/>
      <w:jc w:val="center"/>
    </w:pPr>
    <w:rPr>
      <w:rFonts w:ascii="Arial" w:eastAsia="Times New Roman" w:hAnsi="Arial" w:cs="Times New Roman"/>
      <w:sz w:val="18"/>
      <w:szCs w:val="20"/>
      <w:lang w:val="en-GB"/>
    </w:rPr>
  </w:style>
  <w:style w:type="character" w:customStyle="1" w:styleId="TACChar">
    <w:name w:val="TAC Char"/>
    <w:link w:val="TAC"/>
    <w:qFormat/>
    <w:rsid w:val="003B063E"/>
    <w:rPr>
      <w:rFonts w:ascii="Arial" w:eastAsia="Times New Roman" w:hAnsi="Arial" w:cs="Times New Roman"/>
      <w:sz w:val="18"/>
      <w:szCs w:val="20"/>
      <w:lang w:val="en-GB"/>
    </w:rPr>
  </w:style>
  <w:style w:type="character" w:customStyle="1" w:styleId="TAHCar">
    <w:name w:val="TAH Car"/>
    <w:link w:val="TAH"/>
    <w:uiPriority w:val="99"/>
    <w:qFormat/>
    <w:rsid w:val="003B063E"/>
    <w:rPr>
      <w:rFonts w:ascii="Arial" w:eastAsia="Times New Roman" w:hAnsi="Arial" w:cs="Times New Roman"/>
      <w:b/>
      <w:sz w:val="18"/>
      <w:szCs w:val="20"/>
      <w:lang w:val="en-GB"/>
    </w:rPr>
  </w:style>
  <w:style w:type="character" w:styleId="PlaceholderText">
    <w:name w:val="Placeholder Text"/>
    <w:basedOn w:val="DefaultParagraphFont"/>
    <w:uiPriority w:val="99"/>
    <w:semiHidden/>
    <w:rsid w:val="00A66D4E"/>
    <w:rPr>
      <w:color w:val="808080"/>
    </w:rPr>
  </w:style>
  <w:style w:type="paragraph" w:customStyle="1" w:styleId="EQ">
    <w:name w:val="EQ"/>
    <w:basedOn w:val="Normal"/>
    <w:next w:val="Normal"/>
    <w:link w:val="EQChar"/>
    <w:rsid w:val="00990067"/>
    <w:pPr>
      <w:keepLines/>
      <w:tabs>
        <w:tab w:val="center" w:pos="4536"/>
        <w:tab w:val="right" w:pos="9072"/>
      </w:tabs>
      <w:spacing w:after="180" w:line="240" w:lineRule="auto"/>
    </w:pPr>
    <w:rPr>
      <w:rFonts w:eastAsia="SimSun" w:cs="Times New Roman"/>
      <w:noProof/>
      <w:szCs w:val="20"/>
      <w:lang w:val="en-GB"/>
    </w:rPr>
  </w:style>
  <w:style w:type="character" w:customStyle="1" w:styleId="EQChar">
    <w:name w:val="EQ Char"/>
    <w:link w:val="EQ"/>
    <w:qFormat/>
    <w:locked/>
    <w:rsid w:val="00990067"/>
    <w:rPr>
      <w:rFonts w:ascii="Times New Roman" w:eastAsia="SimSun" w:hAnsi="Times New Roman" w:cs="Times New Roman"/>
      <w:noProof/>
      <w:sz w:val="20"/>
      <w:szCs w:val="20"/>
      <w:lang w:val="en-GB"/>
    </w:rPr>
  </w:style>
  <w:style w:type="paragraph" w:styleId="Header">
    <w:name w:val="header"/>
    <w:basedOn w:val="Normal"/>
    <w:link w:val="HeaderChar"/>
    <w:uiPriority w:val="99"/>
    <w:semiHidden/>
    <w:unhideWhenUsed/>
    <w:rsid w:val="002A1F68"/>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2A1F68"/>
    <w:rPr>
      <w:rFonts w:ascii="Times New Roman" w:hAnsi="Times New Roman"/>
      <w:sz w:val="20"/>
    </w:rPr>
  </w:style>
  <w:style w:type="paragraph" w:styleId="Footer">
    <w:name w:val="footer"/>
    <w:basedOn w:val="Normal"/>
    <w:link w:val="FooterChar"/>
    <w:uiPriority w:val="99"/>
    <w:semiHidden/>
    <w:unhideWhenUsed/>
    <w:rsid w:val="002A1F68"/>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2A1F68"/>
    <w:rPr>
      <w:rFonts w:ascii="Times New Roman" w:hAnsi="Times New Roman"/>
      <w:sz w:val="20"/>
    </w:rPr>
  </w:style>
  <w:style w:type="character" w:customStyle="1" w:styleId="Heading3Char">
    <w:name w:val="Heading 3 Char"/>
    <w:basedOn w:val="DefaultParagraphFont"/>
    <w:link w:val="Heading3"/>
    <w:uiPriority w:val="9"/>
    <w:semiHidden/>
    <w:rsid w:val="00DA6F6F"/>
    <w:rPr>
      <w:rFonts w:asciiTheme="majorHAnsi" w:eastAsiaTheme="majorEastAsia" w:hAnsiTheme="majorHAnsi" w:cstheme="majorBidi"/>
      <w:color w:val="1F3763"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5982683">
      <w:bodyDiv w:val="1"/>
      <w:marLeft w:val="0"/>
      <w:marRight w:val="0"/>
      <w:marTop w:val="0"/>
      <w:marBottom w:val="0"/>
      <w:divBdr>
        <w:top w:val="none" w:sz="0" w:space="0" w:color="auto"/>
        <w:left w:val="none" w:sz="0" w:space="0" w:color="auto"/>
        <w:bottom w:val="none" w:sz="0" w:space="0" w:color="auto"/>
        <w:right w:val="none" w:sz="0" w:space="0" w:color="auto"/>
      </w:divBdr>
      <w:divsChild>
        <w:div w:id="1496339949">
          <w:marLeft w:val="360"/>
          <w:marRight w:val="0"/>
          <w:marTop w:val="240"/>
          <w:marBottom w:val="0"/>
          <w:divBdr>
            <w:top w:val="none" w:sz="0" w:space="0" w:color="auto"/>
            <w:left w:val="none" w:sz="0" w:space="0" w:color="auto"/>
            <w:bottom w:val="none" w:sz="0" w:space="0" w:color="auto"/>
            <w:right w:val="none" w:sz="0" w:space="0" w:color="auto"/>
          </w:divBdr>
        </w:div>
        <w:div w:id="1842692848">
          <w:marLeft w:val="360"/>
          <w:marRight w:val="0"/>
          <w:marTop w:val="240"/>
          <w:marBottom w:val="0"/>
          <w:divBdr>
            <w:top w:val="none" w:sz="0" w:space="0" w:color="auto"/>
            <w:left w:val="none" w:sz="0" w:space="0" w:color="auto"/>
            <w:bottom w:val="none" w:sz="0" w:space="0" w:color="auto"/>
            <w:right w:val="none" w:sz="0" w:space="0" w:color="auto"/>
          </w:divBdr>
        </w:div>
      </w:divsChild>
    </w:div>
    <w:div w:id="81336954">
      <w:bodyDiv w:val="1"/>
      <w:marLeft w:val="0"/>
      <w:marRight w:val="0"/>
      <w:marTop w:val="0"/>
      <w:marBottom w:val="0"/>
      <w:divBdr>
        <w:top w:val="none" w:sz="0" w:space="0" w:color="auto"/>
        <w:left w:val="none" w:sz="0" w:space="0" w:color="auto"/>
        <w:bottom w:val="none" w:sz="0" w:space="0" w:color="auto"/>
        <w:right w:val="none" w:sz="0" w:space="0" w:color="auto"/>
      </w:divBdr>
    </w:div>
    <w:div w:id="129715336">
      <w:bodyDiv w:val="1"/>
      <w:marLeft w:val="0"/>
      <w:marRight w:val="0"/>
      <w:marTop w:val="0"/>
      <w:marBottom w:val="0"/>
      <w:divBdr>
        <w:top w:val="none" w:sz="0" w:space="0" w:color="auto"/>
        <w:left w:val="none" w:sz="0" w:space="0" w:color="auto"/>
        <w:bottom w:val="none" w:sz="0" w:space="0" w:color="auto"/>
        <w:right w:val="none" w:sz="0" w:space="0" w:color="auto"/>
      </w:divBdr>
    </w:div>
    <w:div w:id="165554333">
      <w:bodyDiv w:val="1"/>
      <w:marLeft w:val="0"/>
      <w:marRight w:val="0"/>
      <w:marTop w:val="0"/>
      <w:marBottom w:val="0"/>
      <w:divBdr>
        <w:top w:val="none" w:sz="0" w:space="0" w:color="auto"/>
        <w:left w:val="none" w:sz="0" w:space="0" w:color="auto"/>
        <w:bottom w:val="none" w:sz="0" w:space="0" w:color="auto"/>
        <w:right w:val="none" w:sz="0" w:space="0" w:color="auto"/>
      </w:divBdr>
      <w:divsChild>
        <w:div w:id="104741225">
          <w:marLeft w:val="1800"/>
          <w:marRight w:val="0"/>
          <w:marTop w:val="240"/>
          <w:marBottom w:val="0"/>
          <w:divBdr>
            <w:top w:val="none" w:sz="0" w:space="0" w:color="auto"/>
            <w:left w:val="none" w:sz="0" w:space="0" w:color="auto"/>
            <w:bottom w:val="none" w:sz="0" w:space="0" w:color="auto"/>
            <w:right w:val="none" w:sz="0" w:space="0" w:color="auto"/>
          </w:divBdr>
        </w:div>
        <w:div w:id="1428886619">
          <w:marLeft w:val="1080"/>
          <w:marRight w:val="0"/>
          <w:marTop w:val="240"/>
          <w:marBottom w:val="0"/>
          <w:divBdr>
            <w:top w:val="none" w:sz="0" w:space="0" w:color="auto"/>
            <w:left w:val="none" w:sz="0" w:space="0" w:color="auto"/>
            <w:bottom w:val="none" w:sz="0" w:space="0" w:color="auto"/>
            <w:right w:val="none" w:sz="0" w:space="0" w:color="auto"/>
          </w:divBdr>
        </w:div>
        <w:div w:id="2077242875">
          <w:marLeft w:val="360"/>
          <w:marRight w:val="0"/>
          <w:marTop w:val="240"/>
          <w:marBottom w:val="0"/>
          <w:divBdr>
            <w:top w:val="none" w:sz="0" w:space="0" w:color="auto"/>
            <w:left w:val="none" w:sz="0" w:space="0" w:color="auto"/>
            <w:bottom w:val="none" w:sz="0" w:space="0" w:color="auto"/>
            <w:right w:val="none" w:sz="0" w:space="0" w:color="auto"/>
          </w:divBdr>
        </w:div>
      </w:divsChild>
    </w:div>
    <w:div w:id="297994229">
      <w:bodyDiv w:val="1"/>
      <w:marLeft w:val="0"/>
      <w:marRight w:val="0"/>
      <w:marTop w:val="0"/>
      <w:marBottom w:val="0"/>
      <w:divBdr>
        <w:top w:val="none" w:sz="0" w:space="0" w:color="auto"/>
        <w:left w:val="none" w:sz="0" w:space="0" w:color="auto"/>
        <w:bottom w:val="none" w:sz="0" w:space="0" w:color="auto"/>
        <w:right w:val="none" w:sz="0" w:space="0" w:color="auto"/>
      </w:divBdr>
      <w:divsChild>
        <w:div w:id="124585735">
          <w:marLeft w:val="1080"/>
          <w:marRight w:val="0"/>
          <w:marTop w:val="100"/>
          <w:marBottom w:val="0"/>
          <w:divBdr>
            <w:top w:val="none" w:sz="0" w:space="0" w:color="auto"/>
            <w:left w:val="none" w:sz="0" w:space="0" w:color="auto"/>
            <w:bottom w:val="none" w:sz="0" w:space="0" w:color="auto"/>
            <w:right w:val="none" w:sz="0" w:space="0" w:color="auto"/>
          </w:divBdr>
        </w:div>
        <w:div w:id="208690600">
          <w:marLeft w:val="1800"/>
          <w:marRight w:val="0"/>
          <w:marTop w:val="240"/>
          <w:marBottom w:val="0"/>
          <w:divBdr>
            <w:top w:val="none" w:sz="0" w:space="0" w:color="auto"/>
            <w:left w:val="none" w:sz="0" w:space="0" w:color="auto"/>
            <w:bottom w:val="none" w:sz="0" w:space="0" w:color="auto"/>
            <w:right w:val="none" w:sz="0" w:space="0" w:color="auto"/>
          </w:divBdr>
        </w:div>
        <w:div w:id="727455339">
          <w:marLeft w:val="1800"/>
          <w:marRight w:val="0"/>
          <w:marTop w:val="240"/>
          <w:marBottom w:val="0"/>
          <w:divBdr>
            <w:top w:val="none" w:sz="0" w:space="0" w:color="auto"/>
            <w:left w:val="none" w:sz="0" w:space="0" w:color="auto"/>
            <w:bottom w:val="none" w:sz="0" w:space="0" w:color="auto"/>
            <w:right w:val="none" w:sz="0" w:space="0" w:color="auto"/>
          </w:divBdr>
        </w:div>
        <w:div w:id="973095239">
          <w:marLeft w:val="360"/>
          <w:marRight w:val="0"/>
          <w:marTop w:val="200"/>
          <w:marBottom w:val="0"/>
          <w:divBdr>
            <w:top w:val="none" w:sz="0" w:space="0" w:color="auto"/>
            <w:left w:val="none" w:sz="0" w:space="0" w:color="auto"/>
            <w:bottom w:val="none" w:sz="0" w:space="0" w:color="auto"/>
            <w:right w:val="none" w:sz="0" w:space="0" w:color="auto"/>
          </w:divBdr>
        </w:div>
        <w:div w:id="1372613211">
          <w:marLeft w:val="1800"/>
          <w:marRight w:val="0"/>
          <w:marTop w:val="240"/>
          <w:marBottom w:val="0"/>
          <w:divBdr>
            <w:top w:val="none" w:sz="0" w:space="0" w:color="auto"/>
            <w:left w:val="none" w:sz="0" w:space="0" w:color="auto"/>
            <w:bottom w:val="none" w:sz="0" w:space="0" w:color="auto"/>
            <w:right w:val="none" w:sz="0" w:space="0" w:color="auto"/>
          </w:divBdr>
        </w:div>
      </w:divsChild>
    </w:div>
    <w:div w:id="345907284">
      <w:bodyDiv w:val="1"/>
      <w:marLeft w:val="0"/>
      <w:marRight w:val="0"/>
      <w:marTop w:val="0"/>
      <w:marBottom w:val="0"/>
      <w:divBdr>
        <w:top w:val="none" w:sz="0" w:space="0" w:color="auto"/>
        <w:left w:val="none" w:sz="0" w:space="0" w:color="auto"/>
        <w:bottom w:val="none" w:sz="0" w:space="0" w:color="auto"/>
        <w:right w:val="none" w:sz="0" w:space="0" w:color="auto"/>
      </w:divBdr>
      <w:divsChild>
        <w:div w:id="68582522">
          <w:marLeft w:val="1800"/>
          <w:marRight w:val="0"/>
          <w:marTop w:val="240"/>
          <w:marBottom w:val="0"/>
          <w:divBdr>
            <w:top w:val="none" w:sz="0" w:space="0" w:color="auto"/>
            <w:left w:val="none" w:sz="0" w:space="0" w:color="auto"/>
            <w:bottom w:val="none" w:sz="0" w:space="0" w:color="auto"/>
            <w:right w:val="none" w:sz="0" w:space="0" w:color="auto"/>
          </w:divBdr>
        </w:div>
        <w:div w:id="185557690">
          <w:marLeft w:val="1080"/>
          <w:marRight w:val="0"/>
          <w:marTop w:val="100"/>
          <w:marBottom w:val="0"/>
          <w:divBdr>
            <w:top w:val="none" w:sz="0" w:space="0" w:color="auto"/>
            <w:left w:val="none" w:sz="0" w:space="0" w:color="auto"/>
            <w:bottom w:val="none" w:sz="0" w:space="0" w:color="auto"/>
            <w:right w:val="none" w:sz="0" w:space="0" w:color="auto"/>
          </w:divBdr>
        </w:div>
        <w:div w:id="212931171">
          <w:marLeft w:val="360"/>
          <w:marRight w:val="0"/>
          <w:marTop w:val="200"/>
          <w:marBottom w:val="0"/>
          <w:divBdr>
            <w:top w:val="none" w:sz="0" w:space="0" w:color="auto"/>
            <w:left w:val="none" w:sz="0" w:space="0" w:color="auto"/>
            <w:bottom w:val="none" w:sz="0" w:space="0" w:color="auto"/>
            <w:right w:val="none" w:sz="0" w:space="0" w:color="auto"/>
          </w:divBdr>
        </w:div>
        <w:div w:id="317685086">
          <w:marLeft w:val="1800"/>
          <w:marRight w:val="0"/>
          <w:marTop w:val="240"/>
          <w:marBottom w:val="0"/>
          <w:divBdr>
            <w:top w:val="none" w:sz="0" w:space="0" w:color="auto"/>
            <w:left w:val="none" w:sz="0" w:space="0" w:color="auto"/>
            <w:bottom w:val="none" w:sz="0" w:space="0" w:color="auto"/>
            <w:right w:val="none" w:sz="0" w:space="0" w:color="auto"/>
          </w:divBdr>
        </w:div>
        <w:div w:id="1541169511">
          <w:marLeft w:val="1800"/>
          <w:marRight w:val="0"/>
          <w:marTop w:val="240"/>
          <w:marBottom w:val="0"/>
          <w:divBdr>
            <w:top w:val="none" w:sz="0" w:space="0" w:color="auto"/>
            <w:left w:val="none" w:sz="0" w:space="0" w:color="auto"/>
            <w:bottom w:val="none" w:sz="0" w:space="0" w:color="auto"/>
            <w:right w:val="none" w:sz="0" w:space="0" w:color="auto"/>
          </w:divBdr>
        </w:div>
      </w:divsChild>
    </w:div>
    <w:div w:id="364407651">
      <w:bodyDiv w:val="1"/>
      <w:marLeft w:val="0"/>
      <w:marRight w:val="0"/>
      <w:marTop w:val="0"/>
      <w:marBottom w:val="0"/>
      <w:divBdr>
        <w:top w:val="none" w:sz="0" w:space="0" w:color="auto"/>
        <w:left w:val="none" w:sz="0" w:space="0" w:color="auto"/>
        <w:bottom w:val="none" w:sz="0" w:space="0" w:color="auto"/>
        <w:right w:val="none" w:sz="0" w:space="0" w:color="auto"/>
      </w:divBdr>
      <w:divsChild>
        <w:div w:id="447817107">
          <w:marLeft w:val="1166"/>
          <w:marRight w:val="0"/>
          <w:marTop w:val="96"/>
          <w:marBottom w:val="0"/>
          <w:divBdr>
            <w:top w:val="none" w:sz="0" w:space="0" w:color="auto"/>
            <w:left w:val="none" w:sz="0" w:space="0" w:color="auto"/>
            <w:bottom w:val="none" w:sz="0" w:space="0" w:color="auto"/>
            <w:right w:val="none" w:sz="0" w:space="0" w:color="auto"/>
          </w:divBdr>
        </w:div>
        <w:div w:id="891429648">
          <w:marLeft w:val="547"/>
          <w:marRight w:val="0"/>
          <w:marTop w:val="110"/>
          <w:marBottom w:val="0"/>
          <w:divBdr>
            <w:top w:val="none" w:sz="0" w:space="0" w:color="auto"/>
            <w:left w:val="none" w:sz="0" w:space="0" w:color="auto"/>
            <w:bottom w:val="none" w:sz="0" w:space="0" w:color="auto"/>
            <w:right w:val="none" w:sz="0" w:space="0" w:color="auto"/>
          </w:divBdr>
        </w:div>
        <w:div w:id="1712336578">
          <w:marLeft w:val="1166"/>
          <w:marRight w:val="0"/>
          <w:marTop w:val="96"/>
          <w:marBottom w:val="0"/>
          <w:divBdr>
            <w:top w:val="none" w:sz="0" w:space="0" w:color="auto"/>
            <w:left w:val="none" w:sz="0" w:space="0" w:color="auto"/>
            <w:bottom w:val="none" w:sz="0" w:space="0" w:color="auto"/>
            <w:right w:val="none" w:sz="0" w:space="0" w:color="auto"/>
          </w:divBdr>
        </w:div>
      </w:divsChild>
    </w:div>
    <w:div w:id="418872118">
      <w:bodyDiv w:val="1"/>
      <w:marLeft w:val="0"/>
      <w:marRight w:val="0"/>
      <w:marTop w:val="0"/>
      <w:marBottom w:val="0"/>
      <w:divBdr>
        <w:top w:val="none" w:sz="0" w:space="0" w:color="auto"/>
        <w:left w:val="none" w:sz="0" w:space="0" w:color="auto"/>
        <w:bottom w:val="none" w:sz="0" w:space="0" w:color="auto"/>
        <w:right w:val="none" w:sz="0" w:space="0" w:color="auto"/>
      </w:divBdr>
    </w:div>
    <w:div w:id="437601777">
      <w:bodyDiv w:val="1"/>
      <w:marLeft w:val="0"/>
      <w:marRight w:val="0"/>
      <w:marTop w:val="0"/>
      <w:marBottom w:val="0"/>
      <w:divBdr>
        <w:top w:val="none" w:sz="0" w:space="0" w:color="auto"/>
        <w:left w:val="none" w:sz="0" w:space="0" w:color="auto"/>
        <w:bottom w:val="none" w:sz="0" w:space="0" w:color="auto"/>
        <w:right w:val="none" w:sz="0" w:space="0" w:color="auto"/>
      </w:divBdr>
    </w:div>
    <w:div w:id="590554657">
      <w:bodyDiv w:val="1"/>
      <w:marLeft w:val="0"/>
      <w:marRight w:val="0"/>
      <w:marTop w:val="0"/>
      <w:marBottom w:val="0"/>
      <w:divBdr>
        <w:top w:val="none" w:sz="0" w:space="0" w:color="auto"/>
        <w:left w:val="none" w:sz="0" w:space="0" w:color="auto"/>
        <w:bottom w:val="none" w:sz="0" w:space="0" w:color="auto"/>
        <w:right w:val="none" w:sz="0" w:space="0" w:color="auto"/>
      </w:divBdr>
    </w:div>
    <w:div w:id="602957181">
      <w:bodyDiv w:val="1"/>
      <w:marLeft w:val="0"/>
      <w:marRight w:val="0"/>
      <w:marTop w:val="0"/>
      <w:marBottom w:val="0"/>
      <w:divBdr>
        <w:top w:val="none" w:sz="0" w:space="0" w:color="auto"/>
        <w:left w:val="none" w:sz="0" w:space="0" w:color="auto"/>
        <w:bottom w:val="none" w:sz="0" w:space="0" w:color="auto"/>
        <w:right w:val="none" w:sz="0" w:space="0" w:color="auto"/>
      </w:divBdr>
    </w:div>
    <w:div w:id="666399587">
      <w:bodyDiv w:val="1"/>
      <w:marLeft w:val="0"/>
      <w:marRight w:val="0"/>
      <w:marTop w:val="0"/>
      <w:marBottom w:val="0"/>
      <w:divBdr>
        <w:top w:val="none" w:sz="0" w:space="0" w:color="auto"/>
        <w:left w:val="none" w:sz="0" w:space="0" w:color="auto"/>
        <w:bottom w:val="none" w:sz="0" w:space="0" w:color="auto"/>
        <w:right w:val="none" w:sz="0" w:space="0" w:color="auto"/>
      </w:divBdr>
      <w:divsChild>
        <w:div w:id="620918566">
          <w:marLeft w:val="0"/>
          <w:marRight w:val="0"/>
          <w:marTop w:val="0"/>
          <w:marBottom w:val="120"/>
          <w:divBdr>
            <w:top w:val="none" w:sz="0" w:space="0" w:color="auto"/>
            <w:left w:val="none" w:sz="0" w:space="0" w:color="auto"/>
            <w:bottom w:val="none" w:sz="0" w:space="0" w:color="auto"/>
            <w:right w:val="none" w:sz="0" w:space="0" w:color="auto"/>
          </w:divBdr>
        </w:div>
      </w:divsChild>
    </w:div>
    <w:div w:id="736055091">
      <w:bodyDiv w:val="1"/>
      <w:marLeft w:val="0"/>
      <w:marRight w:val="0"/>
      <w:marTop w:val="0"/>
      <w:marBottom w:val="0"/>
      <w:divBdr>
        <w:top w:val="none" w:sz="0" w:space="0" w:color="auto"/>
        <w:left w:val="none" w:sz="0" w:space="0" w:color="auto"/>
        <w:bottom w:val="none" w:sz="0" w:space="0" w:color="auto"/>
        <w:right w:val="none" w:sz="0" w:space="0" w:color="auto"/>
      </w:divBdr>
      <w:divsChild>
        <w:div w:id="875656758">
          <w:marLeft w:val="1166"/>
          <w:marRight w:val="0"/>
          <w:marTop w:val="106"/>
          <w:marBottom w:val="0"/>
          <w:divBdr>
            <w:top w:val="none" w:sz="0" w:space="0" w:color="auto"/>
            <w:left w:val="none" w:sz="0" w:space="0" w:color="auto"/>
            <w:bottom w:val="none" w:sz="0" w:space="0" w:color="auto"/>
            <w:right w:val="none" w:sz="0" w:space="0" w:color="auto"/>
          </w:divBdr>
        </w:div>
        <w:div w:id="1075515038">
          <w:marLeft w:val="547"/>
          <w:marRight w:val="0"/>
          <w:marTop w:val="120"/>
          <w:marBottom w:val="0"/>
          <w:divBdr>
            <w:top w:val="none" w:sz="0" w:space="0" w:color="auto"/>
            <w:left w:val="none" w:sz="0" w:space="0" w:color="auto"/>
            <w:bottom w:val="none" w:sz="0" w:space="0" w:color="auto"/>
            <w:right w:val="none" w:sz="0" w:space="0" w:color="auto"/>
          </w:divBdr>
        </w:div>
        <w:div w:id="2119908939">
          <w:marLeft w:val="1166"/>
          <w:marRight w:val="0"/>
          <w:marTop w:val="106"/>
          <w:marBottom w:val="0"/>
          <w:divBdr>
            <w:top w:val="none" w:sz="0" w:space="0" w:color="auto"/>
            <w:left w:val="none" w:sz="0" w:space="0" w:color="auto"/>
            <w:bottom w:val="none" w:sz="0" w:space="0" w:color="auto"/>
            <w:right w:val="none" w:sz="0" w:space="0" w:color="auto"/>
          </w:divBdr>
        </w:div>
      </w:divsChild>
    </w:div>
    <w:div w:id="853804937">
      <w:bodyDiv w:val="1"/>
      <w:marLeft w:val="0"/>
      <w:marRight w:val="0"/>
      <w:marTop w:val="0"/>
      <w:marBottom w:val="0"/>
      <w:divBdr>
        <w:top w:val="none" w:sz="0" w:space="0" w:color="auto"/>
        <w:left w:val="none" w:sz="0" w:space="0" w:color="auto"/>
        <w:bottom w:val="none" w:sz="0" w:space="0" w:color="auto"/>
        <w:right w:val="none" w:sz="0" w:space="0" w:color="auto"/>
      </w:divBdr>
    </w:div>
    <w:div w:id="884873145">
      <w:bodyDiv w:val="1"/>
      <w:marLeft w:val="0"/>
      <w:marRight w:val="0"/>
      <w:marTop w:val="0"/>
      <w:marBottom w:val="0"/>
      <w:divBdr>
        <w:top w:val="none" w:sz="0" w:space="0" w:color="auto"/>
        <w:left w:val="none" w:sz="0" w:space="0" w:color="auto"/>
        <w:bottom w:val="none" w:sz="0" w:space="0" w:color="auto"/>
        <w:right w:val="none" w:sz="0" w:space="0" w:color="auto"/>
      </w:divBdr>
      <w:divsChild>
        <w:div w:id="779911087">
          <w:marLeft w:val="547"/>
          <w:marRight w:val="0"/>
          <w:marTop w:val="106"/>
          <w:marBottom w:val="0"/>
          <w:divBdr>
            <w:top w:val="none" w:sz="0" w:space="0" w:color="auto"/>
            <w:left w:val="none" w:sz="0" w:space="0" w:color="auto"/>
            <w:bottom w:val="none" w:sz="0" w:space="0" w:color="auto"/>
            <w:right w:val="none" w:sz="0" w:space="0" w:color="auto"/>
          </w:divBdr>
        </w:div>
        <w:div w:id="1620061695">
          <w:marLeft w:val="1166"/>
          <w:marRight w:val="0"/>
          <w:marTop w:val="96"/>
          <w:marBottom w:val="0"/>
          <w:divBdr>
            <w:top w:val="none" w:sz="0" w:space="0" w:color="auto"/>
            <w:left w:val="none" w:sz="0" w:space="0" w:color="auto"/>
            <w:bottom w:val="none" w:sz="0" w:space="0" w:color="auto"/>
            <w:right w:val="none" w:sz="0" w:space="0" w:color="auto"/>
          </w:divBdr>
        </w:div>
      </w:divsChild>
    </w:div>
    <w:div w:id="893392181">
      <w:bodyDiv w:val="1"/>
      <w:marLeft w:val="0"/>
      <w:marRight w:val="0"/>
      <w:marTop w:val="0"/>
      <w:marBottom w:val="0"/>
      <w:divBdr>
        <w:top w:val="none" w:sz="0" w:space="0" w:color="auto"/>
        <w:left w:val="none" w:sz="0" w:space="0" w:color="auto"/>
        <w:bottom w:val="none" w:sz="0" w:space="0" w:color="auto"/>
        <w:right w:val="none" w:sz="0" w:space="0" w:color="auto"/>
      </w:divBdr>
      <w:divsChild>
        <w:div w:id="1686051840">
          <w:marLeft w:val="0"/>
          <w:marRight w:val="0"/>
          <w:marTop w:val="0"/>
          <w:marBottom w:val="120"/>
          <w:divBdr>
            <w:top w:val="none" w:sz="0" w:space="0" w:color="auto"/>
            <w:left w:val="none" w:sz="0" w:space="0" w:color="auto"/>
            <w:bottom w:val="none" w:sz="0" w:space="0" w:color="auto"/>
            <w:right w:val="none" w:sz="0" w:space="0" w:color="auto"/>
          </w:divBdr>
        </w:div>
      </w:divsChild>
    </w:div>
    <w:div w:id="947201596">
      <w:bodyDiv w:val="1"/>
      <w:marLeft w:val="0"/>
      <w:marRight w:val="0"/>
      <w:marTop w:val="0"/>
      <w:marBottom w:val="0"/>
      <w:divBdr>
        <w:top w:val="none" w:sz="0" w:space="0" w:color="auto"/>
        <w:left w:val="none" w:sz="0" w:space="0" w:color="auto"/>
        <w:bottom w:val="none" w:sz="0" w:space="0" w:color="auto"/>
        <w:right w:val="none" w:sz="0" w:space="0" w:color="auto"/>
      </w:divBdr>
    </w:div>
    <w:div w:id="960190173">
      <w:bodyDiv w:val="1"/>
      <w:marLeft w:val="0"/>
      <w:marRight w:val="0"/>
      <w:marTop w:val="0"/>
      <w:marBottom w:val="0"/>
      <w:divBdr>
        <w:top w:val="none" w:sz="0" w:space="0" w:color="auto"/>
        <w:left w:val="none" w:sz="0" w:space="0" w:color="auto"/>
        <w:bottom w:val="none" w:sz="0" w:space="0" w:color="auto"/>
        <w:right w:val="none" w:sz="0" w:space="0" w:color="auto"/>
      </w:divBdr>
    </w:div>
    <w:div w:id="974024575">
      <w:bodyDiv w:val="1"/>
      <w:marLeft w:val="0"/>
      <w:marRight w:val="0"/>
      <w:marTop w:val="0"/>
      <w:marBottom w:val="0"/>
      <w:divBdr>
        <w:top w:val="none" w:sz="0" w:space="0" w:color="auto"/>
        <w:left w:val="none" w:sz="0" w:space="0" w:color="auto"/>
        <w:bottom w:val="none" w:sz="0" w:space="0" w:color="auto"/>
        <w:right w:val="none" w:sz="0" w:space="0" w:color="auto"/>
      </w:divBdr>
    </w:div>
    <w:div w:id="1049374748">
      <w:bodyDiv w:val="1"/>
      <w:marLeft w:val="0"/>
      <w:marRight w:val="0"/>
      <w:marTop w:val="0"/>
      <w:marBottom w:val="0"/>
      <w:divBdr>
        <w:top w:val="none" w:sz="0" w:space="0" w:color="auto"/>
        <w:left w:val="none" w:sz="0" w:space="0" w:color="auto"/>
        <w:bottom w:val="none" w:sz="0" w:space="0" w:color="auto"/>
        <w:right w:val="none" w:sz="0" w:space="0" w:color="auto"/>
      </w:divBdr>
      <w:divsChild>
        <w:div w:id="577250806">
          <w:marLeft w:val="360"/>
          <w:marRight w:val="0"/>
          <w:marTop w:val="240"/>
          <w:marBottom w:val="0"/>
          <w:divBdr>
            <w:top w:val="none" w:sz="0" w:space="0" w:color="auto"/>
            <w:left w:val="none" w:sz="0" w:space="0" w:color="auto"/>
            <w:bottom w:val="none" w:sz="0" w:space="0" w:color="auto"/>
            <w:right w:val="none" w:sz="0" w:space="0" w:color="auto"/>
          </w:divBdr>
        </w:div>
        <w:div w:id="781723973">
          <w:marLeft w:val="1800"/>
          <w:marRight w:val="0"/>
          <w:marTop w:val="240"/>
          <w:marBottom w:val="0"/>
          <w:divBdr>
            <w:top w:val="none" w:sz="0" w:space="0" w:color="auto"/>
            <w:left w:val="none" w:sz="0" w:space="0" w:color="auto"/>
            <w:bottom w:val="none" w:sz="0" w:space="0" w:color="auto"/>
            <w:right w:val="none" w:sz="0" w:space="0" w:color="auto"/>
          </w:divBdr>
        </w:div>
        <w:div w:id="1543319785">
          <w:marLeft w:val="1080"/>
          <w:marRight w:val="0"/>
          <w:marTop w:val="240"/>
          <w:marBottom w:val="0"/>
          <w:divBdr>
            <w:top w:val="none" w:sz="0" w:space="0" w:color="auto"/>
            <w:left w:val="none" w:sz="0" w:space="0" w:color="auto"/>
            <w:bottom w:val="none" w:sz="0" w:space="0" w:color="auto"/>
            <w:right w:val="none" w:sz="0" w:space="0" w:color="auto"/>
          </w:divBdr>
        </w:div>
      </w:divsChild>
    </w:div>
    <w:div w:id="1085348187">
      <w:bodyDiv w:val="1"/>
      <w:marLeft w:val="0"/>
      <w:marRight w:val="0"/>
      <w:marTop w:val="0"/>
      <w:marBottom w:val="0"/>
      <w:divBdr>
        <w:top w:val="none" w:sz="0" w:space="0" w:color="auto"/>
        <w:left w:val="none" w:sz="0" w:space="0" w:color="auto"/>
        <w:bottom w:val="none" w:sz="0" w:space="0" w:color="auto"/>
        <w:right w:val="none" w:sz="0" w:space="0" w:color="auto"/>
      </w:divBdr>
    </w:div>
    <w:div w:id="1108695249">
      <w:bodyDiv w:val="1"/>
      <w:marLeft w:val="0"/>
      <w:marRight w:val="0"/>
      <w:marTop w:val="0"/>
      <w:marBottom w:val="0"/>
      <w:divBdr>
        <w:top w:val="none" w:sz="0" w:space="0" w:color="auto"/>
        <w:left w:val="none" w:sz="0" w:space="0" w:color="auto"/>
        <w:bottom w:val="none" w:sz="0" w:space="0" w:color="auto"/>
        <w:right w:val="none" w:sz="0" w:space="0" w:color="auto"/>
      </w:divBdr>
      <w:divsChild>
        <w:div w:id="76291863">
          <w:marLeft w:val="0"/>
          <w:marRight w:val="0"/>
          <w:marTop w:val="0"/>
          <w:marBottom w:val="120"/>
          <w:divBdr>
            <w:top w:val="none" w:sz="0" w:space="0" w:color="auto"/>
            <w:left w:val="none" w:sz="0" w:space="0" w:color="auto"/>
            <w:bottom w:val="none" w:sz="0" w:space="0" w:color="auto"/>
            <w:right w:val="none" w:sz="0" w:space="0" w:color="auto"/>
          </w:divBdr>
        </w:div>
      </w:divsChild>
    </w:div>
    <w:div w:id="1139885166">
      <w:bodyDiv w:val="1"/>
      <w:marLeft w:val="0"/>
      <w:marRight w:val="0"/>
      <w:marTop w:val="0"/>
      <w:marBottom w:val="0"/>
      <w:divBdr>
        <w:top w:val="none" w:sz="0" w:space="0" w:color="auto"/>
        <w:left w:val="none" w:sz="0" w:space="0" w:color="auto"/>
        <w:bottom w:val="none" w:sz="0" w:space="0" w:color="auto"/>
        <w:right w:val="none" w:sz="0" w:space="0" w:color="auto"/>
      </w:divBdr>
      <w:divsChild>
        <w:div w:id="305623720">
          <w:marLeft w:val="360"/>
          <w:marRight w:val="0"/>
          <w:marTop w:val="120"/>
          <w:marBottom w:val="0"/>
          <w:divBdr>
            <w:top w:val="none" w:sz="0" w:space="0" w:color="auto"/>
            <w:left w:val="none" w:sz="0" w:space="0" w:color="auto"/>
            <w:bottom w:val="none" w:sz="0" w:space="0" w:color="auto"/>
            <w:right w:val="none" w:sz="0" w:space="0" w:color="auto"/>
          </w:divBdr>
        </w:div>
        <w:div w:id="970481371">
          <w:marLeft w:val="1800"/>
          <w:marRight w:val="0"/>
          <w:marTop w:val="120"/>
          <w:marBottom w:val="0"/>
          <w:divBdr>
            <w:top w:val="none" w:sz="0" w:space="0" w:color="auto"/>
            <w:left w:val="none" w:sz="0" w:space="0" w:color="auto"/>
            <w:bottom w:val="none" w:sz="0" w:space="0" w:color="auto"/>
            <w:right w:val="none" w:sz="0" w:space="0" w:color="auto"/>
          </w:divBdr>
        </w:div>
        <w:div w:id="1282415563">
          <w:marLeft w:val="2520"/>
          <w:marRight w:val="0"/>
          <w:marTop w:val="120"/>
          <w:marBottom w:val="0"/>
          <w:divBdr>
            <w:top w:val="none" w:sz="0" w:space="0" w:color="auto"/>
            <w:left w:val="none" w:sz="0" w:space="0" w:color="auto"/>
            <w:bottom w:val="none" w:sz="0" w:space="0" w:color="auto"/>
            <w:right w:val="none" w:sz="0" w:space="0" w:color="auto"/>
          </w:divBdr>
        </w:div>
        <w:div w:id="1782718922">
          <w:marLeft w:val="2520"/>
          <w:marRight w:val="0"/>
          <w:marTop w:val="120"/>
          <w:marBottom w:val="0"/>
          <w:divBdr>
            <w:top w:val="none" w:sz="0" w:space="0" w:color="auto"/>
            <w:left w:val="none" w:sz="0" w:space="0" w:color="auto"/>
            <w:bottom w:val="none" w:sz="0" w:space="0" w:color="auto"/>
            <w:right w:val="none" w:sz="0" w:space="0" w:color="auto"/>
          </w:divBdr>
        </w:div>
        <w:div w:id="1813864249">
          <w:marLeft w:val="1800"/>
          <w:marRight w:val="0"/>
          <w:marTop w:val="120"/>
          <w:marBottom w:val="0"/>
          <w:divBdr>
            <w:top w:val="none" w:sz="0" w:space="0" w:color="auto"/>
            <w:left w:val="none" w:sz="0" w:space="0" w:color="auto"/>
            <w:bottom w:val="none" w:sz="0" w:space="0" w:color="auto"/>
            <w:right w:val="none" w:sz="0" w:space="0" w:color="auto"/>
          </w:divBdr>
        </w:div>
        <w:div w:id="1917742428">
          <w:marLeft w:val="1080"/>
          <w:marRight w:val="0"/>
          <w:marTop w:val="120"/>
          <w:marBottom w:val="0"/>
          <w:divBdr>
            <w:top w:val="none" w:sz="0" w:space="0" w:color="auto"/>
            <w:left w:val="none" w:sz="0" w:space="0" w:color="auto"/>
            <w:bottom w:val="none" w:sz="0" w:space="0" w:color="auto"/>
            <w:right w:val="none" w:sz="0" w:space="0" w:color="auto"/>
          </w:divBdr>
        </w:div>
        <w:div w:id="1969584810">
          <w:marLeft w:val="1800"/>
          <w:marRight w:val="0"/>
          <w:marTop w:val="120"/>
          <w:marBottom w:val="0"/>
          <w:divBdr>
            <w:top w:val="none" w:sz="0" w:space="0" w:color="auto"/>
            <w:left w:val="none" w:sz="0" w:space="0" w:color="auto"/>
            <w:bottom w:val="none" w:sz="0" w:space="0" w:color="auto"/>
            <w:right w:val="none" w:sz="0" w:space="0" w:color="auto"/>
          </w:divBdr>
        </w:div>
      </w:divsChild>
    </w:div>
    <w:div w:id="1195466275">
      <w:bodyDiv w:val="1"/>
      <w:marLeft w:val="0"/>
      <w:marRight w:val="0"/>
      <w:marTop w:val="0"/>
      <w:marBottom w:val="0"/>
      <w:divBdr>
        <w:top w:val="none" w:sz="0" w:space="0" w:color="auto"/>
        <w:left w:val="none" w:sz="0" w:space="0" w:color="auto"/>
        <w:bottom w:val="none" w:sz="0" w:space="0" w:color="auto"/>
        <w:right w:val="none" w:sz="0" w:space="0" w:color="auto"/>
      </w:divBdr>
    </w:div>
    <w:div w:id="1218972190">
      <w:bodyDiv w:val="1"/>
      <w:marLeft w:val="0"/>
      <w:marRight w:val="0"/>
      <w:marTop w:val="0"/>
      <w:marBottom w:val="0"/>
      <w:divBdr>
        <w:top w:val="none" w:sz="0" w:space="0" w:color="auto"/>
        <w:left w:val="none" w:sz="0" w:space="0" w:color="auto"/>
        <w:bottom w:val="none" w:sz="0" w:space="0" w:color="auto"/>
        <w:right w:val="none" w:sz="0" w:space="0" w:color="auto"/>
      </w:divBdr>
    </w:div>
    <w:div w:id="1255014880">
      <w:bodyDiv w:val="1"/>
      <w:marLeft w:val="0"/>
      <w:marRight w:val="0"/>
      <w:marTop w:val="0"/>
      <w:marBottom w:val="0"/>
      <w:divBdr>
        <w:top w:val="none" w:sz="0" w:space="0" w:color="auto"/>
        <w:left w:val="none" w:sz="0" w:space="0" w:color="auto"/>
        <w:bottom w:val="none" w:sz="0" w:space="0" w:color="auto"/>
        <w:right w:val="none" w:sz="0" w:space="0" w:color="auto"/>
      </w:divBdr>
    </w:div>
    <w:div w:id="1268122010">
      <w:bodyDiv w:val="1"/>
      <w:marLeft w:val="0"/>
      <w:marRight w:val="0"/>
      <w:marTop w:val="0"/>
      <w:marBottom w:val="0"/>
      <w:divBdr>
        <w:top w:val="none" w:sz="0" w:space="0" w:color="auto"/>
        <w:left w:val="none" w:sz="0" w:space="0" w:color="auto"/>
        <w:bottom w:val="none" w:sz="0" w:space="0" w:color="auto"/>
        <w:right w:val="none" w:sz="0" w:space="0" w:color="auto"/>
      </w:divBdr>
    </w:div>
    <w:div w:id="1268344905">
      <w:bodyDiv w:val="1"/>
      <w:marLeft w:val="0"/>
      <w:marRight w:val="0"/>
      <w:marTop w:val="0"/>
      <w:marBottom w:val="0"/>
      <w:divBdr>
        <w:top w:val="none" w:sz="0" w:space="0" w:color="auto"/>
        <w:left w:val="none" w:sz="0" w:space="0" w:color="auto"/>
        <w:bottom w:val="none" w:sz="0" w:space="0" w:color="auto"/>
        <w:right w:val="none" w:sz="0" w:space="0" w:color="auto"/>
      </w:divBdr>
      <w:divsChild>
        <w:div w:id="1539971880">
          <w:marLeft w:val="547"/>
          <w:marRight w:val="0"/>
          <w:marTop w:val="134"/>
          <w:marBottom w:val="0"/>
          <w:divBdr>
            <w:top w:val="none" w:sz="0" w:space="0" w:color="auto"/>
            <w:left w:val="none" w:sz="0" w:space="0" w:color="auto"/>
            <w:bottom w:val="none" w:sz="0" w:space="0" w:color="auto"/>
            <w:right w:val="none" w:sz="0" w:space="0" w:color="auto"/>
          </w:divBdr>
        </w:div>
      </w:divsChild>
    </w:div>
    <w:div w:id="1283609854">
      <w:bodyDiv w:val="1"/>
      <w:marLeft w:val="0"/>
      <w:marRight w:val="0"/>
      <w:marTop w:val="0"/>
      <w:marBottom w:val="0"/>
      <w:divBdr>
        <w:top w:val="none" w:sz="0" w:space="0" w:color="auto"/>
        <w:left w:val="none" w:sz="0" w:space="0" w:color="auto"/>
        <w:bottom w:val="none" w:sz="0" w:space="0" w:color="auto"/>
        <w:right w:val="none" w:sz="0" w:space="0" w:color="auto"/>
      </w:divBdr>
    </w:div>
    <w:div w:id="1365525119">
      <w:bodyDiv w:val="1"/>
      <w:marLeft w:val="0"/>
      <w:marRight w:val="0"/>
      <w:marTop w:val="0"/>
      <w:marBottom w:val="0"/>
      <w:divBdr>
        <w:top w:val="none" w:sz="0" w:space="0" w:color="auto"/>
        <w:left w:val="none" w:sz="0" w:space="0" w:color="auto"/>
        <w:bottom w:val="none" w:sz="0" w:space="0" w:color="auto"/>
        <w:right w:val="none" w:sz="0" w:space="0" w:color="auto"/>
      </w:divBdr>
      <w:divsChild>
        <w:div w:id="390739265">
          <w:marLeft w:val="360"/>
          <w:marRight w:val="0"/>
          <w:marTop w:val="200"/>
          <w:marBottom w:val="0"/>
          <w:divBdr>
            <w:top w:val="none" w:sz="0" w:space="0" w:color="auto"/>
            <w:left w:val="none" w:sz="0" w:space="0" w:color="auto"/>
            <w:bottom w:val="none" w:sz="0" w:space="0" w:color="auto"/>
            <w:right w:val="none" w:sz="0" w:space="0" w:color="auto"/>
          </w:divBdr>
        </w:div>
        <w:div w:id="988556619">
          <w:marLeft w:val="1080"/>
          <w:marRight w:val="0"/>
          <w:marTop w:val="100"/>
          <w:marBottom w:val="0"/>
          <w:divBdr>
            <w:top w:val="none" w:sz="0" w:space="0" w:color="auto"/>
            <w:left w:val="none" w:sz="0" w:space="0" w:color="auto"/>
            <w:bottom w:val="none" w:sz="0" w:space="0" w:color="auto"/>
            <w:right w:val="none" w:sz="0" w:space="0" w:color="auto"/>
          </w:divBdr>
        </w:div>
        <w:div w:id="1530489904">
          <w:marLeft w:val="1800"/>
          <w:marRight w:val="0"/>
          <w:marTop w:val="100"/>
          <w:marBottom w:val="0"/>
          <w:divBdr>
            <w:top w:val="none" w:sz="0" w:space="0" w:color="auto"/>
            <w:left w:val="none" w:sz="0" w:space="0" w:color="auto"/>
            <w:bottom w:val="none" w:sz="0" w:space="0" w:color="auto"/>
            <w:right w:val="none" w:sz="0" w:space="0" w:color="auto"/>
          </w:divBdr>
        </w:div>
        <w:div w:id="2033606032">
          <w:marLeft w:val="1800"/>
          <w:marRight w:val="0"/>
          <w:marTop w:val="100"/>
          <w:marBottom w:val="0"/>
          <w:divBdr>
            <w:top w:val="none" w:sz="0" w:space="0" w:color="auto"/>
            <w:left w:val="none" w:sz="0" w:space="0" w:color="auto"/>
            <w:bottom w:val="none" w:sz="0" w:space="0" w:color="auto"/>
            <w:right w:val="none" w:sz="0" w:space="0" w:color="auto"/>
          </w:divBdr>
        </w:div>
        <w:div w:id="2109111747">
          <w:marLeft w:val="1800"/>
          <w:marRight w:val="0"/>
          <w:marTop w:val="100"/>
          <w:marBottom w:val="0"/>
          <w:divBdr>
            <w:top w:val="none" w:sz="0" w:space="0" w:color="auto"/>
            <w:left w:val="none" w:sz="0" w:space="0" w:color="auto"/>
            <w:bottom w:val="none" w:sz="0" w:space="0" w:color="auto"/>
            <w:right w:val="none" w:sz="0" w:space="0" w:color="auto"/>
          </w:divBdr>
        </w:div>
      </w:divsChild>
    </w:div>
    <w:div w:id="1402604835">
      <w:bodyDiv w:val="1"/>
      <w:marLeft w:val="0"/>
      <w:marRight w:val="0"/>
      <w:marTop w:val="0"/>
      <w:marBottom w:val="0"/>
      <w:divBdr>
        <w:top w:val="none" w:sz="0" w:space="0" w:color="auto"/>
        <w:left w:val="none" w:sz="0" w:space="0" w:color="auto"/>
        <w:bottom w:val="none" w:sz="0" w:space="0" w:color="auto"/>
        <w:right w:val="none" w:sz="0" w:space="0" w:color="auto"/>
      </w:divBdr>
    </w:div>
    <w:div w:id="1490292984">
      <w:bodyDiv w:val="1"/>
      <w:marLeft w:val="0"/>
      <w:marRight w:val="0"/>
      <w:marTop w:val="0"/>
      <w:marBottom w:val="0"/>
      <w:divBdr>
        <w:top w:val="none" w:sz="0" w:space="0" w:color="auto"/>
        <w:left w:val="none" w:sz="0" w:space="0" w:color="auto"/>
        <w:bottom w:val="none" w:sz="0" w:space="0" w:color="auto"/>
        <w:right w:val="none" w:sz="0" w:space="0" w:color="auto"/>
      </w:divBdr>
    </w:div>
    <w:div w:id="1636567073">
      <w:bodyDiv w:val="1"/>
      <w:marLeft w:val="0"/>
      <w:marRight w:val="0"/>
      <w:marTop w:val="0"/>
      <w:marBottom w:val="0"/>
      <w:divBdr>
        <w:top w:val="none" w:sz="0" w:space="0" w:color="auto"/>
        <w:left w:val="none" w:sz="0" w:space="0" w:color="auto"/>
        <w:bottom w:val="none" w:sz="0" w:space="0" w:color="auto"/>
        <w:right w:val="none" w:sz="0" w:space="0" w:color="auto"/>
      </w:divBdr>
    </w:div>
    <w:div w:id="1636987359">
      <w:bodyDiv w:val="1"/>
      <w:marLeft w:val="0"/>
      <w:marRight w:val="0"/>
      <w:marTop w:val="0"/>
      <w:marBottom w:val="0"/>
      <w:divBdr>
        <w:top w:val="none" w:sz="0" w:space="0" w:color="auto"/>
        <w:left w:val="none" w:sz="0" w:space="0" w:color="auto"/>
        <w:bottom w:val="none" w:sz="0" w:space="0" w:color="auto"/>
        <w:right w:val="none" w:sz="0" w:space="0" w:color="auto"/>
      </w:divBdr>
      <w:divsChild>
        <w:div w:id="181944267">
          <w:marLeft w:val="1800"/>
          <w:marRight w:val="0"/>
          <w:marTop w:val="72"/>
          <w:marBottom w:val="0"/>
          <w:divBdr>
            <w:top w:val="none" w:sz="0" w:space="0" w:color="auto"/>
            <w:left w:val="none" w:sz="0" w:space="0" w:color="auto"/>
            <w:bottom w:val="none" w:sz="0" w:space="0" w:color="auto"/>
            <w:right w:val="none" w:sz="0" w:space="0" w:color="auto"/>
          </w:divBdr>
        </w:div>
        <w:div w:id="342321909">
          <w:marLeft w:val="547"/>
          <w:marRight w:val="0"/>
          <w:marTop w:val="96"/>
          <w:marBottom w:val="0"/>
          <w:divBdr>
            <w:top w:val="none" w:sz="0" w:space="0" w:color="auto"/>
            <w:left w:val="none" w:sz="0" w:space="0" w:color="auto"/>
            <w:bottom w:val="none" w:sz="0" w:space="0" w:color="auto"/>
            <w:right w:val="none" w:sz="0" w:space="0" w:color="auto"/>
          </w:divBdr>
        </w:div>
        <w:div w:id="1759978620">
          <w:marLeft w:val="1166"/>
          <w:marRight w:val="0"/>
          <w:marTop w:val="86"/>
          <w:marBottom w:val="0"/>
          <w:divBdr>
            <w:top w:val="none" w:sz="0" w:space="0" w:color="auto"/>
            <w:left w:val="none" w:sz="0" w:space="0" w:color="auto"/>
            <w:bottom w:val="none" w:sz="0" w:space="0" w:color="auto"/>
            <w:right w:val="none" w:sz="0" w:space="0" w:color="auto"/>
          </w:divBdr>
        </w:div>
      </w:divsChild>
    </w:div>
    <w:div w:id="1738243316">
      <w:bodyDiv w:val="1"/>
      <w:marLeft w:val="0"/>
      <w:marRight w:val="0"/>
      <w:marTop w:val="0"/>
      <w:marBottom w:val="0"/>
      <w:divBdr>
        <w:top w:val="none" w:sz="0" w:space="0" w:color="auto"/>
        <w:left w:val="none" w:sz="0" w:space="0" w:color="auto"/>
        <w:bottom w:val="none" w:sz="0" w:space="0" w:color="auto"/>
        <w:right w:val="none" w:sz="0" w:space="0" w:color="auto"/>
      </w:divBdr>
      <w:divsChild>
        <w:div w:id="1103108437">
          <w:marLeft w:val="1166"/>
          <w:marRight w:val="0"/>
          <w:marTop w:val="134"/>
          <w:marBottom w:val="0"/>
          <w:divBdr>
            <w:top w:val="none" w:sz="0" w:space="0" w:color="auto"/>
            <w:left w:val="none" w:sz="0" w:space="0" w:color="auto"/>
            <w:bottom w:val="none" w:sz="0" w:space="0" w:color="auto"/>
            <w:right w:val="none" w:sz="0" w:space="0" w:color="auto"/>
          </w:divBdr>
        </w:div>
        <w:div w:id="1221206858">
          <w:marLeft w:val="1166"/>
          <w:marRight w:val="0"/>
          <w:marTop w:val="134"/>
          <w:marBottom w:val="0"/>
          <w:divBdr>
            <w:top w:val="none" w:sz="0" w:space="0" w:color="auto"/>
            <w:left w:val="none" w:sz="0" w:space="0" w:color="auto"/>
            <w:bottom w:val="none" w:sz="0" w:space="0" w:color="auto"/>
            <w:right w:val="none" w:sz="0" w:space="0" w:color="auto"/>
          </w:divBdr>
        </w:div>
        <w:div w:id="1837457160">
          <w:marLeft w:val="547"/>
          <w:marRight w:val="0"/>
          <w:marTop w:val="154"/>
          <w:marBottom w:val="0"/>
          <w:divBdr>
            <w:top w:val="none" w:sz="0" w:space="0" w:color="auto"/>
            <w:left w:val="none" w:sz="0" w:space="0" w:color="auto"/>
            <w:bottom w:val="none" w:sz="0" w:space="0" w:color="auto"/>
            <w:right w:val="none" w:sz="0" w:space="0" w:color="auto"/>
          </w:divBdr>
        </w:div>
      </w:divsChild>
    </w:div>
    <w:div w:id="1746800462">
      <w:bodyDiv w:val="1"/>
      <w:marLeft w:val="0"/>
      <w:marRight w:val="0"/>
      <w:marTop w:val="0"/>
      <w:marBottom w:val="0"/>
      <w:divBdr>
        <w:top w:val="none" w:sz="0" w:space="0" w:color="auto"/>
        <w:left w:val="none" w:sz="0" w:space="0" w:color="auto"/>
        <w:bottom w:val="none" w:sz="0" w:space="0" w:color="auto"/>
        <w:right w:val="none" w:sz="0" w:space="0" w:color="auto"/>
      </w:divBdr>
      <w:divsChild>
        <w:div w:id="158542661">
          <w:marLeft w:val="2520"/>
          <w:marRight w:val="0"/>
          <w:marTop w:val="82"/>
          <w:marBottom w:val="0"/>
          <w:divBdr>
            <w:top w:val="none" w:sz="0" w:space="0" w:color="auto"/>
            <w:left w:val="none" w:sz="0" w:space="0" w:color="auto"/>
            <w:bottom w:val="none" w:sz="0" w:space="0" w:color="auto"/>
            <w:right w:val="none" w:sz="0" w:space="0" w:color="auto"/>
          </w:divBdr>
        </w:div>
        <w:div w:id="475419533">
          <w:marLeft w:val="2520"/>
          <w:marRight w:val="0"/>
          <w:marTop w:val="82"/>
          <w:marBottom w:val="0"/>
          <w:divBdr>
            <w:top w:val="none" w:sz="0" w:space="0" w:color="auto"/>
            <w:left w:val="none" w:sz="0" w:space="0" w:color="auto"/>
            <w:bottom w:val="none" w:sz="0" w:space="0" w:color="auto"/>
            <w:right w:val="none" w:sz="0" w:space="0" w:color="auto"/>
          </w:divBdr>
        </w:div>
        <w:div w:id="493953184">
          <w:marLeft w:val="547"/>
          <w:marRight w:val="0"/>
          <w:marTop w:val="130"/>
          <w:marBottom w:val="0"/>
          <w:divBdr>
            <w:top w:val="none" w:sz="0" w:space="0" w:color="auto"/>
            <w:left w:val="none" w:sz="0" w:space="0" w:color="auto"/>
            <w:bottom w:val="none" w:sz="0" w:space="0" w:color="auto"/>
            <w:right w:val="none" w:sz="0" w:space="0" w:color="auto"/>
          </w:divBdr>
        </w:div>
        <w:div w:id="836771956">
          <w:marLeft w:val="1800"/>
          <w:marRight w:val="0"/>
          <w:marTop w:val="96"/>
          <w:marBottom w:val="0"/>
          <w:divBdr>
            <w:top w:val="none" w:sz="0" w:space="0" w:color="auto"/>
            <w:left w:val="none" w:sz="0" w:space="0" w:color="auto"/>
            <w:bottom w:val="none" w:sz="0" w:space="0" w:color="auto"/>
            <w:right w:val="none" w:sz="0" w:space="0" w:color="auto"/>
          </w:divBdr>
        </w:div>
        <w:div w:id="1321612811">
          <w:marLeft w:val="1800"/>
          <w:marRight w:val="0"/>
          <w:marTop w:val="96"/>
          <w:marBottom w:val="0"/>
          <w:divBdr>
            <w:top w:val="none" w:sz="0" w:space="0" w:color="auto"/>
            <w:left w:val="none" w:sz="0" w:space="0" w:color="auto"/>
            <w:bottom w:val="none" w:sz="0" w:space="0" w:color="auto"/>
            <w:right w:val="none" w:sz="0" w:space="0" w:color="auto"/>
          </w:divBdr>
        </w:div>
        <w:div w:id="1739396158">
          <w:marLeft w:val="1166"/>
          <w:marRight w:val="0"/>
          <w:marTop w:val="115"/>
          <w:marBottom w:val="0"/>
          <w:divBdr>
            <w:top w:val="none" w:sz="0" w:space="0" w:color="auto"/>
            <w:left w:val="none" w:sz="0" w:space="0" w:color="auto"/>
            <w:bottom w:val="none" w:sz="0" w:space="0" w:color="auto"/>
            <w:right w:val="none" w:sz="0" w:space="0" w:color="auto"/>
          </w:divBdr>
        </w:div>
        <w:div w:id="1919318910">
          <w:marLeft w:val="1800"/>
          <w:marRight w:val="0"/>
          <w:marTop w:val="96"/>
          <w:marBottom w:val="0"/>
          <w:divBdr>
            <w:top w:val="none" w:sz="0" w:space="0" w:color="auto"/>
            <w:left w:val="none" w:sz="0" w:space="0" w:color="auto"/>
            <w:bottom w:val="none" w:sz="0" w:space="0" w:color="auto"/>
            <w:right w:val="none" w:sz="0" w:space="0" w:color="auto"/>
          </w:divBdr>
        </w:div>
      </w:divsChild>
    </w:div>
    <w:div w:id="1774737523">
      <w:bodyDiv w:val="1"/>
      <w:marLeft w:val="0"/>
      <w:marRight w:val="0"/>
      <w:marTop w:val="0"/>
      <w:marBottom w:val="0"/>
      <w:divBdr>
        <w:top w:val="none" w:sz="0" w:space="0" w:color="auto"/>
        <w:left w:val="none" w:sz="0" w:space="0" w:color="auto"/>
        <w:bottom w:val="none" w:sz="0" w:space="0" w:color="auto"/>
        <w:right w:val="none" w:sz="0" w:space="0" w:color="auto"/>
      </w:divBdr>
    </w:div>
    <w:div w:id="1842623427">
      <w:bodyDiv w:val="1"/>
      <w:marLeft w:val="0"/>
      <w:marRight w:val="0"/>
      <w:marTop w:val="0"/>
      <w:marBottom w:val="0"/>
      <w:divBdr>
        <w:top w:val="none" w:sz="0" w:space="0" w:color="auto"/>
        <w:left w:val="none" w:sz="0" w:space="0" w:color="auto"/>
        <w:bottom w:val="none" w:sz="0" w:space="0" w:color="auto"/>
        <w:right w:val="none" w:sz="0" w:space="0" w:color="auto"/>
      </w:divBdr>
      <w:divsChild>
        <w:div w:id="659626656">
          <w:marLeft w:val="360"/>
          <w:marRight w:val="0"/>
          <w:marTop w:val="240"/>
          <w:marBottom w:val="0"/>
          <w:divBdr>
            <w:top w:val="none" w:sz="0" w:space="0" w:color="auto"/>
            <w:left w:val="none" w:sz="0" w:space="0" w:color="auto"/>
            <w:bottom w:val="none" w:sz="0" w:space="0" w:color="auto"/>
            <w:right w:val="none" w:sz="0" w:space="0" w:color="auto"/>
          </w:divBdr>
        </w:div>
        <w:div w:id="1914969910">
          <w:marLeft w:val="360"/>
          <w:marRight w:val="0"/>
          <w:marTop w:val="240"/>
          <w:marBottom w:val="0"/>
          <w:divBdr>
            <w:top w:val="none" w:sz="0" w:space="0" w:color="auto"/>
            <w:left w:val="none" w:sz="0" w:space="0" w:color="auto"/>
            <w:bottom w:val="none" w:sz="0" w:space="0" w:color="auto"/>
            <w:right w:val="none" w:sz="0" w:space="0" w:color="auto"/>
          </w:divBdr>
        </w:div>
      </w:divsChild>
    </w:div>
    <w:div w:id="1862741220">
      <w:bodyDiv w:val="1"/>
      <w:marLeft w:val="0"/>
      <w:marRight w:val="0"/>
      <w:marTop w:val="0"/>
      <w:marBottom w:val="0"/>
      <w:divBdr>
        <w:top w:val="none" w:sz="0" w:space="0" w:color="auto"/>
        <w:left w:val="none" w:sz="0" w:space="0" w:color="auto"/>
        <w:bottom w:val="none" w:sz="0" w:space="0" w:color="auto"/>
        <w:right w:val="none" w:sz="0" w:space="0" w:color="auto"/>
      </w:divBdr>
      <w:divsChild>
        <w:div w:id="329216268">
          <w:marLeft w:val="547"/>
          <w:marRight w:val="0"/>
          <w:marTop w:val="154"/>
          <w:marBottom w:val="0"/>
          <w:divBdr>
            <w:top w:val="none" w:sz="0" w:space="0" w:color="auto"/>
            <w:left w:val="none" w:sz="0" w:space="0" w:color="auto"/>
            <w:bottom w:val="none" w:sz="0" w:space="0" w:color="auto"/>
            <w:right w:val="none" w:sz="0" w:space="0" w:color="auto"/>
          </w:divBdr>
        </w:div>
        <w:div w:id="635985481">
          <w:marLeft w:val="1166"/>
          <w:marRight w:val="0"/>
          <w:marTop w:val="134"/>
          <w:marBottom w:val="0"/>
          <w:divBdr>
            <w:top w:val="none" w:sz="0" w:space="0" w:color="auto"/>
            <w:left w:val="none" w:sz="0" w:space="0" w:color="auto"/>
            <w:bottom w:val="none" w:sz="0" w:space="0" w:color="auto"/>
            <w:right w:val="none" w:sz="0" w:space="0" w:color="auto"/>
          </w:divBdr>
        </w:div>
        <w:div w:id="1997341535">
          <w:marLeft w:val="1166"/>
          <w:marRight w:val="0"/>
          <w:marTop w:val="134"/>
          <w:marBottom w:val="0"/>
          <w:divBdr>
            <w:top w:val="none" w:sz="0" w:space="0" w:color="auto"/>
            <w:left w:val="none" w:sz="0" w:space="0" w:color="auto"/>
            <w:bottom w:val="none" w:sz="0" w:space="0" w:color="auto"/>
            <w:right w:val="none" w:sz="0" w:space="0" w:color="auto"/>
          </w:divBdr>
        </w:div>
      </w:divsChild>
    </w:div>
    <w:div w:id="1864436121">
      <w:bodyDiv w:val="1"/>
      <w:marLeft w:val="0"/>
      <w:marRight w:val="0"/>
      <w:marTop w:val="0"/>
      <w:marBottom w:val="0"/>
      <w:divBdr>
        <w:top w:val="none" w:sz="0" w:space="0" w:color="auto"/>
        <w:left w:val="none" w:sz="0" w:space="0" w:color="auto"/>
        <w:bottom w:val="none" w:sz="0" w:space="0" w:color="auto"/>
        <w:right w:val="none" w:sz="0" w:space="0" w:color="auto"/>
      </w:divBdr>
    </w:div>
    <w:div w:id="1878858573">
      <w:bodyDiv w:val="1"/>
      <w:marLeft w:val="0"/>
      <w:marRight w:val="0"/>
      <w:marTop w:val="0"/>
      <w:marBottom w:val="0"/>
      <w:divBdr>
        <w:top w:val="none" w:sz="0" w:space="0" w:color="auto"/>
        <w:left w:val="none" w:sz="0" w:space="0" w:color="auto"/>
        <w:bottom w:val="none" w:sz="0" w:space="0" w:color="auto"/>
        <w:right w:val="none" w:sz="0" w:space="0" w:color="auto"/>
      </w:divBdr>
      <w:divsChild>
        <w:div w:id="6912403">
          <w:marLeft w:val="1800"/>
          <w:marRight w:val="0"/>
          <w:marTop w:val="96"/>
          <w:marBottom w:val="0"/>
          <w:divBdr>
            <w:top w:val="none" w:sz="0" w:space="0" w:color="auto"/>
            <w:left w:val="none" w:sz="0" w:space="0" w:color="auto"/>
            <w:bottom w:val="none" w:sz="0" w:space="0" w:color="auto"/>
            <w:right w:val="none" w:sz="0" w:space="0" w:color="auto"/>
          </w:divBdr>
        </w:div>
        <w:div w:id="716248646">
          <w:marLeft w:val="1800"/>
          <w:marRight w:val="0"/>
          <w:marTop w:val="96"/>
          <w:marBottom w:val="0"/>
          <w:divBdr>
            <w:top w:val="none" w:sz="0" w:space="0" w:color="auto"/>
            <w:left w:val="none" w:sz="0" w:space="0" w:color="auto"/>
            <w:bottom w:val="none" w:sz="0" w:space="0" w:color="auto"/>
            <w:right w:val="none" w:sz="0" w:space="0" w:color="auto"/>
          </w:divBdr>
        </w:div>
        <w:div w:id="1520894202">
          <w:marLeft w:val="2520"/>
          <w:marRight w:val="0"/>
          <w:marTop w:val="82"/>
          <w:marBottom w:val="0"/>
          <w:divBdr>
            <w:top w:val="none" w:sz="0" w:space="0" w:color="auto"/>
            <w:left w:val="none" w:sz="0" w:space="0" w:color="auto"/>
            <w:bottom w:val="none" w:sz="0" w:space="0" w:color="auto"/>
            <w:right w:val="none" w:sz="0" w:space="0" w:color="auto"/>
          </w:divBdr>
        </w:div>
        <w:div w:id="1769690692">
          <w:marLeft w:val="1800"/>
          <w:marRight w:val="0"/>
          <w:marTop w:val="96"/>
          <w:marBottom w:val="0"/>
          <w:divBdr>
            <w:top w:val="none" w:sz="0" w:space="0" w:color="auto"/>
            <w:left w:val="none" w:sz="0" w:space="0" w:color="auto"/>
            <w:bottom w:val="none" w:sz="0" w:space="0" w:color="auto"/>
            <w:right w:val="none" w:sz="0" w:space="0" w:color="auto"/>
          </w:divBdr>
        </w:div>
        <w:div w:id="1785923456">
          <w:marLeft w:val="547"/>
          <w:marRight w:val="0"/>
          <w:marTop w:val="130"/>
          <w:marBottom w:val="0"/>
          <w:divBdr>
            <w:top w:val="none" w:sz="0" w:space="0" w:color="auto"/>
            <w:left w:val="none" w:sz="0" w:space="0" w:color="auto"/>
            <w:bottom w:val="none" w:sz="0" w:space="0" w:color="auto"/>
            <w:right w:val="none" w:sz="0" w:space="0" w:color="auto"/>
          </w:divBdr>
        </w:div>
        <w:div w:id="1867327027">
          <w:marLeft w:val="1166"/>
          <w:marRight w:val="0"/>
          <w:marTop w:val="115"/>
          <w:marBottom w:val="0"/>
          <w:divBdr>
            <w:top w:val="none" w:sz="0" w:space="0" w:color="auto"/>
            <w:left w:val="none" w:sz="0" w:space="0" w:color="auto"/>
            <w:bottom w:val="none" w:sz="0" w:space="0" w:color="auto"/>
            <w:right w:val="none" w:sz="0" w:space="0" w:color="auto"/>
          </w:divBdr>
        </w:div>
        <w:div w:id="1886211192">
          <w:marLeft w:val="2520"/>
          <w:marRight w:val="0"/>
          <w:marTop w:val="82"/>
          <w:marBottom w:val="0"/>
          <w:divBdr>
            <w:top w:val="none" w:sz="0" w:space="0" w:color="auto"/>
            <w:left w:val="none" w:sz="0" w:space="0" w:color="auto"/>
            <w:bottom w:val="none" w:sz="0" w:space="0" w:color="auto"/>
            <w:right w:val="none" w:sz="0" w:space="0" w:color="auto"/>
          </w:divBdr>
        </w:div>
      </w:divsChild>
    </w:div>
    <w:div w:id="19027097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cid:image005.png@01D75DE6.968419E0"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19" Type="http://schemas.openxmlformats.org/officeDocument/2006/relationships/image" Target="media/image6.png"/><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5AIRPNAIUNRU-1328258698-5486</_dlc_DocId>
    <_dlc_DocIdUrl xmlns="71c5aaf6-e6ce-465b-b873-5148d2a4c105">
      <Url>https://nokia.sharepoint.com/sites/c5g/5gradio/_layouts/15/DocIdRedir.aspx?ID=5AIRPNAIUNRU-1328258698-5486</Url>
      <Description>5AIRPNAIUNRU-1328258698-5486</Description>
    </_dlc_DocIdUrl>
    <HideFromDelve xmlns="71c5aaf6-e6ce-465b-b873-5148d2a4c105">false</HideFromDelve>
    <Information xmlns="3b34c8f0-1ef5-4d1e-bb66-517ce7fe7356" xsi:nil="true"/>
    <Associated_x0020_Task xmlns="3b34c8f0-1ef5-4d1e-bb66-517ce7fe7356"/>
    <SharedWithUsers xmlns="3b34c8f0-1ef5-4d1e-bb66-517ce7fe7356">
      <UserInfo>
        <DisplayName>Keskitalo, Ilkka (Nokia - FI/Oulu)</DisplayName>
        <AccountId>409</AccountId>
        <AccountType/>
      </UserInfo>
      <UserInfo>
        <DisplayName>Chen, Delia (NSB - CN/Hangzhou)</DisplayName>
        <AccountId>1683</AccountId>
        <AccountType/>
      </UserInfo>
      <UserInfo>
        <DisplayName>Dalsgaard, Lars (Nokia - FI/Oulu)</DisplayName>
        <AccountId>238</AccountId>
        <AccountType/>
      </UserInfo>
    </SharedWithUsers>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6EB1DC-126C-41DC-BB19-275409B03348}">
  <ds:schemaRefs>
    <ds:schemaRef ds:uri="Microsoft.SharePoint.Taxonomy.ContentTypeSync"/>
  </ds:schemaRefs>
</ds:datastoreItem>
</file>

<file path=customXml/itemProps2.xml><?xml version="1.0" encoding="utf-8"?>
<ds:datastoreItem xmlns:ds="http://schemas.openxmlformats.org/officeDocument/2006/customXml" ds:itemID="{E6E48175-4EEF-4C80-B278-22521C69DE59}">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FD987316-7D06-4CCE-804B-9CB81FEF963D}">
  <ds:schemaRefs>
    <ds:schemaRef ds:uri="http://schemas.microsoft.com/sharepoint/events"/>
  </ds:schemaRefs>
</ds:datastoreItem>
</file>

<file path=customXml/itemProps4.xml><?xml version="1.0" encoding="utf-8"?>
<ds:datastoreItem xmlns:ds="http://schemas.openxmlformats.org/officeDocument/2006/customXml" ds:itemID="{93246B21-74A1-404E-AB14-16A3CF1BFE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E323040-DF75-4A0C-A4AD-DD93AB64B5BB}">
  <ds:schemaRefs>
    <ds:schemaRef ds:uri="http://schemas.microsoft.com/sharepoint/v3/contenttype/forms"/>
  </ds:schemaRefs>
</ds:datastoreItem>
</file>

<file path=customXml/itemProps6.xml><?xml version="1.0" encoding="utf-8"?>
<ds:datastoreItem xmlns:ds="http://schemas.openxmlformats.org/officeDocument/2006/customXml" ds:itemID="{6864B7AF-DD90-40D3-A57F-1F750F93F6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5</Pages>
  <Words>773</Words>
  <Characters>4408</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Lo, Anthony (Nokia - GB/Bristol)</cp:lastModifiedBy>
  <cp:revision>18</cp:revision>
  <dcterms:created xsi:type="dcterms:W3CDTF">2021-08-06T20:37:00Z</dcterms:created>
  <dcterms:modified xsi:type="dcterms:W3CDTF">2021-08-06T23:51:00Z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c70089bd-f7a9-46c6-9774-ba7f49f27718</vt:lpwstr>
  </property>
  <property fmtid="{D5CDD505-2E9C-101B-9397-08002B2CF9AE}" pid="4" name="MSIP_Label_b1aa2129-79ec-42c0-bfac-e5b7a0374572_Enabled">
    <vt:lpwstr>true</vt:lpwstr>
  </property>
  <property fmtid="{D5CDD505-2E9C-101B-9397-08002B2CF9AE}" pid="5" name="MSIP_Label_b1aa2129-79ec-42c0-bfac-e5b7a0374572_SetDate">
    <vt:lpwstr>2021-08-06T11:52:37Z</vt:lpwstr>
  </property>
  <property fmtid="{D5CDD505-2E9C-101B-9397-08002B2CF9AE}" pid="6" name="MSIP_Label_b1aa2129-79ec-42c0-bfac-e5b7a0374572_Method">
    <vt:lpwstr>Privileged</vt:lpwstr>
  </property>
  <property fmtid="{D5CDD505-2E9C-101B-9397-08002B2CF9AE}" pid="7" name="MSIP_Label_b1aa2129-79ec-42c0-bfac-e5b7a0374572_Name">
    <vt:lpwstr>b1aa2129-79ec-42c0-bfac-e5b7a0374572</vt:lpwstr>
  </property>
  <property fmtid="{D5CDD505-2E9C-101B-9397-08002B2CF9AE}" pid="8" name="MSIP_Label_b1aa2129-79ec-42c0-bfac-e5b7a0374572_SiteId">
    <vt:lpwstr>5d471751-9675-428d-917b-70f44f9630b0</vt:lpwstr>
  </property>
  <property fmtid="{D5CDD505-2E9C-101B-9397-08002B2CF9AE}" pid="9" name="MSIP_Label_b1aa2129-79ec-42c0-bfac-e5b7a0374572_ActionId">
    <vt:lpwstr>d7144a85-6c23-4539-8bda-aafe18a4409c</vt:lpwstr>
  </property>
  <property fmtid="{D5CDD505-2E9C-101B-9397-08002B2CF9AE}" pid="10" name="MSIP_Label_b1aa2129-79ec-42c0-bfac-e5b7a0374572_ContentBits">
    <vt:lpwstr>0</vt:lpwstr>
  </property>
</Properties>
</file>