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5F16F62B"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100</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786393">
        <w:rPr>
          <w:rFonts w:eastAsia="宋体" w:cs="Arial"/>
          <w:lang w:eastAsia="zh-CN"/>
        </w:rPr>
        <w:t>12869</w:t>
      </w:r>
      <w:r w:rsidRPr="00C94DBE">
        <w:rPr>
          <w:rFonts w:eastAsia="宋体" w:cs="Arial"/>
          <w:lang w:eastAsia="zh-CN"/>
        </w:rPr>
        <w:t xml:space="preserve">                                     </w:t>
      </w:r>
      <w:r>
        <w:rPr>
          <w:rFonts w:eastAsia="宋体" w:cs="Arial"/>
          <w:lang w:eastAsia="zh-CN"/>
        </w:rPr>
        <w:t xml:space="preserve">                             </w:t>
      </w:r>
    </w:p>
    <w:p w14:paraId="4D5D8709" w14:textId="7E95AB6E"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333C86">
        <w:rPr>
          <w:rFonts w:cs="Arial"/>
        </w:rPr>
        <w:t>16</w:t>
      </w:r>
      <w:r w:rsidRPr="007144F1">
        <w:rPr>
          <w:rFonts w:cs="Arial"/>
          <w:vertAlign w:val="superscript"/>
        </w:rPr>
        <w:t>th</w:t>
      </w:r>
      <w:r w:rsidRPr="00051CD8">
        <w:rPr>
          <w:rFonts w:cs="Arial"/>
        </w:rPr>
        <w:t>–</w:t>
      </w:r>
      <w:r w:rsidRPr="00051CD8">
        <w:rPr>
          <w:rFonts w:cs="Arial" w:hint="eastAsia"/>
        </w:rPr>
        <w:t xml:space="preserve"> </w:t>
      </w:r>
      <w:r w:rsidR="00333C86">
        <w:rPr>
          <w:rFonts w:eastAsiaTheme="minorEastAsia" w:cs="Arial"/>
          <w:lang w:eastAsia="zh-CN"/>
        </w:rPr>
        <w:t>27</w:t>
      </w:r>
      <w:r w:rsidRPr="00F51A98">
        <w:rPr>
          <w:rFonts w:eastAsiaTheme="minorEastAsia" w:cs="Arial" w:hint="eastAsia"/>
          <w:vertAlign w:val="superscript"/>
          <w:lang w:eastAsia="zh-CN"/>
        </w:rPr>
        <w:t>th</w:t>
      </w:r>
      <w:r>
        <w:rPr>
          <w:rFonts w:eastAsiaTheme="minorEastAsia" w:cs="Arial"/>
          <w:lang w:eastAsia="zh-CN"/>
        </w:rPr>
        <w:t xml:space="preserve"> </w:t>
      </w:r>
      <w:r w:rsidR="00333C86">
        <w:rPr>
          <w:rFonts w:eastAsiaTheme="minorEastAsia" w:cs="Arial"/>
          <w:lang w:eastAsia="zh-CN"/>
        </w:rPr>
        <w:t>Aug</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398C6F9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427987">
        <w:rPr>
          <w:rFonts w:ascii="Arial" w:eastAsia="宋体" w:hAnsi="Arial" w:cs="Arial"/>
          <w:b/>
          <w:noProof/>
          <w:kern w:val="0"/>
          <w:sz w:val="22"/>
          <w:szCs w:val="22"/>
          <w:lang w:val="en-GB"/>
        </w:rPr>
        <w:t>9.</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B64DF3">
        <w:rPr>
          <w:rFonts w:ascii="Arial" w:eastAsia="宋体" w:hAnsi="Arial" w:cs="Arial"/>
          <w:b/>
          <w:noProof/>
          <w:kern w:val="0"/>
          <w:sz w:val="22"/>
          <w:szCs w:val="22"/>
          <w:lang w:val="en-GB"/>
        </w:rPr>
        <w:t>3</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2A65384D"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sidR="00D01F05">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B64DF3">
        <w:rPr>
          <w:rFonts w:ascii="Arial" w:eastAsia="宋体" w:hAnsi="Arial" w:cs="Arial"/>
          <w:b/>
          <w:noProof/>
          <w:kern w:val="0"/>
          <w:sz w:val="22"/>
          <w:lang w:val="en-GB"/>
        </w:rPr>
        <w:t>Discussion on RAN3 LS for inter-donor migration</w:t>
      </w:r>
      <w:r>
        <w:rPr>
          <w:rFonts w:ascii="Arial" w:eastAsia="宋体" w:hAnsi="Arial" w:cs="Arial"/>
          <w:b/>
          <w:noProof/>
          <w:kern w:val="0"/>
          <w:sz w:val="22"/>
          <w:lang w:val="en-GB"/>
        </w:rPr>
        <w:t xml:space="preserve">  </w:t>
      </w:r>
    </w:p>
    <w:p w14:paraId="460F64DD" w14:textId="17BCEEA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805A5C">
        <w:rPr>
          <w:rFonts w:ascii="Arial" w:eastAsia="宋体" w:hAnsi="Arial" w:cs="Arial"/>
          <w:b/>
          <w:noProof/>
          <w:kern w:val="0"/>
          <w:sz w:val="22"/>
          <w:szCs w:val="22"/>
          <w:lang w:val="en-GB"/>
        </w:rPr>
        <w:t>Discussion</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2D8F3B05" w14:textId="6B0D5E65" w:rsidR="004E338D" w:rsidRPr="002A04B1" w:rsidRDefault="00B64DF3" w:rsidP="00750155">
      <w:pPr>
        <w:rPr>
          <w:sz w:val="20"/>
          <w:szCs w:val="20"/>
        </w:rPr>
      </w:pPr>
      <w:r>
        <w:rPr>
          <w:sz w:val="20"/>
          <w:szCs w:val="20"/>
        </w:rPr>
        <w:t xml:space="preserve">RAN4 received RAN3 LS on inter-donor migration in [1] to inquire the view regarding full migration scenario. This contribution provides our understanding and suggestion on feedback to RAN3. </w:t>
      </w:r>
    </w:p>
    <w:p w14:paraId="098BC1D4" w14:textId="26A46DF5" w:rsidR="00276C66" w:rsidRDefault="006C3751" w:rsidP="00276C66">
      <w:pPr>
        <w:pStyle w:val="1"/>
        <w:rPr>
          <w:rFonts w:cs="Arial"/>
          <w:lang w:eastAsia="zh-CN"/>
        </w:rPr>
      </w:pPr>
      <w:r>
        <w:rPr>
          <w:rFonts w:cs="Arial"/>
          <w:lang w:eastAsia="zh-CN"/>
        </w:rPr>
        <w:t>Discussion</w:t>
      </w:r>
      <w:r w:rsidR="00276C66">
        <w:rPr>
          <w:rFonts w:cs="Arial"/>
          <w:lang w:eastAsia="zh-CN"/>
        </w:rPr>
        <w:t xml:space="preserve">   </w:t>
      </w:r>
    </w:p>
    <w:p w14:paraId="482B47A2" w14:textId="6CC20F78" w:rsidR="001672B7" w:rsidRPr="00E62F14" w:rsidRDefault="005C1F70" w:rsidP="001672B7">
      <w:pPr>
        <w:spacing w:line="276" w:lineRule="auto"/>
        <w:rPr>
          <w:sz w:val="20"/>
          <w:szCs w:val="20"/>
        </w:rPr>
      </w:pPr>
      <w:r w:rsidRPr="00E62F14">
        <w:rPr>
          <w:rFonts w:hint="eastAsia"/>
          <w:sz w:val="20"/>
          <w:szCs w:val="20"/>
        </w:rPr>
        <w:t>I</w:t>
      </w:r>
      <w:r w:rsidRPr="00E62F14">
        <w:rPr>
          <w:sz w:val="20"/>
          <w:szCs w:val="20"/>
        </w:rPr>
        <w:t xml:space="preserve">n [1] the illustration on inter-door full migration is provided as </w:t>
      </w:r>
      <w:r w:rsidR="00786393">
        <w:rPr>
          <w:sz w:val="20"/>
          <w:szCs w:val="20"/>
        </w:rPr>
        <w:t xml:space="preserve">figure </w:t>
      </w:r>
      <w:r w:rsidRPr="00E62F14">
        <w:rPr>
          <w:sz w:val="20"/>
          <w:szCs w:val="20"/>
        </w:rPr>
        <w:t>below</w:t>
      </w:r>
      <w:r w:rsidR="00113F6C" w:rsidRPr="00E62F14">
        <w:rPr>
          <w:sz w:val="20"/>
          <w:szCs w:val="20"/>
        </w:rPr>
        <w:t xml:space="preserve">. As stated in LS </w:t>
      </w:r>
      <w:r w:rsidR="001672B7" w:rsidRPr="00E62F14">
        <w:rPr>
          <w:sz w:val="20"/>
          <w:szCs w:val="20"/>
        </w:rPr>
        <w:t xml:space="preserve">full Migration </w:t>
      </w:r>
      <w:r w:rsidR="00113F6C" w:rsidRPr="00E62F14">
        <w:rPr>
          <w:sz w:val="20"/>
          <w:szCs w:val="20"/>
        </w:rPr>
        <w:t xml:space="preserve">is defined as </w:t>
      </w:r>
      <w:r w:rsidR="00E62F14" w:rsidRPr="00E62F14">
        <w:rPr>
          <w:sz w:val="20"/>
          <w:szCs w:val="20"/>
        </w:rPr>
        <w:t>“the</w:t>
      </w:r>
      <w:r w:rsidR="001672B7" w:rsidRPr="00E62F14">
        <w:rPr>
          <w:sz w:val="20"/>
          <w:szCs w:val="20"/>
        </w:rPr>
        <w:t xml:space="preserve"> boundary IAB node and the descendant IAB node(s) (if any) are migrated (both RRC and F1 connection) to the 2nd IAB-donor-CU from 1st IAB-donor-CU</w:t>
      </w:r>
      <w:r w:rsidR="00113F6C" w:rsidRPr="00E62F14">
        <w:rPr>
          <w:sz w:val="20"/>
          <w:szCs w:val="20"/>
        </w:rPr>
        <w:t>”</w:t>
      </w:r>
      <w:r w:rsidR="001672B7" w:rsidRPr="00E62F14">
        <w:rPr>
          <w:sz w:val="20"/>
          <w:szCs w:val="20"/>
        </w:rPr>
        <w:t>.</w:t>
      </w:r>
    </w:p>
    <w:p w14:paraId="22558D97" w14:textId="0B14A095" w:rsidR="00AF61B8" w:rsidRPr="001672B7" w:rsidRDefault="00AF61B8" w:rsidP="00C10A8B">
      <w:pPr>
        <w:spacing w:line="276" w:lineRule="auto"/>
        <w:rPr>
          <w:color w:val="000000"/>
          <w:sz w:val="20"/>
          <w:szCs w:val="20"/>
        </w:rPr>
      </w:pPr>
    </w:p>
    <w:p w14:paraId="3C46A28E" w14:textId="77777777" w:rsidR="005C1F70" w:rsidRDefault="005C1F70" w:rsidP="005C1F70">
      <w:pPr>
        <w:jc w:val="center"/>
        <w:rPr>
          <w:rFonts w:ascii="Arial" w:hAnsi="Arial" w:cs="Arial"/>
        </w:rPr>
      </w:pPr>
      <w:r>
        <w:object w:dxaOrig="19636" w:dyaOrig="10562" w14:anchorId="014B2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86pt" o:ole="">
            <v:imagedata r:id="rId7" o:title=""/>
          </v:shape>
          <o:OLEObject Type="Embed" ProgID="Visio.Drawing.15" ShapeID="_x0000_i1025" DrawAspect="Content" ObjectID="_1689772863" r:id="rId8"/>
        </w:object>
      </w:r>
    </w:p>
    <w:p w14:paraId="7CD703AA" w14:textId="77777777" w:rsidR="005C1F70" w:rsidRDefault="005C1F70" w:rsidP="005C1F70">
      <w:pPr>
        <w:jc w:val="center"/>
        <w:rPr>
          <w:rFonts w:ascii="Arial" w:hAnsi="Arial" w:cs="Arial"/>
          <w:b/>
          <w:bCs/>
          <w:sz w:val="18"/>
        </w:rPr>
      </w:pPr>
      <w:r w:rsidRPr="00FC46A1">
        <w:rPr>
          <w:rFonts w:ascii="Arial" w:hAnsi="Arial" w:cs="Arial"/>
          <w:b/>
          <w:bCs/>
          <w:sz w:val="18"/>
        </w:rPr>
        <w:t>Figure 1: UE handover between cells pertaining to different logical IAB-DUs connected to separate CUs</w:t>
      </w:r>
    </w:p>
    <w:p w14:paraId="23D4636A" w14:textId="54360303" w:rsidR="00E62F14" w:rsidRPr="00E62F14" w:rsidRDefault="00E62F14" w:rsidP="00E62F14">
      <w:pPr>
        <w:spacing w:line="276" w:lineRule="auto"/>
        <w:rPr>
          <w:sz w:val="20"/>
          <w:szCs w:val="20"/>
        </w:rPr>
      </w:pPr>
      <w:r w:rsidRPr="00E62F14">
        <w:rPr>
          <w:sz w:val="20"/>
          <w:szCs w:val="20"/>
        </w:rPr>
        <w:t xml:space="preserve">In the context of full migration, there are two </w:t>
      </w:r>
      <w:r>
        <w:rPr>
          <w:sz w:val="20"/>
          <w:szCs w:val="20"/>
        </w:rPr>
        <w:t>implementation alternatives considered in RAN3:</w:t>
      </w:r>
    </w:p>
    <w:p w14:paraId="13B52F52" w14:textId="77777777" w:rsidR="00E62F14" w:rsidRPr="00E62F14" w:rsidRDefault="00E62F14" w:rsidP="00E62F14">
      <w:pPr>
        <w:spacing w:line="276" w:lineRule="auto"/>
        <w:rPr>
          <w:sz w:val="20"/>
          <w:szCs w:val="20"/>
        </w:rPr>
      </w:pPr>
      <w:r w:rsidRPr="00E62F14">
        <w:rPr>
          <w:sz w:val="20"/>
          <w:szCs w:val="20"/>
        </w:rPr>
        <w:t>- Alt1: the two logical DUs use separate physical cell resources</w:t>
      </w:r>
    </w:p>
    <w:p w14:paraId="5BC65966" w14:textId="6360878D" w:rsidR="00135CDD" w:rsidRDefault="00E62F14" w:rsidP="00E62F14">
      <w:pPr>
        <w:spacing w:line="276" w:lineRule="auto"/>
        <w:rPr>
          <w:sz w:val="20"/>
          <w:szCs w:val="20"/>
        </w:rPr>
      </w:pPr>
      <w:r w:rsidRPr="00E62F14">
        <w:rPr>
          <w:sz w:val="20"/>
          <w:szCs w:val="20"/>
        </w:rPr>
        <w:t>- Alt2: the two logical DUs use the same physical cell resources</w:t>
      </w:r>
    </w:p>
    <w:p w14:paraId="093D22D6" w14:textId="77777777" w:rsidR="00135CDD" w:rsidRPr="00E62F14" w:rsidRDefault="00135CDD" w:rsidP="00E62F14">
      <w:pPr>
        <w:spacing w:line="276" w:lineRule="auto"/>
        <w:rPr>
          <w:sz w:val="20"/>
          <w:szCs w:val="20"/>
        </w:rPr>
      </w:pPr>
    </w:p>
    <w:p w14:paraId="2AE0B2D1" w14:textId="63DF9926" w:rsidR="00474025" w:rsidRDefault="00474025" w:rsidP="00474025">
      <w:pPr>
        <w:rPr>
          <w:rFonts w:ascii="Calibri" w:hAnsi="Calibri" w:cs="Calibri"/>
          <w:sz w:val="20"/>
          <w:szCs w:val="20"/>
        </w:rPr>
      </w:pPr>
      <w:r w:rsidRPr="00474025">
        <w:rPr>
          <w:rFonts w:ascii="Calibri" w:hAnsi="Calibri" w:cs="Calibri"/>
          <w:sz w:val="20"/>
          <w:szCs w:val="20"/>
        </w:rPr>
        <w:t xml:space="preserve">For Alt1, </w:t>
      </w:r>
      <w:r>
        <w:rPr>
          <w:rFonts w:ascii="Calibri" w:hAnsi="Calibri" w:cs="Calibri"/>
          <w:sz w:val="20"/>
          <w:szCs w:val="20"/>
        </w:rPr>
        <w:t>it seems from UE perspective there is no difference compared with legacy traditional handover. Whether the serving cell and/or target serving cell is IAB-DU</w:t>
      </w:r>
      <w:r w:rsidR="00135CDD">
        <w:rPr>
          <w:rFonts w:ascii="Calibri" w:hAnsi="Calibri" w:cs="Calibri"/>
          <w:sz w:val="20"/>
          <w:szCs w:val="20"/>
        </w:rPr>
        <w:t>(s)</w:t>
      </w:r>
      <w:r>
        <w:rPr>
          <w:rFonts w:ascii="Calibri" w:hAnsi="Calibri" w:cs="Calibri"/>
          <w:sz w:val="20"/>
          <w:szCs w:val="20"/>
        </w:rPr>
        <w:t xml:space="preserve"> within one IAB-node or normal gNB would be transparent to UEs. Hence we share the same opinion</w:t>
      </w:r>
      <w:r w:rsidR="00135CDD">
        <w:rPr>
          <w:rFonts w:ascii="Calibri" w:hAnsi="Calibri" w:cs="Calibri"/>
          <w:sz w:val="20"/>
          <w:szCs w:val="20"/>
        </w:rPr>
        <w:t xml:space="preserve"> as RAN3</w:t>
      </w:r>
      <w:r>
        <w:rPr>
          <w:rFonts w:ascii="Calibri" w:hAnsi="Calibri" w:cs="Calibri"/>
          <w:sz w:val="20"/>
          <w:szCs w:val="20"/>
        </w:rPr>
        <w:t xml:space="preserve"> regarding the understanding on this alternatives.</w:t>
      </w:r>
      <w:r w:rsidR="004A7CDF">
        <w:rPr>
          <w:rFonts w:ascii="Calibri" w:hAnsi="Calibri" w:cs="Calibri"/>
          <w:sz w:val="20"/>
          <w:szCs w:val="20"/>
        </w:rPr>
        <w:t xml:space="preserve"> It seems no additional issue can be identified other than aspects addressed in RAN3 LS. </w:t>
      </w:r>
      <w:r>
        <w:rPr>
          <w:rFonts w:ascii="Calibri" w:hAnsi="Calibri" w:cs="Calibri"/>
          <w:sz w:val="20"/>
          <w:szCs w:val="20"/>
        </w:rPr>
        <w:t xml:space="preserve"> </w:t>
      </w:r>
    </w:p>
    <w:tbl>
      <w:tblPr>
        <w:tblStyle w:val="a6"/>
        <w:tblW w:w="0" w:type="auto"/>
        <w:tblLook w:val="04A0" w:firstRow="1" w:lastRow="0" w:firstColumn="1" w:lastColumn="0" w:noHBand="0" w:noVBand="1"/>
      </w:tblPr>
      <w:tblGrid>
        <w:gridCol w:w="10456"/>
      </w:tblGrid>
      <w:tr w:rsidR="00474025" w14:paraId="5FFA91DB" w14:textId="77777777" w:rsidTr="00474025">
        <w:tc>
          <w:tcPr>
            <w:tcW w:w="10456" w:type="dxa"/>
          </w:tcPr>
          <w:p w14:paraId="54BFDFD3" w14:textId="38FAE462" w:rsidR="00474025" w:rsidRPr="00474025" w:rsidRDefault="00474025" w:rsidP="00474025">
            <w:pPr>
              <w:rPr>
                <w:rFonts w:ascii="Arial" w:hAnsi="Arial" w:cs="Arial"/>
              </w:rPr>
            </w:pPr>
            <w:r>
              <w:rPr>
                <w:rFonts w:ascii="Arial" w:hAnsi="Arial" w:cs="Arial" w:hint="eastAsia"/>
              </w:rPr>
              <w:t>F</w:t>
            </w:r>
            <w:r>
              <w:rPr>
                <w:rFonts w:ascii="Arial" w:hAnsi="Arial" w:cs="Arial"/>
              </w:rPr>
              <w:t xml:space="preserve">or </w:t>
            </w:r>
            <w:r w:rsidRPr="00C30603">
              <w:rPr>
                <w:rFonts w:ascii="Arial" w:hAnsi="Arial" w:cs="Arial"/>
                <w:b/>
              </w:rPr>
              <w:t>Alt1</w:t>
            </w:r>
            <w:r>
              <w:rPr>
                <w:rFonts w:ascii="Arial" w:hAnsi="Arial" w:cs="Arial"/>
              </w:rPr>
              <w:t xml:space="preserve">, RAN3 understands that </w:t>
            </w:r>
            <w:r w:rsidRPr="004B2B3A">
              <w:rPr>
                <w:rFonts w:ascii="Arial" w:hAnsi="Arial" w:cs="Arial"/>
              </w:rPr>
              <w:t>the UEs can be s</w:t>
            </w:r>
            <w:r>
              <w:rPr>
                <w:rFonts w:ascii="Arial" w:hAnsi="Arial" w:cs="Arial"/>
              </w:rPr>
              <w:t>moothly handed over from a cell of one logical DU</w:t>
            </w:r>
            <w:r w:rsidRPr="004B2B3A">
              <w:rPr>
                <w:rFonts w:ascii="Arial" w:hAnsi="Arial" w:cs="Arial"/>
              </w:rPr>
              <w:t xml:space="preserve"> to </w:t>
            </w:r>
            <w:r>
              <w:rPr>
                <w:rFonts w:ascii="Arial" w:hAnsi="Arial" w:cs="Arial"/>
              </w:rPr>
              <w:t xml:space="preserve">a cell of </w:t>
            </w:r>
            <w:r w:rsidRPr="004B2B3A">
              <w:rPr>
                <w:rFonts w:ascii="Arial" w:hAnsi="Arial" w:cs="Arial"/>
              </w:rPr>
              <w:t>the other</w:t>
            </w:r>
            <w:r>
              <w:rPr>
                <w:rFonts w:ascii="Arial" w:hAnsi="Arial" w:cs="Arial"/>
              </w:rPr>
              <w:t xml:space="preserve"> logical DU via the legacy handover procedure</w:t>
            </w:r>
            <w:r w:rsidRPr="004B2B3A">
              <w:rPr>
                <w:rFonts w:ascii="Arial" w:hAnsi="Arial" w:cs="Arial"/>
              </w:rPr>
              <w:t>.</w:t>
            </w:r>
            <w:r>
              <w:rPr>
                <w:rFonts w:ascii="Arial" w:hAnsi="Arial" w:cs="Arial"/>
              </w:rPr>
              <w:t xml:space="preserve"> During the handover procedure, both cells from each logical DU should be active, since some UEs are already handed over to the target cell, while other UEs have not started the handover yet. However, it may be argued that the use of separate resources is less efficient. </w:t>
            </w:r>
          </w:p>
        </w:tc>
      </w:tr>
    </w:tbl>
    <w:p w14:paraId="6242CAD5" w14:textId="4FCA2DDB" w:rsidR="00474025" w:rsidRDefault="004A7CDF" w:rsidP="00474025">
      <w:pPr>
        <w:rPr>
          <w:rFonts w:ascii="Calibri" w:hAnsi="Calibri" w:cs="Calibri"/>
          <w:sz w:val="20"/>
          <w:szCs w:val="20"/>
        </w:rPr>
      </w:pPr>
      <w:r w:rsidRPr="004A7CDF">
        <w:rPr>
          <w:rFonts w:ascii="Calibri" w:hAnsi="Calibri" w:cs="Calibri" w:hint="eastAsia"/>
          <w:b/>
          <w:sz w:val="20"/>
          <w:szCs w:val="20"/>
        </w:rPr>
        <w:t>P</w:t>
      </w:r>
      <w:r w:rsidRPr="004A7CDF">
        <w:rPr>
          <w:rFonts w:ascii="Calibri" w:hAnsi="Calibri" w:cs="Calibri"/>
          <w:b/>
          <w:sz w:val="20"/>
          <w:szCs w:val="20"/>
        </w:rPr>
        <w:t>roposal 1</w:t>
      </w:r>
      <w:r>
        <w:rPr>
          <w:rFonts w:ascii="Calibri" w:hAnsi="Calibri" w:cs="Calibri"/>
          <w:sz w:val="20"/>
          <w:szCs w:val="20"/>
        </w:rPr>
        <w:t xml:space="preserve">: for Alt1 reply to RAN3 to confirm their understanding from RAN4 perspective. </w:t>
      </w:r>
    </w:p>
    <w:p w14:paraId="4210A5CB" w14:textId="77777777" w:rsidR="00E62F14" w:rsidRDefault="00E62F14" w:rsidP="00E62F14">
      <w:pPr>
        <w:rPr>
          <w:rFonts w:ascii="Arial" w:hAnsi="Arial" w:cs="Arial"/>
          <w:b/>
          <w:bCs/>
          <w:sz w:val="18"/>
        </w:rPr>
      </w:pPr>
    </w:p>
    <w:p w14:paraId="3FAE9C75" w14:textId="634292B8" w:rsidR="00135CDD" w:rsidRDefault="00135CDD" w:rsidP="00E62F14">
      <w:pPr>
        <w:rPr>
          <w:rFonts w:ascii="Calibri" w:hAnsi="Calibri" w:cs="Calibri"/>
          <w:bCs/>
          <w:sz w:val="20"/>
          <w:szCs w:val="20"/>
        </w:rPr>
      </w:pPr>
      <w:r>
        <w:rPr>
          <w:rFonts w:ascii="Calibri" w:hAnsi="Calibri" w:cs="Calibri"/>
          <w:bCs/>
          <w:sz w:val="20"/>
          <w:szCs w:val="20"/>
        </w:rPr>
        <w:t>Regarding</w:t>
      </w:r>
      <w:r w:rsidR="00DF2A11" w:rsidRPr="007F098E">
        <w:rPr>
          <w:rFonts w:ascii="Calibri" w:hAnsi="Calibri" w:cs="Calibri"/>
          <w:bCs/>
          <w:sz w:val="20"/>
          <w:szCs w:val="20"/>
        </w:rPr>
        <w:t xml:space="preserve"> Alt2,</w:t>
      </w:r>
      <w:r>
        <w:rPr>
          <w:rFonts w:ascii="Calibri" w:hAnsi="Calibri" w:cs="Calibri"/>
          <w:bCs/>
          <w:sz w:val="20"/>
          <w:szCs w:val="20"/>
        </w:rPr>
        <w:t xml:space="preserve"> RAN3 provides further specific questions as below</w:t>
      </w:r>
    </w:p>
    <w:tbl>
      <w:tblPr>
        <w:tblStyle w:val="a6"/>
        <w:tblW w:w="0" w:type="auto"/>
        <w:tblLook w:val="04A0" w:firstRow="1" w:lastRow="0" w:firstColumn="1" w:lastColumn="0" w:noHBand="0" w:noVBand="1"/>
      </w:tblPr>
      <w:tblGrid>
        <w:gridCol w:w="10456"/>
      </w:tblGrid>
      <w:tr w:rsidR="00135CDD" w14:paraId="79A47054" w14:textId="77777777" w:rsidTr="00135CDD">
        <w:tc>
          <w:tcPr>
            <w:tcW w:w="10456" w:type="dxa"/>
          </w:tcPr>
          <w:p w14:paraId="2FA75A54" w14:textId="77777777" w:rsidR="00135CDD" w:rsidRPr="00636508" w:rsidRDefault="00135CDD" w:rsidP="00135CDD">
            <w:pPr>
              <w:pStyle w:val="a7"/>
              <w:numPr>
                <w:ilvl w:val="0"/>
                <w:numId w:val="17"/>
              </w:numPr>
              <w:ind w:firstLineChars="0"/>
              <w:rPr>
                <w:rFonts w:ascii="Arial" w:eastAsia="等线" w:hAnsi="Arial" w:cs="Arial"/>
                <w:b/>
                <w:sz w:val="20"/>
                <w:szCs w:val="20"/>
              </w:rPr>
            </w:pPr>
            <w:r w:rsidRPr="00636508">
              <w:rPr>
                <w:rFonts w:ascii="Arial" w:eastAsia="等线" w:hAnsi="Arial" w:cs="Arial"/>
                <w:b/>
                <w:sz w:val="20"/>
                <w:szCs w:val="20"/>
              </w:rPr>
              <w:t>Q1: Whether the current specification enables a RRC CONNECTED UE remains connected, while observing the change of NCGI, and no change to the PCI?</w:t>
            </w:r>
          </w:p>
          <w:p w14:paraId="42412773" w14:textId="77777777" w:rsidR="00135CDD" w:rsidRPr="00636508" w:rsidRDefault="00135CDD" w:rsidP="00135CDD">
            <w:pPr>
              <w:pStyle w:val="a7"/>
              <w:numPr>
                <w:ilvl w:val="0"/>
                <w:numId w:val="17"/>
              </w:numPr>
              <w:ind w:firstLineChars="0"/>
              <w:rPr>
                <w:rFonts w:ascii="Arial" w:eastAsia="等线" w:hAnsi="Arial" w:cs="Arial"/>
                <w:b/>
                <w:sz w:val="20"/>
                <w:szCs w:val="20"/>
              </w:rPr>
            </w:pPr>
            <w:r w:rsidRPr="00636508">
              <w:rPr>
                <w:rFonts w:ascii="Arial" w:eastAsia="等线" w:hAnsi="Arial" w:cs="Arial"/>
                <w:b/>
                <w:sz w:val="20"/>
                <w:szCs w:val="20"/>
              </w:rPr>
              <w:t>Q2: is it possible to use same PCI for cell1 and cell2, and support the HO from cell1 to cell2 without new impact to the UE (e.g. a legacy UE)?</w:t>
            </w:r>
          </w:p>
          <w:p w14:paraId="2177527E" w14:textId="01D26C89" w:rsidR="00135CDD" w:rsidRPr="00135CDD" w:rsidRDefault="00135CDD" w:rsidP="00E62F14">
            <w:pPr>
              <w:pStyle w:val="a7"/>
              <w:numPr>
                <w:ilvl w:val="0"/>
                <w:numId w:val="17"/>
              </w:numPr>
              <w:snapToGrid w:val="0"/>
              <w:ind w:firstLineChars="0"/>
              <w:rPr>
                <w:rFonts w:ascii="Arial" w:eastAsia="等线" w:hAnsi="Arial" w:cs="Arial"/>
                <w:b/>
                <w:sz w:val="20"/>
                <w:szCs w:val="20"/>
              </w:rPr>
            </w:pPr>
            <w:r w:rsidRPr="00636508">
              <w:rPr>
                <w:rFonts w:ascii="Arial" w:eastAsia="等线" w:hAnsi="Arial" w:cs="Arial"/>
                <w:b/>
                <w:sz w:val="20"/>
                <w:szCs w:val="20"/>
              </w:rPr>
              <w:t>Q3: when cell1 and cell2 use different PCI/NCGI, is it possible to use one set of shared resource, without new impact to the UE?</w:t>
            </w:r>
          </w:p>
        </w:tc>
      </w:tr>
    </w:tbl>
    <w:p w14:paraId="0C038E83" w14:textId="3403FCF1" w:rsidR="00135CDD" w:rsidRDefault="00081086" w:rsidP="00E62F14">
      <w:pPr>
        <w:rPr>
          <w:rFonts w:ascii="Calibri" w:hAnsi="Calibri" w:cs="Calibri"/>
          <w:bCs/>
          <w:sz w:val="20"/>
          <w:szCs w:val="20"/>
        </w:rPr>
      </w:pPr>
      <w:r>
        <w:rPr>
          <w:rFonts w:ascii="Calibri" w:hAnsi="Calibri" w:cs="Calibri" w:hint="eastAsia"/>
          <w:bCs/>
          <w:sz w:val="20"/>
          <w:szCs w:val="20"/>
        </w:rPr>
        <w:t>F</w:t>
      </w:r>
      <w:r>
        <w:rPr>
          <w:rFonts w:ascii="Calibri" w:hAnsi="Calibri" w:cs="Calibri"/>
          <w:bCs/>
          <w:sz w:val="20"/>
          <w:szCs w:val="20"/>
        </w:rPr>
        <w:t xml:space="preserve">or Q1, the scenario is that the NCGI of current serving cell is updated on NCGI as broadcasted in SIB1 but with the same PCI, which may happen also in legacy release. It’s supposed as no impact to RRC CONNECTED UE and it should remain connected to current serving cell. </w:t>
      </w:r>
    </w:p>
    <w:p w14:paraId="6580DDC2" w14:textId="2305544C" w:rsidR="00081086" w:rsidRDefault="00081086" w:rsidP="00E62F14">
      <w:pPr>
        <w:rPr>
          <w:rFonts w:ascii="Calibri" w:hAnsi="Calibri" w:cs="Calibri"/>
          <w:bCs/>
          <w:sz w:val="20"/>
          <w:szCs w:val="20"/>
        </w:rPr>
      </w:pPr>
      <w:r>
        <w:rPr>
          <w:rFonts w:ascii="Calibri" w:hAnsi="Calibri" w:cs="Calibri"/>
          <w:bCs/>
          <w:sz w:val="20"/>
          <w:szCs w:val="20"/>
        </w:rPr>
        <w:t xml:space="preserve">For Q2, </w:t>
      </w:r>
      <w:r w:rsidR="00390251">
        <w:rPr>
          <w:rFonts w:ascii="Calibri" w:hAnsi="Calibri" w:cs="Calibri"/>
          <w:bCs/>
          <w:sz w:val="20"/>
          <w:szCs w:val="20"/>
        </w:rPr>
        <w:t>the</w:t>
      </w:r>
      <w:r w:rsidR="00774542">
        <w:rPr>
          <w:rFonts w:ascii="Calibri" w:hAnsi="Calibri" w:cs="Calibri"/>
          <w:bCs/>
          <w:sz w:val="20"/>
          <w:szCs w:val="20"/>
        </w:rPr>
        <w:t xml:space="preserve"> example</w:t>
      </w:r>
      <w:r w:rsidR="00390251">
        <w:rPr>
          <w:rFonts w:ascii="Calibri" w:hAnsi="Calibri" w:cs="Calibri"/>
          <w:bCs/>
          <w:sz w:val="20"/>
          <w:szCs w:val="20"/>
        </w:rPr>
        <w:t xml:space="preserve"> scenario is </w:t>
      </w:r>
      <w:r w:rsidR="00774542">
        <w:rPr>
          <w:rFonts w:ascii="Calibri" w:hAnsi="Calibri" w:cs="Calibri"/>
          <w:bCs/>
          <w:sz w:val="20"/>
          <w:szCs w:val="20"/>
        </w:rPr>
        <w:t>shown as</w:t>
      </w:r>
      <w:r w:rsidR="00390251" w:rsidRPr="00390251">
        <w:rPr>
          <w:rFonts w:ascii="Calibri" w:hAnsi="Calibri" w:cs="Calibri"/>
          <w:bCs/>
          <w:sz w:val="20"/>
          <w:szCs w:val="20"/>
        </w:rPr>
        <w:t xml:space="preserve"> </w:t>
      </w:r>
      <w:r w:rsidR="00390251">
        <w:rPr>
          <w:rFonts w:ascii="Calibri" w:hAnsi="Calibri" w:cs="Calibri"/>
          <w:bCs/>
          <w:sz w:val="20"/>
          <w:szCs w:val="20"/>
        </w:rPr>
        <w:t xml:space="preserve">below. </w:t>
      </w:r>
      <w:r w:rsidR="00977F3F">
        <w:rPr>
          <w:rFonts w:ascii="Calibri" w:hAnsi="Calibri" w:cs="Calibri"/>
          <w:bCs/>
          <w:sz w:val="20"/>
          <w:szCs w:val="20"/>
        </w:rPr>
        <w:t xml:space="preserve">It’s believed that it’s usually avoided to configure the same PCI to neighboring cells due to potential collision and interference which may </w:t>
      </w:r>
      <w:r w:rsidR="008462AC">
        <w:rPr>
          <w:rFonts w:ascii="Calibri" w:hAnsi="Calibri" w:cs="Calibri"/>
          <w:bCs/>
          <w:sz w:val="20"/>
          <w:szCs w:val="20"/>
        </w:rPr>
        <w:t xml:space="preserve">obstruct UE handover within expected period. </w:t>
      </w:r>
    </w:p>
    <w:p w14:paraId="607D24F5" w14:textId="5C7F4BDE" w:rsidR="00390251" w:rsidRPr="00390251" w:rsidRDefault="00390251" w:rsidP="00390251">
      <w:pPr>
        <w:pStyle w:val="a7"/>
        <w:numPr>
          <w:ilvl w:val="0"/>
          <w:numId w:val="18"/>
        </w:numPr>
        <w:ind w:firstLineChars="0"/>
        <w:rPr>
          <w:rFonts w:ascii="Calibri" w:hAnsi="Calibri" w:cs="Calibri"/>
          <w:bCs/>
          <w:sz w:val="20"/>
          <w:szCs w:val="20"/>
        </w:rPr>
      </w:pPr>
      <w:r w:rsidRPr="00390251">
        <w:rPr>
          <w:rFonts w:ascii="Calibri" w:hAnsi="Calibri" w:cs="Calibri"/>
          <w:bCs/>
          <w:sz w:val="20"/>
          <w:szCs w:val="20"/>
        </w:rPr>
        <w:t>UE connects to IAB-DU1</w:t>
      </w:r>
      <w:r w:rsidR="00D61410">
        <w:rPr>
          <w:rFonts w:ascii="Calibri" w:hAnsi="Calibri" w:cs="Calibri"/>
          <w:bCs/>
          <w:sz w:val="20"/>
          <w:szCs w:val="20"/>
        </w:rPr>
        <w:t>(cell1)</w:t>
      </w:r>
      <w:r w:rsidRPr="00390251">
        <w:rPr>
          <w:rFonts w:ascii="Calibri" w:hAnsi="Calibri" w:cs="Calibri"/>
          <w:bCs/>
          <w:sz w:val="20"/>
          <w:szCs w:val="20"/>
        </w:rPr>
        <w:t xml:space="preserve"> as serving cell</w:t>
      </w:r>
    </w:p>
    <w:p w14:paraId="2B859685" w14:textId="0A89CA6F" w:rsidR="00390251" w:rsidRPr="00390251" w:rsidRDefault="00390251" w:rsidP="00390251">
      <w:pPr>
        <w:pStyle w:val="a7"/>
        <w:numPr>
          <w:ilvl w:val="0"/>
          <w:numId w:val="18"/>
        </w:numPr>
        <w:ind w:firstLineChars="0"/>
        <w:rPr>
          <w:rFonts w:ascii="Calibri" w:hAnsi="Calibri" w:cs="Calibri"/>
          <w:bCs/>
          <w:sz w:val="20"/>
          <w:szCs w:val="20"/>
        </w:rPr>
      </w:pPr>
      <w:r w:rsidRPr="00390251">
        <w:rPr>
          <w:rFonts w:ascii="Calibri" w:hAnsi="Calibri" w:cs="Calibri"/>
          <w:bCs/>
          <w:sz w:val="20"/>
          <w:szCs w:val="20"/>
        </w:rPr>
        <w:t>IAB-DU2</w:t>
      </w:r>
      <w:r w:rsidR="00D61410">
        <w:rPr>
          <w:rFonts w:ascii="Calibri" w:hAnsi="Calibri" w:cs="Calibri"/>
          <w:bCs/>
          <w:sz w:val="20"/>
          <w:szCs w:val="20"/>
        </w:rPr>
        <w:t>(cell 2)</w:t>
      </w:r>
      <w:r w:rsidRPr="00390251">
        <w:rPr>
          <w:rFonts w:ascii="Calibri" w:hAnsi="Calibri" w:cs="Calibri"/>
          <w:bCs/>
          <w:sz w:val="20"/>
          <w:szCs w:val="20"/>
        </w:rPr>
        <w:t xml:space="preserve"> with the same PCI to IAB-DU1 as neighboring cell</w:t>
      </w:r>
      <w:r w:rsidR="00BB67C7">
        <w:rPr>
          <w:rFonts w:ascii="Calibri" w:hAnsi="Calibri" w:cs="Calibri"/>
          <w:bCs/>
          <w:sz w:val="20"/>
          <w:szCs w:val="20"/>
        </w:rPr>
        <w:t xml:space="preserve"> of target UE</w:t>
      </w:r>
    </w:p>
    <w:p w14:paraId="402E7A3A" w14:textId="5EBE36F2" w:rsidR="00390251" w:rsidRDefault="00390251" w:rsidP="00390251">
      <w:pPr>
        <w:pStyle w:val="a7"/>
        <w:numPr>
          <w:ilvl w:val="0"/>
          <w:numId w:val="18"/>
        </w:numPr>
        <w:ind w:firstLineChars="0"/>
        <w:rPr>
          <w:rFonts w:ascii="Calibri" w:hAnsi="Calibri" w:cs="Calibri"/>
          <w:bCs/>
          <w:sz w:val="20"/>
          <w:szCs w:val="20"/>
        </w:rPr>
      </w:pPr>
      <w:r w:rsidRPr="00390251">
        <w:rPr>
          <w:rFonts w:ascii="Calibri" w:hAnsi="Calibri" w:cs="Calibri"/>
          <w:bCs/>
          <w:sz w:val="20"/>
          <w:szCs w:val="20"/>
        </w:rPr>
        <w:t>Cell 1 and Cell 2 are with different NCGI</w:t>
      </w:r>
    </w:p>
    <w:p w14:paraId="0A97C12F" w14:textId="47E0D662" w:rsidR="008462AC" w:rsidRPr="008462AC" w:rsidRDefault="008462AC" w:rsidP="008462AC">
      <w:pPr>
        <w:rPr>
          <w:rFonts w:ascii="Calibri" w:hAnsi="Calibri" w:cs="Calibri"/>
          <w:bCs/>
          <w:sz w:val="20"/>
          <w:szCs w:val="20"/>
        </w:rPr>
      </w:pPr>
      <w:r>
        <w:rPr>
          <w:rFonts w:ascii="Calibri" w:hAnsi="Calibri" w:cs="Calibri" w:hint="eastAsia"/>
          <w:bCs/>
          <w:sz w:val="20"/>
          <w:szCs w:val="20"/>
        </w:rPr>
        <w:t>F</w:t>
      </w:r>
      <w:r>
        <w:rPr>
          <w:rFonts w:ascii="Calibri" w:hAnsi="Calibri" w:cs="Calibri"/>
          <w:bCs/>
          <w:sz w:val="20"/>
          <w:szCs w:val="20"/>
        </w:rPr>
        <w:t xml:space="preserve">or Q3, the difference compared with scenario </w:t>
      </w:r>
      <w:r w:rsidR="005F5C6D">
        <w:rPr>
          <w:rFonts w:ascii="Calibri" w:hAnsi="Calibri" w:cs="Calibri"/>
          <w:bCs/>
          <w:sz w:val="20"/>
          <w:szCs w:val="20"/>
        </w:rPr>
        <w:t>in Q2</w:t>
      </w:r>
      <w:r>
        <w:rPr>
          <w:rFonts w:ascii="Calibri" w:hAnsi="Calibri" w:cs="Calibri"/>
          <w:bCs/>
          <w:sz w:val="20"/>
          <w:szCs w:val="20"/>
        </w:rPr>
        <w:t xml:space="preserve"> is that the </w:t>
      </w:r>
      <w:r w:rsidR="00D61410">
        <w:rPr>
          <w:rFonts w:ascii="Calibri" w:hAnsi="Calibri" w:cs="Calibri"/>
          <w:bCs/>
          <w:sz w:val="20"/>
          <w:szCs w:val="20"/>
        </w:rPr>
        <w:t xml:space="preserve">both PCI and NCGI are difference between cell1 and cell2. </w:t>
      </w:r>
      <w:r w:rsidR="00BE3120">
        <w:rPr>
          <w:rFonts w:ascii="Calibri" w:hAnsi="Calibri" w:cs="Calibri"/>
          <w:bCs/>
          <w:sz w:val="20"/>
          <w:szCs w:val="20"/>
        </w:rPr>
        <w:t>For this scenario, e</w:t>
      </w:r>
      <w:r w:rsidR="005F5C6D">
        <w:rPr>
          <w:rFonts w:ascii="Calibri" w:hAnsi="Calibri" w:cs="Calibri"/>
          <w:bCs/>
          <w:sz w:val="20"/>
          <w:szCs w:val="20"/>
        </w:rPr>
        <w:t xml:space="preserve">ven with </w:t>
      </w:r>
      <w:r w:rsidR="00D61410">
        <w:rPr>
          <w:rFonts w:ascii="Calibri" w:hAnsi="Calibri" w:cs="Calibri"/>
          <w:bCs/>
          <w:sz w:val="20"/>
          <w:szCs w:val="20"/>
        </w:rPr>
        <w:t xml:space="preserve">well coordination between two cells, additional effort on UE side may </w:t>
      </w:r>
      <w:r w:rsidR="005F5C6D">
        <w:rPr>
          <w:rFonts w:ascii="Calibri" w:hAnsi="Calibri" w:cs="Calibri"/>
          <w:bCs/>
          <w:sz w:val="20"/>
          <w:szCs w:val="20"/>
        </w:rPr>
        <w:t xml:space="preserve">still </w:t>
      </w:r>
      <w:r w:rsidR="00D61410">
        <w:rPr>
          <w:rFonts w:ascii="Calibri" w:hAnsi="Calibri" w:cs="Calibri"/>
          <w:bCs/>
          <w:sz w:val="20"/>
          <w:szCs w:val="20"/>
        </w:rPr>
        <w:t xml:space="preserve">be needed to support successful HO between cells share the same physical cells resource.  </w:t>
      </w:r>
      <w:bookmarkStart w:id="0" w:name="_GoBack"/>
      <w:bookmarkEnd w:id="0"/>
    </w:p>
    <w:p w14:paraId="18EB829C" w14:textId="20B931B1" w:rsidR="00DF2A11" w:rsidRPr="007F098E" w:rsidRDefault="007F098E" w:rsidP="00E62F14">
      <w:pPr>
        <w:rPr>
          <w:rFonts w:ascii="Calibri" w:hAnsi="Calibri" w:cs="Calibri"/>
          <w:bCs/>
          <w:sz w:val="20"/>
          <w:szCs w:val="20"/>
        </w:rPr>
      </w:pPr>
      <w:r w:rsidRPr="007F098E">
        <w:rPr>
          <w:rFonts w:ascii="Calibri" w:hAnsi="Calibri" w:cs="Calibri"/>
          <w:bCs/>
          <w:sz w:val="20"/>
          <w:szCs w:val="20"/>
        </w:rPr>
        <w:t>Hence</w:t>
      </w:r>
      <w:r>
        <w:rPr>
          <w:rFonts w:ascii="Calibri" w:hAnsi="Calibri" w:cs="Calibri"/>
          <w:bCs/>
          <w:sz w:val="20"/>
          <w:szCs w:val="20"/>
        </w:rPr>
        <w:t xml:space="preserve"> no c</w:t>
      </w:r>
      <w:r w:rsidR="00963615">
        <w:rPr>
          <w:rFonts w:ascii="Calibri" w:hAnsi="Calibri" w:cs="Calibri"/>
          <w:bCs/>
          <w:sz w:val="20"/>
          <w:szCs w:val="20"/>
        </w:rPr>
        <w:t>onclusion could be made for this</w:t>
      </w:r>
      <w:r>
        <w:rPr>
          <w:rFonts w:ascii="Calibri" w:hAnsi="Calibri" w:cs="Calibri"/>
          <w:bCs/>
          <w:sz w:val="20"/>
          <w:szCs w:val="20"/>
        </w:rPr>
        <w:t xml:space="preserve"> Alt2 as no issue to be applied for inter-donor full-migration. </w:t>
      </w:r>
      <w:r w:rsidRPr="007F098E">
        <w:rPr>
          <w:rFonts w:ascii="Calibri" w:hAnsi="Calibri" w:cs="Calibri"/>
          <w:bCs/>
          <w:sz w:val="20"/>
          <w:szCs w:val="20"/>
        </w:rPr>
        <w:t xml:space="preserve"> </w:t>
      </w:r>
    </w:p>
    <w:p w14:paraId="4B5CBA1E" w14:textId="63DFEDD9" w:rsidR="00781F52" w:rsidRDefault="00781F52" w:rsidP="00781F52">
      <w:pPr>
        <w:pStyle w:val="1"/>
        <w:rPr>
          <w:rFonts w:cs="Arial"/>
          <w:lang w:eastAsia="zh-CN"/>
        </w:rPr>
      </w:pPr>
      <w:r>
        <w:rPr>
          <w:rFonts w:cs="Arial"/>
          <w:lang w:eastAsia="zh-CN"/>
        </w:rPr>
        <w:t xml:space="preserve">Conclusion   </w:t>
      </w:r>
    </w:p>
    <w:p w14:paraId="55835787" w14:textId="684FBE89" w:rsidR="00552F9D" w:rsidRPr="00E81B9C" w:rsidRDefault="007F098E" w:rsidP="006C61CE">
      <w:pPr>
        <w:rPr>
          <w:sz w:val="20"/>
          <w:szCs w:val="20"/>
          <w:lang w:val="en-GB"/>
        </w:rPr>
      </w:pPr>
      <w:r>
        <w:rPr>
          <w:rFonts w:hint="eastAsia"/>
          <w:sz w:val="20"/>
          <w:szCs w:val="20"/>
          <w:lang w:val="en-GB"/>
        </w:rPr>
        <w:t>A</w:t>
      </w:r>
      <w:r>
        <w:rPr>
          <w:sz w:val="20"/>
          <w:szCs w:val="20"/>
          <w:lang w:val="en-GB"/>
        </w:rPr>
        <w:t>ccording to our analysis, at least RAN4 can reply to RAN3 to confirm the possibility to support full migration with Alt1</w:t>
      </w:r>
      <w:r w:rsidR="001637F8">
        <w:rPr>
          <w:sz w:val="20"/>
          <w:szCs w:val="20"/>
          <w:lang w:val="en-GB"/>
        </w:rPr>
        <w:t xml:space="preserve"> from RAN4 perspective</w:t>
      </w:r>
      <w:r>
        <w:rPr>
          <w:sz w:val="20"/>
          <w:szCs w:val="20"/>
          <w:lang w:val="en-GB"/>
        </w:rPr>
        <w:t xml:space="preserve">.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6DDE1BCD" w14:textId="175258E3" w:rsidR="007B41E7" w:rsidRDefault="005F1418" w:rsidP="007B41E7">
      <w:pPr>
        <w:rPr>
          <w:szCs w:val="21"/>
        </w:rPr>
      </w:pPr>
      <w:r>
        <w:rPr>
          <w:rFonts w:ascii="Calibri" w:hAnsi="Calibri" w:cs="Calibri"/>
          <w:iCs/>
          <w:szCs w:val="21"/>
        </w:rPr>
        <w:t>[1]</w:t>
      </w:r>
      <w:r w:rsidR="00A70B6C">
        <w:rPr>
          <w:szCs w:val="21"/>
        </w:rPr>
        <w:t xml:space="preserve"> </w:t>
      </w:r>
      <w:r w:rsidR="00750155" w:rsidRPr="005606CF">
        <w:rPr>
          <w:rFonts w:eastAsia="宋体" w:cstheme="minorHAnsi"/>
          <w:sz w:val="20"/>
          <w:szCs w:val="20"/>
          <w:lang w:eastAsia="ja-JP"/>
        </w:rPr>
        <w:t>R</w:t>
      </w:r>
      <w:r w:rsidR="00B64DF3">
        <w:rPr>
          <w:rFonts w:eastAsia="宋体" w:cstheme="minorHAnsi"/>
          <w:sz w:val="20"/>
          <w:szCs w:val="20"/>
          <w:lang w:eastAsia="ja-JP"/>
        </w:rPr>
        <w:t>3-212981</w:t>
      </w:r>
      <w:r w:rsidR="005C14D7">
        <w:rPr>
          <w:rFonts w:eastAsia="宋体" w:cstheme="minorHAnsi"/>
          <w:sz w:val="20"/>
          <w:szCs w:val="20"/>
          <w:lang w:eastAsia="ja-JP"/>
        </w:rPr>
        <w:t>，</w:t>
      </w:r>
      <w:r w:rsidR="00B64DF3">
        <w:rPr>
          <w:rFonts w:eastAsia="宋体" w:cstheme="minorHAnsi" w:hint="eastAsia"/>
          <w:sz w:val="20"/>
          <w:szCs w:val="20"/>
        </w:rPr>
        <w:t>L</w:t>
      </w:r>
      <w:r w:rsidR="00B64DF3">
        <w:rPr>
          <w:sz w:val="20"/>
          <w:szCs w:val="20"/>
        </w:rPr>
        <w:t>S on inter-donor migration</w:t>
      </w:r>
    </w:p>
    <w:p w14:paraId="4CBB0A09" w14:textId="4B493E06" w:rsidR="006C40E6" w:rsidRPr="006C40E6" w:rsidRDefault="006C40E6" w:rsidP="00EA6189">
      <w:pPr>
        <w:rPr>
          <w:szCs w:val="21"/>
        </w:rPr>
      </w:pPr>
    </w:p>
    <w:sectPr w:rsidR="006C40E6" w:rsidRPr="006C40E6"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F3E23" w14:textId="77777777" w:rsidR="00DE79ED" w:rsidRDefault="00DE79ED" w:rsidP="006C170D">
      <w:r>
        <w:separator/>
      </w:r>
    </w:p>
  </w:endnote>
  <w:endnote w:type="continuationSeparator" w:id="0">
    <w:p w14:paraId="36646C86" w14:textId="77777777" w:rsidR="00DE79ED" w:rsidRDefault="00DE79ED"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6B2C5" w14:textId="77777777" w:rsidR="00DE79ED" w:rsidRDefault="00DE79ED" w:rsidP="006C170D">
      <w:r>
        <w:separator/>
      </w:r>
    </w:p>
  </w:footnote>
  <w:footnote w:type="continuationSeparator" w:id="0">
    <w:p w14:paraId="0D70CB9C" w14:textId="77777777" w:rsidR="00DE79ED" w:rsidRDefault="00DE79ED"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02C23A7"/>
    <w:multiLevelType w:val="hybridMultilevel"/>
    <w:tmpl w:val="E2E40226"/>
    <w:lvl w:ilvl="0" w:tplc="1EB8C2EC">
      <w:start w:val="13"/>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15"/>
  </w:num>
  <w:num w:numId="4">
    <w:abstractNumId w:val="7"/>
  </w:num>
  <w:num w:numId="5">
    <w:abstractNumId w:val="8"/>
  </w:num>
  <w:num w:numId="6">
    <w:abstractNumId w:val="13"/>
  </w:num>
  <w:num w:numId="7">
    <w:abstractNumId w:val="12"/>
  </w:num>
  <w:num w:numId="8">
    <w:abstractNumId w:val="5"/>
  </w:num>
  <w:num w:numId="9">
    <w:abstractNumId w:val="14"/>
  </w:num>
  <w:num w:numId="10">
    <w:abstractNumId w:val="1"/>
  </w:num>
  <w:num w:numId="11">
    <w:abstractNumId w:val="0"/>
  </w:num>
  <w:num w:numId="12">
    <w:abstractNumId w:val="6"/>
  </w:num>
  <w:num w:numId="13">
    <w:abstractNumId w:val="2"/>
  </w:num>
  <w:num w:numId="14">
    <w:abstractNumId w:val="6"/>
  </w:num>
  <w:num w:numId="15">
    <w:abstractNumId w:val="2"/>
  </w:num>
  <w:num w:numId="16">
    <w:abstractNumId w:val="11"/>
  </w:num>
  <w:num w:numId="17">
    <w:abstractNumId w:val="9"/>
  </w:num>
  <w:num w:numId="1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BC7"/>
    <w:rsid w:val="00013FDE"/>
    <w:rsid w:val="00020FDD"/>
    <w:rsid w:val="000226EE"/>
    <w:rsid w:val="00022E69"/>
    <w:rsid w:val="00026A0C"/>
    <w:rsid w:val="000356EA"/>
    <w:rsid w:val="000374FB"/>
    <w:rsid w:val="00056B30"/>
    <w:rsid w:val="000639A9"/>
    <w:rsid w:val="00064492"/>
    <w:rsid w:val="000716AF"/>
    <w:rsid w:val="000740B8"/>
    <w:rsid w:val="00075039"/>
    <w:rsid w:val="00081086"/>
    <w:rsid w:val="000B062C"/>
    <w:rsid w:val="000B59F8"/>
    <w:rsid w:val="000B7FE5"/>
    <w:rsid w:val="000C6576"/>
    <w:rsid w:val="000E1986"/>
    <w:rsid w:val="000E71C0"/>
    <w:rsid w:val="000F4059"/>
    <w:rsid w:val="0010013A"/>
    <w:rsid w:val="00113F6C"/>
    <w:rsid w:val="00116146"/>
    <w:rsid w:val="00124E9A"/>
    <w:rsid w:val="00135CDD"/>
    <w:rsid w:val="00137CFD"/>
    <w:rsid w:val="00144530"/>
    <w:rsid w:val="00156FC2"/>
    <w:rsid w:val="0016269A"/>
    <w:rsid w:val="00162A85"/>
    <w:rsid w:val="001637F8"/>
    <w:rsid w:val="001672B7"/>
    <w:rsid w:val="00191EED"/>
    <w:rsid w:val="001931EF"/>
    <w:rsid w:val="001C2F89"/>
    <w:rsid w:val="001C3269"/>
    <w:rsid w:val="001C7D79"/>
    <w:rsid w:val="001E0D2E"/>
    <w:rsid w:val="001E22FB"/>
    <w:rsid w:val="001E2FF0"/>
    <w:rsid w:val="001F08C9"/>
    <w:rsid w:val="001F2FD2"/>
    <w:rsid w:val="001F58DE"/>
    <w:rsid w:val="001F595B"/>
    <w:rsid w:val="00203A69"/>
    <w:rsid w:val="002044AE"/>
    <w:rsid w:val="00216DE6"/>
    <w:rsid w:val="002230D3"/>
    <w:rsid w:val="0023035B"/>
    <w:rsid w:val="00245DF1"/>
    <w:rsid w:val="00250687"/>
    <w:rsid w:val="0025315D"/>
    <w:rsid w:val="00276C66"/>
    <w:rsid w:val="002A04B1"/>
    <w:rsid w:val="002B7ED4"/>
    <w:rsid w:val="002C243D"/>
    <w:rsid w:val="002C40CC"/>
    <w:rsid w:val="002D0FEA"/>
    <w:rsid w:val="002D7F8B"/>
    <w:rsid w:val="002E1038"/>
    <w:rsid w:val="002E1EFE"/>
    <w:rsid w:val="002E210A"/>
    <w:rsid w:val="002F0A75"/>
    <w:rsid w:val="002F0E43"/>
    <w:rsid w:val="002F4DE9"/>
    <w:rsid w:val="00333C86"/>
    <w:rsid w:val="00340E10"/>
    <w:rsid w:val="00353186"/>
    <w:rsid w:val="003704DB"/>
    <w:rsid w:val="0037789C"/>
    <w:rsid w:val="0038791C"/>
    <w:rsid w:val="00390251"/>
    <w:rsid w:val="003928ED"/>
    <w:rsid w:val="00395F41"/>
    <w:rsid w:val="003D197B"/>
    <w:rsid w:val="003D3A8B"/>
    <w:rsid w:val="003D4B96"/>
    <w:rsid w:val="003D5584"/>
    <w:rsid w:val="003F3FD9"/>
    <w:rsid w:val="00403AFC"/>
    <w:rsid w:val="00427987"/>
    <w:rsid w:val="00460858"/>
    <w:rsid w:val="0046481D"/>
    <w:rsid w:val="004648DA"/>
    <w:rsid w:val="00467CB6"/>
    <w:rsid w:val="00471B56"/>
    <w:rsid w:val="00474025"/>
    <w:rsid w:val="004A41FE"/>
    <w:rsid w:val="004A4F47"/>
    <w:rsid w:val="004A4F80"/>
    <w:rsid w:val="004A7CDF"/>
    <w:rsid w:val="004B30F4"/>
    <w:rsid w:val="004B40D6"/>
    <w:rsid w:val="004D6748"/>
    <w:rsid w:val="004E338D"/>
    <w:rsid w:val="004E4598"/>
    <w:rsid w:val="004F16CC"/>
    <w:rsid w:val="00502A45"/>
    <w:rsid w:val="0050306C"/>
    <w:rsid w:val="00516406"/>
    <w:rsid w:val="00524487"/>
    <w:rsid w:val="00527D79"/>
    <w:rsid w:val="0053006D"/>
    <w:rsid w:val="00532C42"/>
    <w:rsid w:val="005361CC"/>
    <w:rsid w:val="00552A72"/>
    <w:rsid w:val="00552F9D"/>
    <w:rsid w:val="00566AD2"/>
    <w:rsid w:val="005766C7"/>
    <w:rsid w:val="0058741D"/>
    <w:rsid w:val="00597495"/>
    <w:rsid w:val="005B42B0"/>
    <w:rsid w:val="005B4331"/>
    <w:rsid w:val="005C14D7"/>
    <w:rsid w:val="005C1B2D"/>
    <w:rsid w:val="005C1F70"/>
    <w:rsid w:val="005C3A74"/>
    <w:rsid w:val="005E52EE"/>
    <w:rsid w:val="005E55F2"/>
    <w:rsid w:val="005F1418"/>
    <w:rsid w:val="005F5C6D"/>
    <w:rsid w:val="0060793E"/>
    <w:rsid w:val="00620326"/>
    <w:rsid w:val="00624BBC"/>
    <w:rsid w:val="00626CF0"/>
    <w:rsid w:val="00632133"/>
    <w:rsid w:val="00633A50"/>
    <w:rsid w:val="0063529B"/>
    <w:rsid w:val="00654A9E"/>
    <w:rsid w:val="0066201A"/>
    <w:rsid w:val="0066418A"/>
    <w:rsid w:val="006732D8"/>
    <w:rsid w:val="0069011F"/>
    <w:rsid w:val="00696B3F"/>
    <w:rsid w:val="006B35D2"/>
    <w:rsid w:val="006C170D"/>
    <w:rsid w:val="006C3751"/>
    <w:rsid w:val="006C40E6"/>
    <w:rsid w:val="006C501A"/>
    <w:rsid w:val="006C61CE"/>
    <w:rsid w:val="006D3C78"/>
    <w:rsid w:val="006F2345"/>
    <w:rsid w:val="00704D67"/>
    <w:rsid w:val="00711A6E"/>
    <w:rsid w:val="0072094A"/>
    <w:rsid w:val="00735219"/>
    <w:rsid w:val="00750155"/>
    <w:rsid w:val="00757381"/>
    <w:rsid w:val="00762F98"/>
    <w:rsid w:val="0077304F"/>
    <w:rsid w:val="00774542"/>
    <w:rsid w:val="00775005"/>
    <w:rsid w:val="00781F52"/>
    <w:rsid w:val="00786393"/>
    <w:rsid w:val="00786C4F"/>
    <w:rsid w:val="007A133A"/>
    <w:rsid w:val="007B41E7"/>
    <w:rsid w:val="007C0FAC"/>
    <w:rsid w:val="007D5A2F"/>
    <w:rsid w:val="007E3A74"/>
    <w:rsid w:val="007F098E"/>
    <w:rsid w:val="007F2CE8"/>
    <w:rsid w:val="008017D8"/>
    <w:rsid w:val="0080333A"/>
    <w:rsid w:val="00805A5C"/>
    <w:rsid w:val="0080710F"/>
    <w:rsid w:val="00811852"/>
    <w:rsid w:val="008149BD"/>
    <w:rsid w:val="0081568D"/>
    <w:rsid w:val="00831E3D"/>
    <w:rsid w:val="00832F12"/>
    <w:rsid w:val="008462AC"/>
    <w:rsid w:val="00853742"/>
    <w:rsid w:val="00867742"/>
    <w:rsid w:val="00880126"/>
    <w:rsid w:val="0088215A"/>
    <w:rsid w:val="00882E64"/>
    <w:rsid w:val="00884208"/>
    <w:rsid w:val="00894ECB"/>
    <w:rsid w:val="008A0E61"/>
    <w:rsid w:val="008A5091"/>
    <w:rsid w:val="008B7A3A"/>
    <w:rsid w:val="008D4FBD"/>
    <w:rsid w:val="008E50F4"/>
    <w:rsid w:val="008F2DA0"/>
    <w:rsid w:val="00901F0D"/>
    <w:rsid w:val="00904EA1"/>
    <w:rsid w:val="009116F1"/>
    <w:rsid w:val="009326A3"/>
    <w:rsid w:val="00942548"/>
    <w:rsid w:val="009512B7"/>
    <w:rsid w:val="009549A7"/>
    <w:rsid w:val="00960C16"/>
    <w:rsid w:val="00963615"/>
    <w:rsid w:val="009676EF"/>
    <w:rsid w:val="009746CF"/>
    <w:rsid w:val="00977F3F"/>
    <w:rsid w:val="0098605C"/>
    <w:rsid w:val="00986839"/>
    <w:rsid w:val="009B09E5"/>
    <w:rsid w:val="009C2147"/>
    <w:rsid w:val="009D1509"/>
    <w:rsid w:val="009E31A4"/>
    <w:rsid w:val="009E5FEE"/>
    <w:rsid w:val="00A04774"/>
    <w:rsid w:val="00A143EC"/>
    <w:rsid w:val="00A1628D"/>
    <w:rsid w:val="00A16814"/>
    <w:rsid w:val="00A2282F"/>
    <w:rsid w:val="00A36CAB"/>
    <w:rsid w:val="00A45137"/>
    <w:rsid w:val="00A46680"/>
    <w:rsid w:val="00A5135D"/>
    <w:rsid w:val="00A61425"/>
    <w:rsid w:val="00A625FC"/>
    <w:rsid w:val="00A63619"/>
    <w:rsid w:val="00A70B6C"/>
    <w:rsid w:val="00A84ED9"/>
    <w:rsid w:val="00AA37A9"/>
    <w:rsid w:val="00AA59F7"/>
    <w:rsid w:val="00AA7B40"/>
    <w:rsid w:val="00AB2105"/>
    <w:rsid w:val="00AB3ECA"/>
    <w:rsid w:val="00AC0590"/>
    <w:rsid w:val="00AC08D9"/>
    <w:rsid w:val="00AC78EA"/>
    <w:rsid w:val="00AE3D05"/>
    <w:rsid w:val="00AF0EC9"/>
    <w:rsid w:val="00AF2856"/>
    <w:rsid w:val="00AF6035"/>
    <w:rsid w:val="00AF61B8"/>
    <w:rsid w:val="00B1000E"/>
    <w:rsid w:val="00B144B1"/>
    <w:rsid w:val="00B20A3D"/>
    <w:rsid w:val="00B24C81"/>
    <w:rsid w:val="00B61817"/>
    <w:rsid w:val="00B61D6D"/>
    <w:rsid w:val="00B64DF3"/>
    <w:rsid w:val="00B64DF9"/>
    <w:rsid w:val="00B67C2C"/>
    <w:rsid w:val="00B7587D"/>
    <w:rsid w:val="00B80751"/>
    <w:rsid w:val="00B918F7"/>
    <w:rsid w:val="00BA04EF"/>
    <w:rsid w:val="00BA5612"/>
    <w:rsid w:val="00BB4AD8"/>
    <w:rsid w:val="00BB67C7"/>
    <w:rsid w:val="00BC04C3"/>
    <w:rsid w:val="00BC23CC"/>
    <w:rsid w:val="00BC6689"/>
    <w:rsid w:val="00BD54C4"/>
    <w:rsid w:val="00BE3120"/>
    <w:rsid w:val="00BF60CD"/>
    <w:rsid w:val="00C01FF2"/>
    <w:rsid w:val="00C04C38"/>
    <w:rsid w:val="00C07605"/>
    <w:rsid w:val="00C10A8B"/>
    <w:rsid w:val="00C113ED"/>
    <w:rsid w:val="00C210AC"/>
    <w:rsid w:val="00C257EF"/>
    <w:rsid w:val="00C405F5"/>
    <w:rsid w:val="00C46A73"/>
    <w:rsid w:val="00C62788"/>
    <w:rsid w:val="00C62AE5"/>
    <w:rsid w:val="00C672F9"/>
    <w:rsid w:val="00C87B9E"/>
    <w:rsid w:val="00CA29CE"/>
    <w:rsid w:val="00CB3A45"/>
    <w:rsid w:val="00CB5566"/>
    <w:rsid w:val="00CC53B3"/>
    <w:rsid w:val="00CD2EC8"/>
    <w:rsid w:val="00CD5680"/>
    <w:rsid w:val="00CD5855"/>
    <w:rsid w:val="00CF6307"/>
    <w:rsid w:val="00D0149E"/>
    <w:rsid w:val="00D01F05"/>
    <w:rsid w:val="00D07329"/>
    <w:rsid w:val="00D12F26"/>
    <w:rsid w:val="00D1536C"/>
    <w:rsid w:val="00D1727C"/>
    <w:rsid w:val="00D345FF"/>
    <w:rsid w:val="00D356AE"/>
    <w:rsid w:val="00D414DC"/>
    <w:rsid w:val="00D4401A"/>
    <w:rsid w:val="00D452C3"/>
    <w:rsid w:val="00D61410"/>
    <w:rsid w:val="00D63006"/>
    <w:rsid w:val="00D630B4"/>
    <w:rsid w:val="00D74429"/>
    <w:rsid w:val="00DA01DE"/>
    <w:rsid w:val="00DA0838"/>
    <w:rsid w:val="00DA0FF8"/>
    <w:rsid w:val="00DB37EC"/>
    <w:rsid w:val="00DC0964"/>
    <w:rsid w:val="00DD49B2"/>
    <w:rsid w:val="00DE2561"/>
    <w:rsid w:val="00DE79ED"/>
    <w:rsid w:val="00DF143E"/>
    <w:rsid w:val="00DF2A11"/>
    <w:rsid w:val="00E01761"/>
    <w:rsid w:val="00E10EE5"/>
    <w:rsid w:val="00E13B5F"/>
    <w:rsid w:val="00E21802"/>
    <w:rsid w:val="00E25D0F"/>
    <w:rsid w:val="00E400E9"/>
    <w:rsid w:val="00E455E3"/>
    <w:rsid w:val="00E538F6"/>
    <w:rsid w:val="00E54A06"/>
    <w:rsid w:val="00E554F6"/>
    <w:rsid w:val="00E56134"/>
    <w:rsid w:val="00E62F14"/>
    <w:rsid w:val="00E74E2E"/>
    <w:rsid w:val="00E7721F"/>
    <w:rsid w:val="00E81B9C"/>
    <w:rsid w:val="00E951AB"/>
    <w:rsid w:val="00EA6189"/>
    <w:rsid w:val="00EC0528"/>
    <w:rsid w:val="00EC1A50"/>
    <w:rsid w:val="00EC341A"/>
    <w:rsid w:val="00EC341F"/>
    <w:rsid w:val="00ED09CE"/>
    <w:rsid w:val="00ED4243"/>
    <w:rsid w:val="00ED7224"/>
    <w:rsid w:val="00EE0FFD"/>
    <w:rsid w:val="00EF0B8A"/>
    <w:rsid w:val="00F009E9"/>
    <w:rsid w:val="00F011DD"/>
    <w:rsid w:val="00F03AD1"/>
    <w:rsid w:val="00F06B62"/>
    <w:rsid w:val="00F21189"/>
    <w:rsid w:val="00F2616E"/>
    <w:rsid w:val="00F30AD0"/>
    <w:rsid w:val="00F57B61"/>
    <w:rsid w:val="00F6164C"/>
    <w:rsid w:val="00F75311"/>
    <w:rsid w:val="00F84C85"/>
    <w:rsid w:val="00FA2AB5"/>
    <w:rsid w:val="00FA5E95"/>
    <w:rsid w:val="00FB2F05"/>
    <w:rsid w:val="00FC3F70"/>
    <w:rsid w:val="00FC46A1"/>
    <w:rsid w:val="00FC56C0"/>
    <w:rsid w:val="00FD59A1"/>
    <w:rsid w:val="00FD6704"/>
    <w:rsid w:val="00FE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B1E9F8CF-DCE5-447B-A919-A5EC2F62E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587</Words>
  <Characters>3352</Characters>
  <Application>Microsoft Office Word</Application>
  <DocSecurity>0</DocSecurity>
  <Lines>27</Lines>
  <Paragraphs>7</Paragraphs>
  <ScaleCrop>false</ScaleCrop>
  <Company/>
  <LinksUpToDate>false</LinksUpToDate>
  <CharactersWithSpaces>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2021-08-06T08:24:00Z</dcterms:created>
  <dcterms:modified xsi:type="dcterms:W3CDTF">2021-08-06T08:25:00Z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