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7C105A"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7C105A">
        <w:rPr>
          <w:rFonts w:ascii="Arial" w:hAnsi="Arial" w:cs="Arial"/>
          <w:b/>
          <w:sz w:val="24"/>
          <w:szCs w:val="24"/>
        </w:rPr>
        <w:t>100-</w:t>
      </w:r>
      <w:r w:rsidR="00A43149" w:rsidRPr="00277FAB">
        <w:rPr>
          <w:rFonts w:ascii="Arial" w:hAnsi="Arial" w:cs="Arial"/>
          <w:b/>
          <w:sz w:val="24"/>
          <w:szCs w:val="24"/>
        </w:rPr>
        <w:t>e</w:t>
      </w:r>
      <w:r w:rsidRPr="00F644CF">
        <w:rPr>
          <w:rFonts w:ascii="Arial" w:hAnsi="Arial" w:cs="Arial"/>
          <w:b/>
          <w:sz w:val="24"/>
          <w:szCs w:val="24"/>
        </w:rPr>
        <w:tab/>
        <w:t>R4-</w:t>
      </w:r>
      <w:r w:rsidR="00A21E59" w:rsidRPr="00A21E59">
        <w:t xml:space="preserve"> </w:t>
      </w:r>
      <w:r w:rsidR="00A21E59" w:rsidRPr="00A21E59">
        <w:rPr>
          <w:rFonts w:ascii="Arial" w:hAnsi="Arial" w:cs="Arial"/>
          <w:b/>
          <w:sz w:val="24"/>
          <w:szCs w:val="24"/>
        </w:rPr>
        <w:t>2112680</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7C105A">
        <w:rPr>
          <w:rFonts w:ascii="Arial" w:eastAsia="SimSun" w:hAnsi="Arial"/>
          <w:b/>
          <w:sz w:val="24"/>
          <w:szCs w:val="24"/>
          <w:lang w:eastAsia="zh-CN"/>
        </w:rPr>
        <w:t>16</w:t>
      </w:r>
      <w:r w:rsidR="00585052">
        <w:rPr>
          <w:rFonts w:ascii="Arial" w:eastAsia="SimSun" w:hAnsi="Arial"/>
          <w:b/>
          <w:sz w:val="24"/>
          <w:szCs w:val="24"/>
          <w:lang w:eastAsia="zh-CN"/>
        </w:rPr>
        <w:t xml:space="preserve"> – </w:t>
      </w:r>
      <w:r w:rsidR="00283E4A" w:rsidRPr="00283E4A">
        <w:rPr>
          <w:rFonts w:ascii="Arial" w:eastAsia="SimSun" w:hAnsi="Arial"/>
          <w:b/>
          <w:sz w:val="24"/>
          <w:szCs w:val="24"/>
          <w:lang w:eastAsia="zh-CN"/>
        </w:rPr>
        <w:t>2</w:t>
      </w:r>
      <w:r w:rsidR="00585052">
        <w:rPr>
          <w:rFonts w:ascii="Arial" w:eastAsia="SimSun" w:hAnsi="Arial"/>
          <w:b/>
          <w:sz w:val="24"/>
          <w:szCs w:val="24"/>
          <w:lang w:eastAsia="zh-CN"/>
        </w:rPr>
        <w:t xml:space="preserve">7 </w:t>
      </w:r>
      <w:r w:rsidR="00ED5575">
        <w:rPr>
          <w:rFonts w:ascii="Arial" w:eastAsia="SimSun" w:hAnsi="Arial"/>
          <w:b/>
          <w:sz w:val="24"/>
          <w:szCs w:val="24"/>
          <w:lang w:eastAsia="zh-CN"/>
        </w:rPr>
        <w:t>August</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A554A6">
        <w:rPr>
          <w:rFonts w:ascii="Arial" w:hAnsi="Arial" w:cs="Arial"/>
          <w:lang w:val="en-US" w:eastAsia="ko-KR"/>
        </w:rPr>
        <w:t>mobility related measurement</w:t>
      </w:r>
      <w:r w:rsidR="00C352FA">
        <w:rPr>
          <w:rFonts w:ascii="Arial" w:hAnsi="Arial" w:cs="Arial" w:hint="eastAsia"/>
          <w:lang w:val="en-US" w:eastAsia="ko-KR"/>
        </w:rPr>
        <w:t xml:space="preserve"> for</w:t>
      </w:r>
      <w:r w:rsidR="00C352FA">
        <w:rPr>
          <w:rFonts w:ascii="Arial" w:hAnsi="Arial" w:cs="Arial"/>
          <w:lang w:val="en-US" w:eastAsia="ko-KR"/>
        </w:rPr>
        <w:t xml:space="preserve"> NR</w:t>
      </w:r>
      <w:r w:rsidR="00C352FA">
        <w:rPr>
          <w:rFonts w:ascii="Arial" w:hAnsi="Arial" w:cs="Arial" w:hint="eastAsia"/>
          <w:lang w:val="en-US" w:eastAsia="ko-KR"/>
        </w:rPr>
        <w:t xml:space="preserve"> NTN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B6500">
        <w:rPr>
          <w:rFonts w:ascii="Arial" w:hAnsi="Arial" w:cs="Arial"/>
          <w:lang w:val="en-US" w:eastAsia="ko-KR"/>
        </w:rPr>
        <w:t>9.13.5.3</w:t>
      </w:r>
      <w:bookmarkStart w:id="0" w:name="_GoBack"/>
      <w:bookmarkEnd w:id="0"/>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Pr="0078505A" w:rsidRDefault="00CB4799" w:rsidP="00662107">
      <w:pPr>
        <w:pStyle w:val="a0"/>
        <w:jc w:val="both"/>
        <w:rPr>
          <w:lang w:val="en-US" w:eastAsia="ko-KR"/>
        </w:rPr>
      </w:pPr>
      <w:r>
        <w:rPr>
          <w:lang w:val="en-US" w:eastAsia="ko-KR"/>
        </w:rPr>
        <w:t xml:space="preserve">In the last RAN4 meeting, </w:t>
      </w:r>
      <w:r w:rsidR="0078505A">
        <w:rPr>
          <w:lang w:val="en-US" w:eastAsia="ko-KR"/>
        </w:rPr>
        <w:t xml:space="preserve">mobility-related measurements for NR NTN were discussed, but most issues were FFS </w:t>
      </w:r>
      <w:r w:rsidR="00620A1F">
        <w:rPr>
          <w:lang w:val="en-US" w:eastAsia="ko-KR"/>
        </w:rPr>
        <w:t>since</w:t>
      </w:r>
      <w:r w:rsidR="0078505A">
        <w:rPr>
          <w:lang w:val="en-US" w:eastAsia="ko-KR"/>
        </w:rPr>
        <w:t xml:space="preserve"> other WG</w:t>
      </w:r>
      <w:r w:rsidR="00620A1F">
        <w:rPr>
          <w:lang w:val="en-US" w:eastAsia="ko-KR"/>
        </w:rPr>
        <w:t>s’</w:t>
      </w:r>
      <w:r w:rsidR="0078505A">
        <w:rPr>
          <w:lang w:val="en-US" w:eastAsia="ko-KR"/>
        </w:rPr>
        <w:t xml:space="preserve"> decision</w:t>
      </w:r>
      <w:r w:rsidR="00620A1F">
        <w:rPr>
          <w:lang w:val="en-US" w:eastAsia="ko-KR"/>
        </w:rPr>
        <w:t>s are needed</w:t>
      </w:r>
      <w:r w:rsidR="0078505A">
        <w:rPr>
          <w:lang w:val="en-US" w:eastAsia="ko-KR"/>
        </w:rPr>
        <w:t>. In this contribution, we provide our views on the mobility-related measurement requirements.</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47279E" w:rsidRPr="0047279E" w:rsidRDefault="00F76714" w:rsidP="0047279E">
      <w:pPr>
        <w:pStyle w:val="a0"/>
        <w:rPr>
          <w:b/>
          <w:u w:val="single"/>
          <w:lang w:val="en-US" w:eastAsia="ko-KR"/>
        </w:rPr>
      </w:pPr>
      <w:r>
        <w:rPr>
          <w:rFonts w:hint="eastAsia"/>
          <w:b/>
          <w:u w:val="single"/>
          <w:lang w:val="en-US" w:eastAsia="ko-KR"/>
        </w:rPr>
        <w:t>Cell reselection</w:t>
      </w:r>
    </w:p>
    <w:p w:rsidR="0047279E" w:rsidRDefault="00072735" w:rsidP="0047279E">
      <w:pPr>
        <w:pStyle w:val="a0"/>
        <w:rPr>
          <w:lang w:val="en-US" w:eastAsia="ko-KR"/>
        </w:rPr>
      </w:pPr>
      <w:r>
        <w:rPr>
          <w:rFonts w:hint="eastAsia"/>
          <w:lang w:val="en-US" w:eastAsia="ko-KR"/>
        </w:rPr>
        <w:t xml:space="preserve">In RAN2#114-e meeting, </w:t>
      </w:r>
      <w:r>
        <w:rPr>
          <w:lang w:val="en-US" w:eastAsia="ko-KR"/>
        </w:rPr>
        <w:t>following</w:t>
      </w:r>
      <w:r>
        <w:rPr>
          <w:rFonts w:hint="eastAsia"/>
          <w:lang w:val="en-US" w:eastAsia="ko-KR"/>
        </w:rPr>
        <w:t xml:space="preserve"> </w:t>
      </w:r>
      <w:r>
        <w:rPr>
          <w:lang w:val="en-US" w:eastAsia="ko-KR"/>
        </w:rPr>
        <w:t>agreements for IDLE/INACTIVE state were made</w:t>
      </w:r>
      <w:r w:rsidR="00F76714">
        <w:rPr>
          <w:lang w:val="en-US" w:eastAsia="ko-KR"/>
        </w:rPr>
        <w:t>.</w:t>
      </w:r>
    </w:p>
    <w:tbl>
      <w:tblPr>
        <w:tblStyle w:val="a9"/>
        <w:tblW w:w="0" w:type="auto"/>
        <w:tblLook w:val="04A0" w:firstRow="1" w:lastRow="0" w:firstColumn="1" w:lastColumn="0" w:noHBand="0" w:noVBand="1"/>
      </w:tblPr>
      <w:tblGrid>
        <w:gridCol w:w="9855"/>
      </w:tblGrid>
      <w:tr w:rsidR="00F76714" w:rsidTr="00F76714">
        <w:tc>
          <w:tcPr>
            <w:tcW w:w="9855" w:type="dxa"/>
          </w:tcPr>
          <w:p w:rsidR="00F76714" w:rsidRDefault="00F76714" w:rsidP="00F76714">
            <w:pPr>
              <w:pStyle w:val="a0"/>
              <w:numPr>
                <w:ilvl w:val="0"/>
                <w:numId w:val="36"/>
              </w:numPr>
              <w:ind w:left="313" w:hanging="284"/>
              <w:rPr>
                <w:lang w:eastAsia="ko-KR"/>
              </w:rPr>
            </w:pPr>
            <w:r>
              <w:rPr>
                <w:lang w:eastAsia="ko-KR"/>
              </w:rPr>
              <w:t>At least in the quasi-earth fixed case (FFS for moving case), the timing information on when a cell is going to stop serving the area is needed to assist cell reselection in NTN for earth fixed scenario.</w:t>
            </w:r>
          </w:p>
          <w:p w:rsidR="00F76714" w:rsidRDefault="00F76714" w:rsidP="00F76714">
            <w:pPr>
              <w:pStyle w:val="a0"/>
              <w:numPr>
                <w:ilvl w:val="0"/>
                <w:numId w:val="36"/>
              </w:numPr>
              <w:ind w:left="313" w:hanging="284"/>
              <w:rPr>
                <w:lang w:eastAsia="ko-KR"/>
              </w:rPr>
            </w:pPr>
            <w:r>
              <w:rPr>
                <w:lang w:eastAsia="ko-KR"/>
              </w:rPr>
              <w:t>At least in the quasi-earth fixed case (FFS for moving case), the timing information on when a cell is going to stop serving the area is used to decide when to perform measurement on neighbor cells.</w:t>
            </w:r>
          </w:p>
          <w:p w:rsidR="00F76714" w:rsidRPr="00F76714" w:rsidRDefault="00F76714" w:rsidP="00F76714">
            <w:pPr>
              <w:pStyle w:val="a0"/>
              <w:numPr>
                <w:ilvl w:val="0"/>
                <w:numId w:val="36"/>
              </w:numPr>
              <w:ind w:left="313" w:hanging="284"/>
              <w:rPr>
                <w:lang w:eastAsia="ko-KR"/>
              </w:rPr>
            </w:pPr>
            <w:r>
              <w:rPr>
                <w:lang w:eastAsia="ko-KR"/>
              </w:rPr>
              <w:t>At least in the quasi-earth fixed case (FFS for moving case), the timing information on when a cell is going to stop serving the area for earth fixed scenario is broadcast to UE via system information.</w:t>
            </w:r>
          </w:p>
        </w:tc>
      </w:tr>
    </w:tbl>
    <w:p w:rsidR="0047279E" w:rsidRDefault="0047279E" w:rsidP="0047279E">
      <w:pPr>
        <w:pStyle w:val="a0"/>
        <w:rPr>
          <w:lang w:val="en-US" w:eastAsia="ko-KR"/>
        </w:rPr>
      </w:pPr>
    </w:p>
    <w:p w:rsidR="009555B2" w:rsidRDefault="006C0DB3" w:rsidP="00113BEF">
      <w:pPr>
        <w:pStyle w:val="a0"/>
        <w:tabs>
          <w:tab w:val="left" w:pos="560"/>
        </w:tabs>
        <w:jc w:val="both"/>
        <w:rPr>
          <w:lang w:val="en-US" w:eastAsia="ko-KR"/>
        </w:rPr>
      </w:pPr>
      <w:r>
        <w:rPr>
          <w:lang w:val="en-US" w:eastAsia="ko-KR"/>
        </w:rPr>
        <w:t xml:space="preserve">Based on RAN2 agreements, the timing information on when a cell is going to stop serving the area is broadcast to assist cell reselection and neighbor cell measurements. In other words, a network indicates to UEs the service time for a cell. </w:t>
      </w:r>
      <w:r w:rsidR="009555B2">
        <w:rPr>
          <w:rFonts w:hint="eastAsia"/>
          <w:lang w:val="en-US" w:eastAsia="ko-KR"/>
        </w:rPr>
        <w:t xml:space="preserve">In </w:t>
      </w:r>
      <w:r w:rsidR="00620A1F">
        <w:rPr>
          <w:lang w:val="en-US" w:eastAsia="ko-KR"/>
        </w:rPr>
        <w:t xml:space="preserve">the </w:t>
      </w:r>
      <w:r w:rsidR="009555B2">
        <w:rPr>
          <w:rFonts w:hint="eastAsia"/>
          <w:lang w:val="en-US" w:eastAsia="ko-KR"/>
        </w:rPr>
        <w:t xml:space="preserve">NTN environment, signal quality </w:t>
      </w:r>
      <w:r w:rsidR="009555B2">
        <w:rPr>
          <w:lang w:val="en-US" w:eastAsia="ko-KR"/>
        </w:rPr>
        <w:t xml:space="preserve">(e.g., RSRP, RSRQ) </w:t>
      </w:r>
      <w:r w:rsidR="009555B2">
        <w:rPr>
          <w:rFonts w:hint="eastAsia"/>
          <w:lang w:val="en-US" w:eastAsia="ko-KR"/>
        </w:rPr>
        <w:t xml:space="preserve">of </w:t>
      </w:r>
      <w:r w:rsidR="009555B2">
        <w:rPr>
          <w:lang w:val="en-US" w:eastAsia="ko-KR"/>
        </w:rPr>
        <w:t>cell area is almost flat, so additional condition based on cell service time for intra-frequency</w:t>
      </w:r>
      <w:r w:rsidR="002243D3">
        <w:rPr>
          <w:lang w:val="en-US" w:eastAsia="ko-KR"/>
        </w:rPr>
        <w:t xml:space="preserve"> and </w:t>
      </w:r>
      <w:r w:rsidR="009555B2">
        <w:rPr>
          <w:lang w:val="en-US" w:eastAsia="ko-KR"/>
        </w:rPr>
        <w:t xml:space="preserve">inter-frequency measurements should be defined in TS38.133. </w:t>
      </w:r>
      <w:r w:rsidR="00113BEF">
        <w:rPr>
          <w:lang w:val="en-US" w:eastAsia="ko-KR"/>
        </w:rPr>
        <w:t>The measurement requirements of intra-frequency and inter-frequency for cell reselection</w:t>
      </w:r>
      <w:r w:rsidR="002243D3">
        <w:rPr>
          <w:rFonts w:hint="eastAsia"/>
          <w:lang w:val="en-US" w:eastAsia="ko-KR"/>
        </w:rPr>
        <w:t xml:space="preserve"> can </w:t>
      </w:r>
      <w:r w:rsidR="001E0423">
        <w:rPr>
          <w:lang w:val="en-US" w:eastAsia="ko-KR"/>
        </w:rPr>
        <w:t xml:space="preserve">be </w:t>
      </w:r>
      <w:r w:rsidR="002243D3">
        <w:rPr>
          <w:rFonts w:hint="eastAsia"/>
          <w:lang w:val="en-US" w:eastAsia="ko-KR"/>
        </w:rPr>
        <w:t>r</w:t>
      </w:r>
      <w:r w:rsidR="00113BEF">
        <w:rPr>
          <w:lang w:val="en-US" w:eastAsia="ko-KR"/>
        </w:rPr>
        <w:t xml:space="preserve">eused for NTN cell reselection. </w:t>
      </w:r>
      <w:r w:rsidR="001E0423">
        <w:rPr>
          <w:lang w:val="en-US" w:eastAsia="ko-KR"/>
        </w:rPr>
        <w:t>However,</w:t>
      </w:r>
      <w:r w:rsidR="003D179C">
        <w:rPr>
          <w:lang w:val="en-US" w:eastAsia="ko-KR"/>
        </w:rPr>
        <w:t xml:space="preserve"> </w:t>
      </w:r>
      <w:r w:rsidR="001E0423">
        <w:rPr>
          <w:lang w:val="en-US" w:eastAsia="ko-KR"/>
        </w:rPr>
        <w:t xml:space="preserve">neighbor cell measurement </w:t>
      </w:r>
      <w:r w:rsidR="003D179C">
        <w:rPr>
          <w:lang w:val="en-US" w:eastAsia="ko-KR"/>
        </w:rPr>
        <w:t xml:space="preserve">triggering based on cell service time in consideration of the RAN2 agreements </w:t>
      </w:r>
      <w:r w:rsidR="001E0423">
        <w:rPr>
          <w:lang w:val="en-US" w:eastAsia="ko-KR"/>
        </w:rPr>
        <w:t>should be</w:t>
      </w:r>
      <w:r w:rsidR="003D179C">
        <w:rPr>
          <w:lang w:val="en-US" w:eastAsia="ko-KR"/>
        </w:rPr>
        <w:t xml:space="preserve"> defined</w:t>
      </w:r>
      <w:r w:rsidR="001E0423">
        <w:rPr>
          <w:lang w:val="en-US" w:eastAsia="ko-KR"/>
        </w:rPr>
        <w:t xml:space="preserve">. For example, the measurement is performed when the cell service time remains by X seconds. </w:t>
      </w:r>
    </w:p>
    <w:p w:rsidR="001E0423" w:rsidRDefault="001E0423" w:rsidP="001E0423">
      <w:pPr>
        <w:pStyle w:val="ad"/>
        <w:numPr>
          <w:ilvl w:val="0"/>
          <w:numId w:val="39"/>
        </w:numPr>
        <w:spacing w:line="276" w:lineRule="auto"/>
        <w:ind w:leftChars="0"/>
        <w:jc w:val="both"/>
        <w:rPr>
          <w:lang w:val="en-US" w:eastAsia="ko-KR"/>
        </w:rPr>
      </w:pPr>
      <w:r w:rsidRPr="00C00756">
        <w:rPr>
          <w:rFonts w:hint="eastAsia"/>
          <w:b/>
          <w:i/>
          <w:lang w:val="en-US" w:eastAsia="ko-KR"/>
        </w:rPr>
        <w:t>Proposal 1</w:t>
      </w:r>
      <w:r w:rsidRPr="001E0423">
        <w:rPr>
          <w:rFonts w:hint="eastAsia"/>
          <w:lang w:val="en-US" w:eastAsia="ko-KR"/>
        </w:rPr>
        <w:t xml:space="preserve">: </w:t>
      </w:r>
      <w:r>
        <w:rPr>
          <w:lang w:val="en-US" w:eastAsia="ko-KR"/>
        </w:rPr>
        <w:t xml:space="preserve">Reuse measurement requirements </w:t>
      </w:r>
      <w:r w:rsidR="00C00756">
        <w:rPr>
          <w:lang w:val="en-US" w:eastAsia="ko-KR"/>
        </w:rPr>
        <w:t>for cell reselection of TN for NTN cell reselection.</w:t>
      </w:r>
    </w:p>
    <w:p w:rsidR="00C00756" w:rsidRPr="001E0423" w:rsidRDefault="00C00756" w:rsidP="001E0423">
      <w:pPr>
        <w:pStyle w:val="ad"/>
        <w:numPr>
          <w:ilvl w:val="0"/>
          <w:numId w:val="39"/>
        </w:numPr>
        <w:spacing w:line="276" w:lineRule="auto"/>
        <w:ind w:leftChars="0"/>
        <w:jc w:val="both"/>
        <w:rPr>
          <w:lang w:val="en-US" w:eastAsia="ko-KR"/>
        </w:rPr>
      </w:pPr>
      <w:r>
        <w:rPr>
          <w:b/>
          <w:i/>
          <w:lang w:val="en-US" w:eastAsia="ko-KR"/>
        </w:rPr>
        <w:t>Proposal 2</w:t>
      </w:r>
      <w:r w:rsidRPr="00C00756">
        <w:rPr>
          <w:lang w:val="en-US" w:eastAsia="ko-KR"/>
        </w:rPr>
        <w:t>:</w:t>
      </w:r>
      <w:r>
        <w:rPr>
          <w:lang w:val="en-US" w:eastAsia="ko-KR"/>
        </w:rPr>
        <w:t xml:space="preserve"> </w:t>
      </w:r>
      <w:r w:rsidR="005A411B">
        <w:rPr>
          <w:lang w:val="en-US" w:eastAsia="ko-KR"/>
        </w:rPr>
        <w:t xml:space="preserve">Add </w:t>
      </w:r>
      <w:r>
        <w:rPr>
          <w:lang w:val="en-US" w:eastAsia="ko-KR"/>
        </w:rPr>
        <w:t xml:space="preserve">neighbor cell measurement </w:t>
      </w:r>
      <w:r w:rsidR="005A411B">
        <w:rPr>
          <w:lang w:val="en-US" w:eastAsia="ko-KR"/>
        </w:rPr>
        <w:t xml:space="preserve">trigger condition based on cell service </w:t>
      </w:r>
      <w:r w:rsidR="005A411B" w:rsidRPr="00ED5575">
        <w:rPr>
          <w:lang w:val="en-US" w:eastAsia="ko-KR"/>
        </w:rPr>
        <w:t>time</w:t>
      </w:r>
      <w:r w:rsidR="000E10C7" w:rsidRPr="00ED5575">
        <w:rPr>
          <w:lang w:val="en-US" w:eastAsia="ko-KR"/>
        </w:rPr>
        <w:t xml:space="preserve"> in RRM requirements</w:t>
      </w:r>
      <w:r w:rsidR="005A411B">
        <w:rPr>
          <w:lang w:val="en-US" w:eastAsia="ko-KR"/>
        </w:rPr>
        <w:t>.</w:t>
      </w:r>
    </w:p>
    <w:p w:rsidR="001E0423" w:rsidRPr="001E0423" w:rsidRDefault="001E0423" w:rsidP="00C352FA">
      <w:pPr>
        <w:spacing w:line="276" w:lineRule="auto"/>
        <w:jc w:val="both"/>
        <w:rPr>
          <w:lang w:val="en-US" w:eastAsia="ko-KR"/>
        </w:rPr>
      </w:pPr>
    </w:p>
    <w:p w:rsidR="001E0423" w:rsidRDefault="00C00756" w:rsidP="00C352FA">
      <w:pPr>
        <w:spacing w:line="276" w:lineRule="auto"/>
        <w:jc w:val="both"/>
        <w:rPr>
          <w:lang w:val="en-US" w:eastAsia="ko-KR"/>
        </w:rPr>
      </w:pPr>
      <w:r>
        <w:rPr>
          <w:lang w:val="en-US" w:eastAsia="ko-KR"/>
        </w:rPr>
        <w:t>B</w:t>
      </w:r>
      <w:r>
        <w:rPr>
          <w:rFonts w:hint="eastAsia"/>
          <w:lang w:val="en-US" w:eastAsia="ko-KR"/>
        </w:rPr>
        <w:t xml:space="preserve">ased </w:t>
      </w:r>
      <w:r>
        <w:rPr>
          <w:lang w:val="en-US" w:eastAsia="ko-KR"/>
        </w:rPr>
        <w:t>on the proposal 2, using the cell service time information, measurement relaxation could be considered for power saving. To define measurement relaxation, RAN2 should be involved for the detail</w:t>
      </w:r>
      <w:r w:rsidR="00620A1F">
        <w:rPr>
          <w:lang w:val="en-US" w:eastAsia="ko-KR"/>
        </w:rPr>
        <w:t>ed</w:t>
      </w:r>
      <w:r>
        <w:rPr>
          <w:lang w:val="en-US" w:eastAsia="ko-KR"/>
        </w:rPr>
        <w:t xml:space="preserve"> procedure. If RAN4 has consensus to define measurement relaxation, RAN4 can send the LS to RAN2 for the </w:t>
      </w:r>
      <w:r w:rsidR="00FB5993">
        <w:rPr>
          <w:lang w:val="en-US" w:eastAsia="ko-KR"/>
        </w:rPr>
        <w:t>issue.</w:t>
      </w:r>
    </w:p>
    <w:p w:rsidR="00FB5993" w:rsidRPr="00FB5993" w:rsidRDefault="00FB5993" w:rsidP="00FB5993">
      <w:pPr>
        <w:pStyle w:val="ad"/>
        <w:numPr>
          <w:ilvl w:val="0"/>
          <w:numId w:val="39"/>
        </w:numPr>
        <w:spacing w:line="276" w:lineRule="auto"/>
        <w:ind w:leftChars="0"/>
        <w:jc w:val="both"/>
        <w:rPr>
          <w:lang w:val="en-US" w:eastAsia="ko-KR"/>
        </w:rPr>
      </w:pPr>
      <w:r w:rsidRPr="00FB5993">
        <w:rPr>
          <w:rFonts w:hint="eastAsia"/>
          <w:b/>
          <w:i/>
          <w:lang w:val="en-US" w:eastAsia="ko-KR"/>
        </w:rPr>
        <w:t>Proposal 3</w:t>
      </w:r>
      <w:r>
        <w:rPr>
          <w:rFonts w:hint="eastAsia"/>
          <w:lang w:val="en-US" w:eastAsia="ko-KR"/>
        </w:rPr>
        <w:t>: Consider measurement relaxation based on cell service time information.</w:t>
      </w:r>
    </w:p>
    <w:p w:rsidR="00C00756" w:rsidRDefault="00C00756" w:rsidP="00C352FA">
      <w:pPr>
        <w:spacing w:line="276" w:lineRule="auto"/>
        <w:jc w:val="both"/>
        <w:rPr>
          <w:lang w:val="en-US" w:eastAsia="ko-KR"/>
        </w:rPr>
      </w:pPr>
    </w:p>
    <w:p w:rsidR="00FB5993" w:rsidRPr="00D259C2" w:rsidRDefault="00D259C2" w:rsidP="00973CC9">
      <w:pPr>
        <w:pStyle w:val="a0"/>
        <w:rPr>
          <w:b/>
          <w:u w:val="single"/>
          <w:lang w:val="en-US" w:eastAsia="ko-KR"/>
        </w:rPr>
      </w:pPr>
      <w:r w:rsidRPr="00D259C2">
        <w:rPr>
          <w:rFonts w:hint="eastAsia"/>
          <w:b/>
          <w:u w:val="single"/>
          <w:lang w:val="en-US" w:eastAsia="ko-KR"/>
        </w:rPr>
        <w:t>Conditional H</w:t>
      </w:r>
      <w:r w:rsidRPr="00D259C2">
        <w:rPr>
          <w:b/>
          <w:u w:val="single"/>
          <w:lang w:val="en-US" w:eastAsia="ko-KR"/>
        </w:rPr>
        <w:t>andover</w:t>
      </w:r>
    </w:p>
    <w:p w:rsidR="00D259C2" w:rsidRDefault="00973CC9" w:rsidP="00973CC9">
      <w:pPr>
        <w:pStyle w:val="a0"/>
        <w:rPr>
          <w:lang w:val="en-US" w:eastAsia="ko-KR"/>
        </w:rPr>
      </w:pPr>
      <w:r>
        <w:rPr>
          <w:rFonts w:hint="eastAsia"/>
          <w:lang w:val="en-US" w:eastAsia="ko-KR"/>
        </w:rPr>
        <w:t xml:space="preserve">In RAN2#114-e meeting, </w:t>
      </w:r>
      <w:r>
        <w:rPr>
          <w:lang w:val="en-US" w:eastAsia="ko-KR"/>
        </w:rPr>
        <w:t>following</w:t>
      </w:r>
      <w:r>
        <w:rPr>
          <w:rFonts w:hint="eastAsia"/>
          <w:lang w:val="en-US" w:eastAsia="ko-KR"/>
        </w:rPr>
        <w:t xml:space="preserve"> </w:t>
      </w:r>
      <w:r>
        <w:rPr>
          <w:lang w:val="en-US" w:eastAsia="ko-KR"/>
        </w:rPr>
        <w:t>agreements for conditional handover were made.</w:t>
      </w:r>
    </w:p>
    <w:tbl>
      <w:tblPr>
        <w:tblStyle w:val="a9"/>
        <w:tblW w:w="0" w:type="auto"/>
        <w:tblLook w:val="04A0" w:firstRow="1" w:lastRow="0" w:firstColumn="1" w:lastColumn="0" w:noHBand="0" w:noVBand="1"/>
      </w:tblPr>
      <w:tblGrid>
        <w:gridCol w:w="9855"/>
      </w:tblGrid>
      <w:tr w:rsidR="00D259C2" w:rsidTr="00D259C2">
        <w:tc>
          <w:tcPr>
            <w:tcW w:w="9855" w:type="dxa"/>
          </w:tcPr>
          <w:p w:rsidR="00D259C2" w:rsidRPr="00D259C2" w:rsidRDefault="00D259C2" w:rsidP="00D259C2">
            <w:pPr>
              <w:pStyle w:val="a0"/>
              <w:numPr>
                <w:ilvl w:val="0"/>
                <w:numId w:val="36"/>
              </w:numPr>
              <w:ind w:left="313" w:hanging="284"/>
              <w:rPr>
                <w:lang w:eastAsia="ko-KR"/>
              </w:rPr>
            </w:pPr>
            <w:r w:rsidRPr="00D259C2">
              <w:rPr>
                <w:lang w:eastAsia="ko-KR"/>
              </w:rPr>
              <w:t>Support CHO location trigger as the distance between UE and a reference location which may be configured as the serving cell reference location or the candidate target cell reference location. FFS if combination can be allowed.</w:t>
            </w:r>
          </w:p>
          <w:p w:rsidR="00D259C2" w:rsidRPr="00D259C2" w:rsidRDefault="00D259C2" w:rsidP="00D259C2">
            <w:pPr>
              <w:pStyle w:val="a0"/>
              <w:numPr>
                <w:ilvl w:val="0"/>
                <w:numId w:val="36"/>
              </w:numPr>
              <w:ind w:left="313" w:hanging="284"/>
              <w:rPr>
                <w:lang w:eastAsia="ko-KR"/>
              </w:rPr>
            </w:pPr>
            <w:r w:rsidRPr="00D259C2">
              <w:rPr>
                <w:lang w:eastAsia="ko-KR"/>
              </w:rPr>
              <w:t>The reference location for the event description is defined as cell center.</w:t>
            </w:r>
          </w:p>
          <w:p w:rsidR="00D259C2" w:rsidRPr="00D259C2" w:rsidRDefault="00D259C2" w:rsidP="00D259C2">
            <w:pPr>
              <w:pStyle w:val="a0"/>
              <w:numPr>
                <w:ilvl w:val="0"/>
                <w:numId w:val="36"/>
              </w:numPr>
              <w:ind w:left="313" w:hanging="284"/>
              <w:rPr>
                <w:lang w:eastAsia="ko-KR"/>
              </w:rPr>
            </w:pPr>
            <w:r w:rsidRPr="00D259C2">
              <w:rPr>
                <w:lang w:eastAsia="ko-KR"/>
              </w:rPr>
              <w:t>For CHO, joint configuration of location and RSRP as well as time and RSRP triggers are supported.</w:t>
            </w:r>
          </w:p>
          <w:p w:rsidR="00D259C2" w:rsidRPr="00D259C2" w:rsidRDefault="00D259C2" w:rsidP="00D259C2">
            <w:pPr>
              <w:pStyle w:val="a0"/>
              <w:numPr>
                <w:ilvl w:val="0"/>
                <w:numId w:val="36"/>
              </w:numPr>
              <w:ind w:left="313" w:hanging="284"/>
              <w:rPr>
                <w:lang w:eastAsia="ko-KR"/>
              </w:rPr>
            </w:pPr>
            <w:r w:rsidRPr="00D259C2">
              <w:rPr>
                <w:lang w:eastAsia="ko-KR"/>
              </w:rPr>
              <w:t>For idle mode reselection, based on configuration NTN UE can prioritise TN over NTN. Configuration details FFS</w:t>
            </w:r>
          </w:p>
          <w:p w:rsidR="00D259C2" w:rsidRPr="00D259C2" w:rsidRDefault="00D259C2" w:rsidP="00D259C2">
            <w:pPr>
              <w:pStyle w:val="a0"/>
              <w:numPr>
                <w:ilvl w:val="0"/>
                <w:numId w:val="36"/>
              </w:numPr>
              <w:ind w:left="313" w:hanging="284"/>
              <w:rPr>
                <w:lang w:eastAsia="ko-KR"/>
              </w:rPr>
            </w:pPr>
            <w:r w:rsidRPr="00D259C2">
              <w:rPr>
                <w:lang w:eastAsia="ko-KR"/>
              </w:rPr>
              <w:lastRenderedPageBreak/>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rsidR="00D259C2" w:rsidRDefault="00D259C2" w:rsidP="00D259C2">
            <w:pPr>
              <w:pStyle w:val="a0"/>
              <w:numPr>
                <w:ilvl w:val="0"/>
                <w:numId w:val="36"/>
              </w:numPr>
              <w:ind w:left="313" w:hanging="284"/>
              <w:rPr>
                <w:lang w:val="en-US" w:eastAsia="ko-KR"/>
              </w:rPr>
            </w:pPr>
            <w:r w:rsidRPr="00D259C2">
              <w:rPr>
                <w:lang w:eastAsia="ko-KR"/>
              </w:rPr>
              <w:t>Same CHO trigger conditions and RRM events can be used within NTN and NTN-TN mobility provided these are supported by the UE. NTN-TN means both “from NTN to TN (hand-in)” and “from NTN to TN (hand-in) and from TN to NTN (hand-out)". FFS for enhancements.</w:t>
            </w:r>
          </w:p>
        </w:tc>
      </w:tr>
    </w:tbl>
    <w:p w:rsidR="00D259C2" w:rsidRDefault="00D259C2" w:rsidP="00973CC9">
      <w:pPr>
        <w:pStyle w:val="a0"/>
        <w:tabs>
          <w:tab w:val="left" w:pos="560"/>
        </w:tabs>
        <w:jc w:val="both"/>
        <w:rPr>
          <w:lang w:val="en-US" w:eastAsia="ko-KR"/>
        </w:rPr>
      </w:pPr>
    </w:p>
    <w:p w:rsidR="00973CC9" w:rsidRDefault="003D179C" w:rsidP="00973CC9">
      <w:pPr>
        <w:pStyle w:val="a0"/>
        <w:tabs>
          <w:tab w:val="left" w:pos="560"/>
        </w:tabs>
        <w:jc w:val="both"/>
        <w:rPr>
          <w:lang w:val="en-US" w:eastAsia="ko-KR"/>
        </w:rPr>
      </w:pPr>
      <w:r>
        <w:rPr>
          <w:lang w:val="en-US" w:eastAsia="ko-KR"/>
        </w:rPr>
        <w:t>B</w:t>
      </w:r>
      <w:r>
        <w:rPr>
          <w:rFonts w:hint="eastAsia"/>
          <w:lang w:val="en-US" w:eastAsia="ko-KR"/>
        </w:rPr>
        <w:t xml:space="preserve">ased </w:t>
      </w:r>
      <w:r w:rsidR="005A411B">
        <w:rPr>
          <w:lang w:val="en-US" w:eastAsia="ko-KR"/>
        </w:rPr>
        <w:t xml:space="preserve">on the RAN2 </w:t>
      </w:r>
      <w:r>
        <w:rPr>
          <w:lang w:val="en-US" w:eastAsia="ko-KR"/>
        </w:rPr>
        <w:t>agreements, location and time information based CHO are considered</w:t>
      </w:r>
      <w:r w:rsidR="00582008">
        <w:rPr>
          <w:lang w:val="en-US" w:eastAsia="ko-KR"/>
        </w:rPr>
        <w:t>,</w:t>
      </w:r>
      <w:r>
        <w:rPr>
          <w:lang w:val="en-US" w:eastAsia="ko-KR"/>
        </w:rPr>
        <w:t xml:space="preserve"> and the combination is FFS</w:t>
      </w:r>
      <w:r w:rsidR="00582008">
        <w:rPr>
          <w:lang w:val="en-US" w:eastAsia="ko-KR"/>
        </w:rPr>
        <w:t>. And it is still FFS whether the location or time information can be configured for CHO without RSRP condition</w:t>
      </w:r>
      <w:r>
        <w:rPr>
          <w:lang w:val="en-US" w:eastAsia="ko-KR"/>
        </w:rPr>
        <w:t xml:space="preserve">. </w:t>
      </w:r>
      <w:r w:rsidR="00582008">
        <w:rPr>
          <w:lang w:val="en-US" w:eastAsia="ko-KR"/>
        </w:rPr>
        <w:t>Also j</w:t>
      </w:r>
      <w:r>
        <w:rPr>
          <w:lang w:val="en-US" w:eastAsia="ko-KR"/>
        </w:rPr>
        <w:t xml:space="preserve">oint configuration of location and RSRP as well as time and RSRP trigger are supported, but it is not clear whether the conditions are ‘and’ or ‘or’. This is still under discussion in RAN2. </w:t>
      </w:r>
    </w:p>
    <w:p w:rsidR="00582008" w:rsidRDefault="00582008" w:rsidP="00582008">
      <w:pPr>
        <w:pStyle w:val="ad"/>
        <w:numPr>
          <w:ilvl w:val="0"/>
          <w:numId w:val="39"/>
        </w:numPr>
        <w:spacing w:line="276" w:lineRule="auto"/>
        <w:ind w:leftChars="0"/>
        <w:jc w:val="both"/>
        <w:rPr>
          <w:lang w:val="en-US" w:eastAsia="ko-KR"/>
        </w:rPr>
      </w:pPr>
      <w:r w:rsidRPr="00582008">
        <w:rPr>
          <w:b/>
          <w:i/>
          <w:lang w:val="en-US" w:eastAsia="ko-KR"/>
        </w:rPr>
        <w:t>Observation 1</w:t>
      </w:r>
      <w:r>
        <w:rPr>
          <w:lang w:val="en-US" w:eastAsia="ko-KR"/>
        </w:rPr>
        <w:t>: Detail conditions and procedures for NTN CHO to define CHO requirement in RAN4 are still unclear in RAN2.</w:t>
      </w:r>
    </w:p>
    <w:p w:rsidR="00D259C2" w:rsidRDefault="005A411B" w:rsidP="003368FD">
      <w:pPr>
        <w:spacing w:line="276" w:lineRule="auto"/>
        <w:jc w:val="both"/>
        <w:rPr>
          <w:lang w:val="en-US" w:eastAsia="ko-KR"/>
        </w:rPr>
      </w:pPr>
      <w:r>
        <w:rPr>
          <w:lang w:val="en-US" w:eastAsia="ko-KR"/>
        </w:rPr>
        <w:t xml:space="preserve">The CHO for NTN-TN mobility has been discussed in RAN2, and </w:t>
      </w:r>
      <w:r w:rsidR="00620A1F">
        <w:rPr>
          <w:lang w:val="en-US" w:eastAsia="ko-KR"/>
        </w:rPr>
        <w:t xml:space="preserve">the </w:t>
      </w:r>
      <w:r>
        <w:rPr>
          <w:lang w:val="en-US" w:eastAsia="ko-KR"/>
        </w:rPr>
        <w:t>same CHO trigger conditions and RRM events can be used within NTN and NTN-TN mobility. Therefore, RAN4 should define CHO requirements for both intra NTN and NTN-TN mobility.</w:t>
      </w:r>
    </w:p>
    <w:p w:rsidR="003368FD" w:rsidRPr="00582008" w:rsidRDefault="003368FD" w:rsidP="00582008">
      <w:pPr>
        <w:pStyle w:val="ad"/>
        <w:numPr>
          <w:ilvl w:val="0"/>
          <w:numId w:val="39"/>
        </w:numPr>
        <w:spacing w:line="276" w:lineRule="auto"/>
        <w:ind w:leftChars="0"/>
        <w:jc w:val="both"/>
        <w:rPr>
          <w:lang w:val="en-US" w:eastAsia="ko-KR"/>
        </w:rPr>
      </w:pPr>
      <w:r>
        <w:rPr>
          <w:b/>
          <w:i/>
          <w:lang w:val="en-US" w:eastAsia="ko-KR"/>
        </w:rPr>
        <w:t>Proposal 4</w:t>
      </w:r>
      <w:r w:rsidRPr="003368FD">
        <w:rPr>
          <w:lang w:val="en-US" w:eastAsia="ko-KR"/>
        </w:rPr>
        <w:t>:</w:t>
      </w:r>
      <w:r>
        <w:rPr>
          <w:lang w:val="en-US" w:eastAsia="ko-KR"/>
        </w:rPr>
        <w:t xml:space="preserve"> CHO requirements for both intra NTN and NTN-TN mobility should be defined after clear agreements for location/time/RSRP based CHO are derived in RAN2.</w:t>
      </w:r>
    </w:p>
    <w:p w:rsidR="00D259C2" w:rsidRDefault="00D259C2" w:rsidP="00973CC9">
      <w:pPr>
        <w:pStyle w:val="a0"/>
        <w:tabs>
          <w:tab w:val="left" w:pos="560"/>
        </w:tabs>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582008" w:rsidRDefault="00552F63" w:rsidP="00C352FA">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582008">
        <w:rPr>
          <w:lang w:val="en-US" w:eastAsia="ko-KR"/>
        </w:rPr>
        <w:t>mobility-related measurement requirements.</w:t>
      </w:r>
    </w:p>
    <w:p w:rsidR="00210206" w:rsidRDefault="00582008" w:rsidP="00C352FA">
      <w:pPr>
        <w:pStyle w:val="a0"/>
        <w:jc w:val="both"/>
        <w:rPr>
          <w:lang w:val="en-US" w:eastAsia="ko-KR"/>
        </w:rPr>
      </w:pPr>
      <w:r>
        <w:rPr>
          <w:lang w:val="en-US" w:eastAsia="ko-KR"/>
        </w:rPr>
        <w:t>For cell reselection, we propose</w:t>
      </w:r>
    </w:p>
    <w:p w:rsidR="00582008" w:rsidRDefault="00582008" w:rsidP="00582008">
      <w:pPr>
        <w:pStyle w:val="ad"/>
        <w:numPr>
          <w:ilvl w:val="0"/>
          <w:numId w:val="32"/>
        </w:numPr>
        <w:spacing w:line="276" w:lineRule="auto"/>
        <w:ind w:leftChars="0"/>
        <w:jc w:val="both"/>
        <w:rPr>
          <w:lang w:val="en-US" w:eastAsia="ko-KR"/>
        </w:rPr>
      </w:pPr>
      <w:r w:rsidRPr="00C00756">
        <w:rPr>
          <w:rFonts w:hint="eastAsia"/>
          <w:b/>
          <w:i/>
          <w:lang w:val="en-US" w:eastAsia="ko-KR"/>
        </w:rPr>
        <w:t>Proposal 1</w:t>
      </w:r>
      <w:r w:rsidRPr="001E0423">
        <w:rPr>
          <w:rFonts w:hint="eastAsia"/>
          <w:lang w:val="en-US" w:eastAsia="ko-KR"/>
        </w:rPr>
        <w:t xml:space="preserve">: </w:t>
      </w:r>
      <w:r>
        <w:rPr>
          <w:lang w:val="en-US" w:eastAsia="ko-KR"/>
        </w:rPr>
        <w:t>Reuse measurement requirements for cell reselection of TN for NTN cell reselection.</w:t>
      </w:r>
    </w:p>
    <w:p w:rsidR="00582008" w:rsidRPr="001E0423" w:rsidRDefault="00582008" w:rsidP="00582008">
      <w:pPr>
        <w:pStyle w:val="ad"/>
        <w:numPr>
          <w:ilvl w:val="0"/>
          <w:numId w:val="32"/>
        </w:numPr>
        <w:spacing w:line="276" w:lineRule="auto"/>
        <w:ind w:leftChars="0"/>
        <w:jc w:val="both"/>
        <w:rPr>
          <w:lang w:val="en-US" w:eastAsia="ko-KR"/>
        </w:rPr>
      </w:pPr>
      <w:r>
        <w:rPr>
          <w:b/>
          <w:i/>
          <w:lang w:val="en-US" w:eastAsia="ko-KR"/>
        </w:rPr>
        <w:t>Proposal 2</w:t>
      </w:r>
      <w:r w:rsidRPr="00C00756">
        <w:rPr>
          <w:lang w:val="en-US" w:eastAsia="ko-KR"/>
        </w:rPr>
        <w:t>:</w:t>
      </w:r>
      <w:r>
        <w:rPr>
          <w:lang w:val="en-US" w:eastAsia="ko-KR"/>
        </w:rPr>
        <w:t xml:space="preserve"> </w:t>
      </w:r>
      <w:r w:rsidR="00ED5575">
        <w:rPr>
          <w:lang w:val="en-US" w:eastAsia="ko-KR"/>
        </w:rPr>
        <w:t xml:space="preserve">Add neighbor cell measurement trigger condition based on cell service </w:t>
      </w:r>
      <w:r w:rsidR="00ED5575" w:rsidRPr="00ED5575">
        <w:rPr>
          <w:lang w:val="en-US" w:eastAsia="ko-KR"/>
        </w:rPr>
        <w:t>time in RRM requirements</w:t>
      </w:r>
      <w:r w:rsidR="00ED5575">
        <w:rPr>
          <w:lang w:val="en-US" w:eastAsia="ko-KR"/>
        </w:rPr>
        <w:t>.</w:t>
      </w:r>
    </w:p>
    <w:p w:rsidR="00582008" w:rsidRDefault="00582008" w:rsidP="00D50F8C">
      <w:pPr>
        <w:pStyle w:val="ad"/>
        <w:numPr>
          <w:ilvl w:val="0"/>
          <w:numId w:val="32"/>
        </w:numPr>
        <w:spacing w:line="276" w:lineRule="auto"/>
        <w:ind w:leftChars="0"/>
        <w:jc w:val="both"/>
        <w:rPr>
          <w:lang w:val="en-US" w:eastAsia="ko-KR"/>
        </w:rPr>
      </w:pPr>
      <w:r w:rsidRPr="00FB5993">
        <w:rPr>
          <w:rFonts w:hint="eastAsia"/>
          <w:b/>
          <w:i/>
          <w:lang w:val="en-US" w:eastAsia="ko-KR"/>
        </w:rPr>
        <w:t>Proposal 3</w:t>
      </w:r>
      <w:r>
        <w:rPr>
          <w:rFonts w:hint="eastAsia"/>
          <w:lang w:val="en-US" w:eastAsia="ko-KR"/>
        </w:rPr>
        <w:t>: Consider measurement relaxation based on cell service time information.</w:t>
      </w:r>
    </w:p>
    <w:p w:rsidR="00582008" w:rsidRDefault="00582008" w:rsidP="00582008">
      <w:pPr>
        <w:spacing w:line="276" w:lineRule="auto"/>
        <w:jc w:val="both"/>
        <w:rPr>
          <w:lang w:val="en-US" w:eastAsia="ko-KR"/>
        </w:rPr>
      </w:pPr>
      <w:r>
        <w:rPr>
          <w:lang w:val="en-US" w:eastAsia="ko-KR"/>
        </w:rPr>
        <w:t xml:space="preserve">For CHO, </w:t>
      </w:r>
      <w:r>
        <w:rPr>
          <w:rFonts w:hint="eastAsia"/>
          <w:lang w:val="en-US" w:eastAsia="ko-KR"/>
        </w:rPr>
        <w:t>based on RAN2 agreements, we observe</w:t>
      </w:r>
    </w:p>
    <w:p w:rsidR="00582008" w:rsidRDefault="00582008" w:rsidP="00582008">
      <w:pPr>
        <w:pStyle w:val="ad"/>
        <w:numPr>
          <w:ilvl w:val="0"/>
          <w:numId w:val="39"/>
        </w:numPr>
        <w:spacing w:line="276" w:lineRule="auto"/>
        <w:ind w:leftChars="0"/>
        <w:jc w:val="both"/>
        <w:rPr>
          <w:lang w:val="en-US" w:eastAsia="ko-KR"/>
        </w:rPr>
      </w:pPr>
      <w:r w:rsidRPr="00582008">
        <w:rPr>
          <w:b/>
          <w:i/>
          <w:lang w:val="en-US" w:eastAsia="ko-KR"/>
        </w:rPr>
        <w:t>Observation 1</w:t>
      </w:r>
      <w:r>
        <w:rPr>
          <w:lang w:val="en-US" w:eastAsia="ko-KR"/>
        </w:rPr>
        <w:t>: Detail conditions and procedures for NTN CHO to define CHO requirement in RAN4 are still unclear in RAN2.</w:t>
      </w:r>
    </w:p>
    <w:p w:rsidR="00582008" w:rsidRPr="00582008" w:rsidRDefault="00582008" w:rsidP="00582008">
      <w:pPr>
        <w:spacing w:line="276" w:lineRule="auto"/>
        <w:jc w:val="both"/>
        <w:rPr>
          <w:lang w:val="en-US" w:eastAsia="ko-KR"/>
        </w:rPr>
      </w:pPr>
      <w:r>
        <w:rPr>
          <w:lang w:val="en-US" w:eastAsia="ko-KR"/>
        </w:rPr>
        <w:t>So, we propose</w:t>
      </w:r>
    </w:p>
    <w:p w:rsidR="00582008" w:rsidRPr="00582008" w:rsidRDefault="00582008" w:rsidP="00582008">
      <w:pPr>
        <w:pStyle w:val="ad"/>
        <w:numPr>
          <w:ilvl w:val="0"/>
          <w:numId w:val="32"/>
        </w:numPr>
        <w:spacing w:line="276" w:lineRule="auto"/>
        <w:ind w:leftChars="0"/>
        <w:jc w:val="both"/>
        <w:rPr>
          <w:lang w:val="en-US" w:eastAsia="ko-KR"/>
        </w:rPr>
      </w:pPr>
      <w:r w:rsidRPr="00582008">
        <w:rPr>
          <w:b/>
          <w:i/>
          <w:lang w:val="en-US" w:eastAsia="ko-KR"/>
        </w:rPr>
        <w:t>Proposal 4</w:t>
      </w:r>
      <w:r>
        <w:rPr>
          <w:lang w:val="en-US" w:eastAsia="ko-KR"/>
        </w:rPr>
        <w:t xml:space="preserve">: </w:t>
      </w:r>
      <w:r w:rsidR="003368FD">
        <w:rPr>
          <w:lang w:val="en-US" w:eastAsia="ko-KR"/>
        </w:rPr>
        <w:t>CHO requirements for both intra NTN and NTN-TN mobility should be defined after clear agreements for location/time/RSRP based CHO are derived in RAN2.</w:t>
      </w:r>
    </w:p>
    <w:sectPr w:rsidR="00582008" w:rsidRPr="0058200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456" w:rsidRDefault="00EF1456" w:rsidP="00D306DF">
      <w:r>
        <w:separator/>
      </w:r>
    </w:p>
  </w:endnote>
  <w:endnote w:type="continuationSeparator" w:id="0">
    <w:p w:rsidR="00EF1456" w:rsidRDefault="00EF145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456" w:rsidRDefault="00EF1456" w:rsidP="00D306DF">
      <w:r>
        <w:separator/>
      </w:r>
    </w:p>
  </w:footnote>
  <w:footnote w:type="continuationSeparator" w:id="0">
    <w:p w:rsidR="00EF1456" w:rsidRDefault="00EF145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7pt;height:75.25pt" o:bullet="t">
        <v:imagedata r:id="rId1" o:title="artDE8D"/>
      </v:shape>
    </w:pict>
  </w:numPicBullet>
  <w:abstractNum w:abstractNumId="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DC3FB3"/>
    <w:multiLevelType w:val="hybridMultilevel"/>
    <w:tmpl w:val="9872F9CE"/>
    <w:lvl w:ilvl="0" w:tplc="543C151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422604"/>
    <w:multiLevelType w:val="hybridMultilevel"/>
    <w:tmpl w:val="613C9C66"/>
    <w:lvl w:ilvl="0" w:tplc="9EF4A2F4">
      <w:start w:val="1"/>
      <w:numFmt w:val="bullet"/>
      <w:lvlText w:val="•"/>
      <w:lvlJc w:val="left"/>
      <w:pPr>
        <w:tabs>
          <w:tab w:val="num" w:pos="720"/>
        </w:tabs>
        <w:ind w:left="720" w:hanging="360"/>
      </w:pPr>
      <w:rPr>
        <w:rFonts w:ascii="Arial" w:hAnsi="Arial" w:hint="default"/>
      </w:rPr>
    </w:lvl>
    <w:lvl w:ilvl="1" w:tplc="00B8CC4A" w:tentative="1">
      <w:start w:val="1"/>
      <w:numFmt w:val="bullet"/>
      <w:lvlText w:val="•"/>
      <w:lvlJc w:val="left"/>
      <w:pPr>
        <w:tabs>
          <w:tab w:val="num" w:pos="1440"/>
        </w:tabs>
        <w:ind w:left="1440" w:hanging="360"/>
      </w:pPr>
      <w:rPr>
        <w:rFonts w:ascii="Arial" w:hAnsi="Arial" w:hint="default"/>
      </w:rPr>
    </w:lvl>
    <w:lvl w:ilvl="2" w:tplc="D7128C9A">
      <w:start w:val="1"/>
      <w:numFmt w:val="bullet"/>
      <w:lvlText w:val="•"/>
      <w:lvlJc w:val="left"/>
      <w:pPr>
        <w:tabs>
          <w:tab w:val="num" w:pos="2160"/>
        </w:tabs>
        <w:ind w:left="2160" w:hanging="360"/>
      </w:pPr>
      <w:rPr>
        <w:rFonts w:ascii="Arial" w:hAnsi="Arial" w:hint="default"/>
      </w:rPr>
    </w:lvl>
    <w:lvl w:ilvl="3" w:tplc="79821492">
      <w:numFmt w:val="bullet"/>
      <w:lvlText w:val="•"/>
      <w:lvlJc w:val="left"/>
      <w:pPr>
        <w:tabs>
          <w:tab w:val="num" w:pos="2880"/>
        </w:tabs>
        <w:ind w:left="2880" w:hanging="360"/>
      </w:pPr>
      <w:rPr>
        <w:rFonts w:ascii="Arial" w:hAnsi="Arial" w:hint="default"/>
      </w:rPr>
    </w:lvl>
    <w:lvl w:ilvl="4" w:tplc="741018B2" w:tentative="1">
      <w:start w:val="1"/>
      <w:numFmt w:val="bullet"/>
      <w:lvlText w:val="•"/>
      <w:lvlJc w:val="left"/>
      <w:pPr>
        <w:tabs>
          <w:tab w:val="num" w:pos="3600"/>
        </w:tabs>
        <w:ind w:left="3600" w:hanging="360"/>
      </w:pPr>
      <w:rPr>
        <w:rFonts w:ascii="Arial" w:hAnsi="Arial" w:hint="default"/>
      </w:rPr>
    </w:lvl>
    <w:lvl w:ilvl="5" w:tplc="BC90646A" w:tentative="1">
      <w:start w:val="1"/>
      <w:numFmt w:val="bullet"/>
      <w:lvlText w:val="•"/>
      <w:lvlJc w:val="left"/>
      <w:pPr>
        <w:tabs>
          <w:tab w:val="num" w:pos="4320"/>
        </w:tabs>
        <w:ind w:left="4320" w:hanging="360"/>
      </w:pPr>
      <w:rPr>
        <w:rFonts w:ascii="Arial" w:hAnsi="Arial" w:hint="default"/>
      </w:rPr>
    </w:lvl>
    <w:lvl w:ilvl="6" w:tplc="A27E4D0C" w:tentative="1">
      <w:start w:val="1"/>
      <w:numFmt w:val="bullet"/>
      <w:lvlText w:val="•"/>
      <w:lvlJc w:val="left"/>
      <w:pPr>
        <w:tabs>
          <w:tab w:val="num" w:pos="5040"/>
        </w:tabs>
        <w:ind w:left="5040" w:hanging="360"/>
      </w:pPr>
      <w:rPr>
        <w:rFonts w:ascii="Arial" w:hAnsi="Arial" w:hint="default"/>
      </w:rPr>
    </w:lvl>
    <w:lvl w:ilvl="7" w:tplc="2B305700" w:tentative="1">
      <w:start w:val="1"/>
      <w:numFmt w:val="bullet"/>
      <w:lvlText w:val="•"/>
      <w:lvlJc w:val="left"/>
      <w:pPr>
        <w:tabs>
          <w:tab w:val="num" w:pos="5760"/>
        </w:tabs>
        <w:ind w:left="5760" w:hanging="360"/>
      </w:pPr>
      <w:rPr>
        <w:rFonts w:ascii="Arial" w:hAnsi="Arial" w:hint="default"/>
      </w:rPr>
    </w:lvl>
    <w:lvl w:ilvl="8" w:tplc="069AC56A" w:tentative="1">
      <w:start w:val="1"/>
      <w:numFmt w:val="bullet"/>
      <w:lvlText w:val="•"/>
      <w:lvlJc w:val="left"/>
      <w:pPr>
        <w:tabs>
          <w:tab w:val="num" w:pos="6480"/>
        </w:tabs>
        <w:ind w:left="6480" w:hanging="360"/>
      </w:pPr>
      <w:rPr>
        <w:rFonts w:ascii="Arial" w:hAnsi="Arial" w:hint="default"/>
      </w:rPr>
    </w:lvl>
  </w:abstractNum>
  <w:abstractNum w:abstractNumId="4">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6">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nsid w:val="1CAD5D3D"/>
    <w:multiLevelType w:val="hybridMultilevel"/>
    <w:tmpl w:val="7706AB62"/>
    <w:lvl w:ilvl="0" w:tplc="88F8F1E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4">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4E9611A"/>
    <w:multiLevelType w:val="hybridMultilevel"/>
    <w:tmpl w:val="F31C314E"/>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21">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09241DA"/>
    <w:multiLevelType w:val="hybridMultilevel"/>
    <w:tmpl w:val="38707778"/>
    <w:lvl w:ilvl="0" w:tplc="C1ECF296">
      <w:start w:val="1"/>
      <w:numFmt w:val="bullet"/>
      <w:lvlText w:val="•"/>
      <w:lvlJc w:val="left"/>
      <w:pPr>
        <w:tabs>
          <w:tab w:val="num" w:pos="720"/>
        </w:tabs>
        <w:ind w:left="720" w:hanging="360"/>
      </w:pPr>
      <w:rPr>
        <w:rFonts w:ascii="Arial" w:hAnsi="Arial" w:hint="default"/>
      </w:rPr>
    </w:lvl>
    <w:lvl w:ilvl="1" w:tplc="2A7EB208" w:tentative="1">
      <w:start w:val="1"/>
      <w:numFmt w:val="bullet"/>
      <w:lvlText w:val="•"/>
      <w:lvlJc w:val="left"/>
      <w:pPr>
        <w:tabs>
          <w:tab w:val="num" w:pos="1440"/>
        </w:tabs>
        <w:ind w:left="1440" w:hanging="360"/>
      </w:pPr>
      <w:rPr>
        <w:rFonts w:ascii="Arial" w:hAnsi="Arial" w:hint="default"/>
      </w:rPr>
    </w:lvl>
    <w:lvl w:ilvl="2" w:tplc="57D26AAA">
      <w:start w:val="1"/>
      <w:numFmt w:val="bullet"/>
      <w:lvlText w:val="•"/>
      <w:lvlJc w:val="left"/>
      <w:pPr>
        <w:tabs>
          <w:tab w:val="num" w:pos="2160"/>
        </w:tabs>
        <w:ind w:left="2160" w:hanging="360"/>
      </w:pPr>
      <w:rPr>
        <w:rFonts w:ascii="Arial" w:hAnsi="Arial" w:hint="default"/>
      </w:rPr>
    </w:lvl>
    <w:lvl w:ilvl="3" w:tplc="5246D36A">
      <w:numFmt w:val="bullet"/>
      <w:lvlText w:val="•"/>
      <w:lvlJc w:val="left"/>
      <w:pPr>
        <w:tabs>
          <w:tab w:val="num" w:pos="2880"/>
        </w:tabs>
        <w:ind w:left="2880" w:hanging="360"/>
      </w:pPr>
      <w:rPr>
        <w:rFonts w:ascii="Arial" w:hAnsi="Arial" w:hint="default"/>
      </w:rPr>
    </w:lvl>
    <w:lvl w:ilvl="4" w:tplc="2B1C2070" w:tentative="1">
      <w:start w:val="1"/>
      <w:numFmt w:val="bullet"/>
      <w:lvlText w:val="•"/>
      <w:lvlJc w:val="left"/>
      <w:pPr>
        <w:tabs>
          <w:tab w:val="num" w:pos="3600"/>
        </w:tabs>
        <w:ind w:left="3600" w:hanging="360"/>
      </w:pPr>
      <w:rPr>
        <w:rFonts w:ascii="Arial" w:hAnsi="Arial" w:hint="default"/>
      </w:rPr>
    </w:lvl>
    <w:lvl w:ilvl="5" w:tplc="E9AC0148" w:tentative="1">
      <w:start w:val="1"/>
      <w:numFmt w:val="bullet"/>
      <w:lvlText w:val="•"/>
      <w:lvlJc w:val="left"/>
      <w:pPr>
        <w:tabs>
          <w:tab w:val="num" w:pos="4320"/>
        </w:tabs>
        <w:ind w:left="4320" w:hanging="360"/>
      </w:pPr>
      <w:rPr>
        <w:rFonts w:ascii="Arial" w:hAnsi="Arial" w:hint="default"/>
      </w:rPr>
    </w:lvl>
    <w:lvl w:ilvl="6" w:tplc="6A4C7056" w:tentative="1">
      <w:start w:val="1"/>
      <w:numFmt w:val="bullet"/>
      <w:lvlText w:val="•"/>
      <w:lvlJc w:val="left"/>
      <w:pPr>
        <w:tabs>
          <w:tab w:val="num" w:pos="5040"/>
        </w:tabs>
        <w:ind w:left="5040" w:hanging="360"/>
      </w:pPr>
      <w:rPr>
        <w:rFonts w:ascii="Arial" w:hAnsi="Arial" w:hint="default"/>
      </w:rPr>
    </w:lvl>
    <w:lvl w:ilvl="7" w:tplc="17D23284" w:tentative="1">
      <w:start w:val="1"/>
      <w:numFmt w:val="bullet"/>
      <w:lvlText w:val="•"/>
      <w:lvlJc w:val="left"/>
      <w:pPr>
        <w:tabs>
          <w:tab w:val="num" w:pos="5760"/>
        </w:tabs>
        <w:ind w:left="5760" w:hanging="360"/>
      </w:pPr>
      <w:rPr>
        <w:rFonts w:ascii="Arial" w:hAnsi="Arial" w:hint="default"/>
      </w:rPr>
    </w:lvl>
    <w:lvl w:ilvl="8" w:tplc="7E8AEF80" w:tentative="1">
      <w:start w:val="1"/>
      <w:numFmt w:val="bullet"/>
      <w:lvlText w:val="•"/>
      <w:lvlJc w:val="left"/>
      <w:pPr>
        <w:tabs>
          <w:tab w:val="num" w:pos="6480"/>
        </w:tabs>
        <w:ind w:left="6480" w:hanging="360"/>
      </w:pPr>
      <w:rPr>
        <w:rFonts w:ascii="Arial" w:hAnsi="Arial" w:hint="default"/>
      </w:rPr>
    </w:lvl>
  </w:abstractNum>
  <w:abstractNum w:abstractNumId="23">
    <w:nsid w:val="51D93E27"/>
    <w:multiLevelType w:val="hybridMultilevel"/>
    <w:tmpl w:val="5F56DA6A"/>
    <w:lvl w:ilvl="0" w:tplc="88F8F1E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4632ADE"/>
    <w:multiLevelType w:val="hybridMultilevel"/>
    <w:tmpl w:val="E7C4E418"/>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F395A05"/>
    <w:multiLevelType w:val="hybridMultilevel"/>
    <w:tmpl w:val="B2A4DA7C"/>
    <w:lvl w:ilvl="0" w:tplc="0C6290A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3AE4E71"/>
    <w:multiLevelType w:val="hybridMultilevel"/>
    <w:tmpl w:val="D5B049F8"/>
    <w:lvl w:ilvl="0" w:tplc="797C2438">
      <w:numFmt w:val="bullet"/>
      <w:lvlText w:val="-"/>
      <w:lvlJc w:val="left"/>
      <w:pPr>
        <w:ind w:left="1195" w:hanging="795"/>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846185F"/>
    <w:multiLevelType w:val="hybridMultilevel"/>
    <w:tmpl w:val="72A80BDE"/>
    <w:lvl w:ilvl="0" w:tplc="A884619A">
      <w:start w:val="1"/>
      <w:numFmt w:val="bullet"/>
      <w:lvlText w:val=""/>
      <w:lvlPicBulletId w:val="0"/>
      <w:lvlJc w:val="left"/>
      <w:pPr>
        <w:tabs>
          <w:tab w:val="num" w:pos="720"/>
        </w:tabs>
        <w:ind w:left="720" w:hanging="360"/>
      </w:pPr>
      <w:rPr>
        <w:rFonts w:ascii="Symbol" w:hAnsi="Symbol" w:hint="default"/>
      </w:rPr>
    </w:lvl>
    <w:lvl w:ilvl="1" w:tplc="E696A81C">
      <w:numFmt w:val="bullet"/>
      <w:lvlText w:val="•"/>
      <w:lvlJc w:val="left"/>
      <w:pPr>
        <w:tabs>
          <w:tab w:val="num" w:pos="1440"/>
        </w:tabs>
        <w:ind w:left="1440" w:hanging="360"/>
      </w:pPr>
      <w:rPr>
        <w:rFonts w:ascii="Arial" w:hAnsi="Arial" w:hint="default"/>
      </w:rPr>
    </w:lvl>
    <w:lvl w:ilvl="2" w:tplc="D36C5658">
      <w:numFmt w:val="bullet"/>
      <w:lvlText w:val="•"/>
      <w:lvlJc w:val="left"/>
      <w:pPr>
        <w:tabs>
          <w:tab w:val="num" w:pos="2160"/>
        </w:tabs>
        <w:ind w:left="2160" w:hanging="360"/>
      </w:pPr>
      <w:rPr>
        <w:rFonts w:ascii="Arial" w:hAnsi="Arial" w:hint="default"/>
      </w:rPr>
    </w:lvl>
    <w:lvl w:ilvl="3" w:tplc="BE42836E" w:tentative="1">
      <w:start w:val="1"/>
      <w:numFmt w:val="bullet"/>
      <w:lvlText w:val=""/>
      <w:lvlPicBulletId w:val="0"/>
      <w:lvlJc w:val="left"/>
      <w:pPr>
        <w:tabs>
          <w:tab w:val="num" w:pos="2880"/>
        </w:tabs>
        <w:ind w:left="2880" w:hanging="360"/>
      </w:pPr>
      <w:rPr>
        <w:rFonts w:ascii="Symbol" w:hAnsi="Symbol" w:hint="default"/>
      </w:rPr>
    </w:lvl>
    <w:lvl w:ilvl="4" w:tplc="76724EAE" w:tentative="1">
      <w:start w:val="1"/>
      <w:numFmt w:val="bullet"/>
      <w:lvlText w:val=""/>
      <w:lvlPicBulletId w:val="0"/>
      <w:lvlJc w:val="left"/>
      <w:pPr>
        <w:tabs>
          <w:tab w:val="num" w:pos="3600"/>
        </w:tabs>
        <w:ind w:left="3600" w:hanging="360"/>
      </w:pPr>
      <w:rPr>
        <w:rFonts w:ascii="Symbol" w:hAnsi="Symbol" w:hint="default"/>
      </w:rPr>
    </w:lvl>
    <w:lvl w:ilvl="5" w:tplc="E9B8E158" w:tentative="1">
      <w:start w:val="1"/>
      <w:numFmt w:val="bullet"/>
      <w:lvlText w:val=""/>
      <w:lvlPicBulletId w:val="0"/>
      <w:lvlJc w:val="left"/>
      <w:pPr>
        <w:tabs>
          <w:tab w:val="num" w:pos="4320"/>
        </w:tabs>
        <w:ind w:left="4320" w:hanging="360"/>
      </w:pPr>
      <w:rPr>
        <w:rFonts w:ascii="Symbol" w:hAnsi="Symbol" w:hint="default"/>
      </w:rPr>
    </w:lvl>
    <w:lvl w:ilvl="6" w:tplc="6726B510" w:tentative="1">
      <w:start w:val="1"/>
      <w:numFmt w:val="bullet"/>
      <w:lvlText w:val=""/>
      <w:lvlPicBulletId w:val="0"/>
      <w:lvlJc w:val="left"/>
      <w:pPr>
        <w:tabs>
          <w:tab w:val="num" w:pos="5040"/>
        </w:tabs>
        <w:ind w:left="5040" w:hanging="360"/>
      </w:pPr>
      <w:rPr>
        <w:rFonts w:ascii="Symbol" w:hAnsi="Symbol" w:hint="default"/>
      </w:rPr>
    </w:lvl>
    <w:lvl w:ilvl="7" w:tplc="AFE8CDE0" w:tentative="1">
      <w:start w:val="1"/>
      <w:numFmt w:val="bullet"/>
      <w:lvlText w:val=""/>
      <w:lvlPicBulletId w:val="0"/>
      <w:lvlJc w:val="left"/>
      <w:pPr>
        <w:tabs>
          <w:tab w:val="num" w:pos="5760"/>
        </w:tabs>
        <w:ind w:left="5760" w:hanging="360"/>
      </w:pPr>
      <w:rPr>
        <w:rFonts w:ascii="Symbol" w:hAnsi="Symbol" w:hint="default"/>
      </w:rPr>
    </w:lvl>
    <w:lvl w:ilvl="8" w:tplc="902A1C74"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5A63D1B"/>
    <w:multiLevelType w:val="hybridMultilevel"/>
    <w:tmpl w:val="011CDD70"/>
    <w:lvl w:ilvl="0" w:tplc="D61A35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9"/>
  </w:num>
  <w:num w:numId="3">
    <w:abstractNumId w:val="14"/>
  </w:num>
  <w:num w:numId="4">
    <w:abstractNumId w:val="15"/>
  </w:num>
  <w:num w:numId="5">
    <w:abstractNumId w:val="11"/>
  </w:num>
  <w:num w:numId="6">
    <w:abstractNumId w:val="17"/>
  </w:num>
  <w:num w:numId="7">
    <w:abstractNumId w:val="30"/>
  </w:num>
  <w:num w:numId="8">
    <w:abstractNumId w:val="6"/>
  </w:num>
  <w:num w:numId="9">
    <w:abstractNumId w:val="10"/>
  </w:num>
  <w:num w:numId="10">
    <w:abstractNumId w:val="21"/>
  </w:num>
  <w:num w:numId="11">
    <w:abstractNumId w:val="16"/>
  </w:num>
  <w:num w:numId="12">
    <w:abstractNumId w:val="16"/>
  </w:num>
  <w:num w:numId="13">
    <w:abstractNumId w:val="12"/>
  </w:num>
  <w:num w:numId="14">
    <w:abstractNumId w:val="1"/>
  </w:num>
  <w:num w:numId="15">
    <w:abstractNumId w:val="1"/>
  </w:num>
  <w:num w:numId="16">
    <w:abstractNumId w:val="8"/>
  </w:num>
  <w:num w:numId="17">
    <w:abstractNumId w:val="7"/>
  </w:num>
  <w:num w:numId="18">
    <w:abstractNumId w:val="16"/>
  </w:num>
  <w:num w:numId="19">
    <w:abstractNumId w:val="25"/>
  </w:num>
  <w:num w:numId="20">
    <w:abstractNumId w:val="13"/>
  </w:num>
  <w:num w:numId="21">
    <w:abstractNumId w:val="33"/>
  </w:num>
  <w:num w:numId="22">
    <w:abstractNumId w:val="16"/>
  </w:num>
  <w:num w:numId="23">
    <w:abstractNumId w:val="31"/>
  </w:num>
  <w:num w:numId="24">
    <w:abstractNumId w:val="29"/>
  </w:num>
  <w:num w:numId="25">
    <w:abstractNumId w:val="16"/>
  </w:num>
  <w:num w:numId="26">
    <w:abstractNumId w:val="20"/>
  </w:num>
  <w:num w:numId="27">
    <w:abstractNumId w:val="5"/>
  </w:num>
  <w:num w:numId="28">
    <w:abstractNumId w:val="0"/>
  </w:num>
  <w:num w:numId="29">
    <w:abstractNumId w:val="24"/>
  </w:num>
  <w:num w:numId="30">
    <w:abstractNumId w:val="4"/>
  </w:num>
  <w:num w:numId="31">
    <w:abstractNumId w:val="22"/>
  </w:num>
  <w:num w:numId="32">
    <w:abstractNumId w:val="32"/>
  </w:num>
  <w:num w:numId="33">
    <w:abstractNumId w:val="3"/>
  </w:num>
  <w:num w:numId="34">
    <w:abstractNumId w:val="23"/>
  </w:num>
  <w:num w:numId="35">
    <w:abstractNumId w:val="9"/>
  </w:num>
  <w:num w:numId="36">
    <w:abstractNumId w:val="18"/>
  </w:num>
  <w:num w:numId="37">
    <w:abstractNumId w:val="27"/>
  </w:num>
  <w:num w:numId="38">
    <w:abstractNumId w:val="2"/>
  </w:num>
  <w:num w:numId="39">
    <w:abstractNumId w:val="26"/>
  </w:num>
  <w:num w:numId="40">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7D9A"/>
    <w:rsid w:val="00060788"/>
    <w:rsid w:val="000615F2"/>
    <w:rsid w:val="000616A3"/>
    <w:rsid w:val="00062195"/>
    <w:rsid w:val="00062AF0"/>
    <w:rsid w:val="00063A09"/>
    <w:rsid w:val="00063A36"/>
    <w:rsid w:val="00065A87"/>
    <w:rsid w:val="00065C0E"/>
    <w:rsid w:val="00066C6C"/>
    <w:rsid w:val="000706D1"/>
    <w:rsid w:val="000721E0"/>
    <w:rsid w:val="0007231F"/>
    <w:rsid w:val="00072586"/>
    <w:rsid w:val="00072735"/>
    <w:rsid w:val="00073165"/>
    <w:rsid w:val="00073BA6"/>
    <w:rsid w:val="00073BE1"/>
    <w:rsid w:val="00074418"/>
    <w:rsid w:val="00074BC1"/>
    <w:rsid w:val="000760AA"/>
    <w:rsid w:val="000772AB"/>
    <w:rsid w:val="000778BA"/>
    <w:rsid w:val="00077AFE"/>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4BC0"/>
    <w:rsid w:val="000A63FA"/>
    <w:rsid w:val="000A6A66"/>
    <w:rsid w:val="000B15B8"/>
    <w:rsid w:val="000B17F6"/>
    <w:rsid w:val="000B1964"/>
    <w:rsid w:val="000B2503"/>
    <w:rsid w:val="000B26BE"/>
    <w:rsid w:val="000B36F2"/>
    <w:rsid w:val="000B3E6D"/>
    <w:rsid w:val="000B6A25"/>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0C7"/>
    <w:rsid w:val="000E126C"/>
    <w:rsid w:val="000E1AC3"/>
    <w:rsid w:val="000E1C2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3BEF"/>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5CF7"/>
    <w:rsid w:val="00136E73"/>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EDF"/>
    <w:rsid w:val="00157B92"/>
    <w:rsid w:val="00161429"/>
    <w:rsid w:val="00161945"/>
    <w:rsid w:val="00161D57"/>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0E88"/>
    <w:rsid w:val="00182C2C"/>
    <w:rsid w:val="00183372"/>
    <w:rsid w:val="00183F83"/>
    <w:rsid w:val="00186D47"/>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B4B8A"/>
    <w:rsid w:val="001C00CF"/>
    <w:rsid w:val="001C02D9"/>
    <w:rsid w:val="001C04D2"/>
    <w:rsid w:val="001C1C44"/>
    <w:rsid w:val="001C1FC1"/>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423"/>
    <w:rsid w:val="001E0541"/>
    <w:rsid w:val="001E1C95"/>
    <w:rsid w:val="001E2C58"/>
    <w:rsid w:val="001E455F"/>
    <w:rsid w:val="001E5FBD"/>
    <w:rsid w:val="001E6A2E"/>
    <w:rsid w:val="001E70DA"/>
    <w:rsid w:val="001E7157"/>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16647"/>
    <w:rsid w:val="002205B8"/>
    <w:rsid w:val="002213D8"/>
    <w:rsid w:val="002243D3"/>
    <w:rsid w:val="002257C9"/>
    <w:rsid w:val="00226C62"/>
    <w:rsid w:val="00226D3C"/>
    <w:rsid w:val="0022773F"/>
    <w:rsid w:val="0023059B"/>
    <w:rsid w:val="00230D45"/>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1A41"/>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274C8"/>
    <w:rsid w:val="0033016D"/>
    <w:rsid w:val="0033172A"/>
    <w:rsid w:val="00332F4E"/>
    <w:rsid w:val="0033483E"/>
    <w:rsid w:val="00335351"/>
    <w:rsid w:val="003357C3"/>
    <w:rsid w:val="00335821"/>
    <w:rsid w:val="003368FD"/>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9609A"/>
    <w:rsid w:val="003A1090"/>
    <w:rsid w:val="003A115E"/>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B771D"/>
    <w:rsid w:val="003C1275"/>
    <w:rsid w:val="003C158C"/>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179C"/>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1D"/>
    <w:rsid w:val="003F4E31"/>
    <w:rsid w:val="003F7499"/>
    <w:rsid w:val="00400771"/>
    <w:rsid w:val="00402707"/>
    <w:rsid w:val="00402AEA"/>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2F72"/>
    <w:rsid w:val="00435C7E"/>
    <w:rsid w:val="00440ABC"/>
    <w:rsid w:val="00441BB7"/>
    <w:rsid w:val="00442151"/>
    <w:rsid w:val="0044291D"/>
    <w:rsid w:val="00444B72"/>
    <w:rsid w:val="004450F0"/>
    <w:rsid w:val="004466A4"/>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66CC5"/>
    <w:rsid w:val="004702C3"/>
    <w:rsid w:val="0047279E"/>
    <w:rsid w:val="00473ED6"/>
    <w:rsid w:val="00473F59"/>
    <w:rsid w:val="00474F28"/>
    <w:rsid w:val="00475726"/>
    <w:rsid w:val="004814AC"/>
    <w:rsid w:val="004818BC"/>
    <w:rsid w:val="00481D86"/>
    <w:rsid w:val="00481F00"/>
    <w:rsid w:val="0048230F"/>
    <w:rsid w:val="00482570"/>
    <w:rsid w:val="00482F4A"/>
    <w:rsid w:val="00483623"/>
    <w:rsid w:val="00485B25"/>
    <w:rsid w:val="00492640"/>
    <w:rsid w:val="00492EA4"/>
    <w:rsid w:val="00494285"/>
    <w:rsid w:val="00494941"/>
    <w:rsid w:val="004961B0"/>
    <w:rsid w:val="004A06BF"/>
    <w:rsid w:val="004A16CD"/>
    <w:rsid w:val="004A3660"/>
    <w:rsid w:val="004A416F"/>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07760"/>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2F3F"/>
    <w:rsid w:val="0052318B"/>
    <w:rsid w:val="00523549"/>
    <w:rsid w:val="00523ED6"/>
    <w:rsid w:val="00525145"/>
    <w:rsid w:val="0052543C"/>
    <w:rsid w:val="005264CE"/>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2F63"/>
    <w:rsid w:val="00554ECC"/>
    <w:rsid w:val="005554F3"/>
    <w:rsid w:val="00555608"/>
    <w:rsid w:val="005557B6"/>
    <w:rsid w:val="00560890"/>
    <w:rsid w:val="00561877"/>
    <w:rsid w:val="00561B44"/>
    <w:rsid w:val="00562FF9"/>
    <w:rsid w:val="0056318B"/>
    <w:rsid w:val="00563CAF"/>
    <w:rsid w:val="00565E01"/>
    <w:rsid w:val="00566A81"/>
    <w:rsid w:val="005671F4"/>
    <w:rsid w:val="005675E4"/>
    <w:rsid w:val="005678CA"/>
    <w:rsid w:val="005700D6"/>
    <w:rsid w:val="005739B5"/>
    <w:rsid w:val="005746F4"/>
    <w:rsid w:val="005763A9"/>
    <w:rsid w:val="00577E77"/>
    <w:rsid w:val="005801FB"/>
    <w:rsid w:val="00582008"/>
    <w:rsid w:val="00585052"/>
    <w:rsid w:val="00585859"/>
    <w:rsid w:val="00585F9D"/>
    <w:rsid w:val="0058657D"/>
    <w:rsid w:val="00587FFD"/>
    <w:rsid w:val="005914D9"/>
    <w:rsid w:val="00591650"/>
    <w:rsid w:val="00594692"/>
    <w:rsid w:val="00594A62"/>
    <w:rsid w:val="00594AE6"/>
    <w:rsid w:val="00595C6B"/>
    <w:rsid w:val="005978B2"/>
    <w:rsid w:val="005A1A74"/>
    <w:rsid w:val="005A411B"/>
    <w:rsid w:val="005A49EE"/>
    <w:rsid w:val="005A4EB5"/>
    <w:rsid w:val="005A4F11"/>
    <w:rsid w:val="005A514C"/>
    <w:rsid w:val="005A51E1"/>
    <w:rsid w:val="005A5623"/>
    <w:rsid w:val="005A5ACF"/>
    <w:rsid w:val="005A5CD7"/>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CA"/>
    <w:rsid w:val="005F4AE4"/>
    <w:rsid w:val="005F7CAB"/>
    <w:rsid w:val="00600939"/>
    <w:rsid w:val="006023F6"/>
    <w:rsid w:val="00602BB4"/>
    <w:rsid w:val="00603094"/>
    <w:rsid w:val="00606790"/>
    <w:rsid w:val="00606E40"/>
    <w:rsid w:val="0061001D"/>
    <w:rsid w:val="006104CB"/>
    <w:rsid w:val="00610FD0"/>
    <w:rsid w:val="00612FCC"/>
    <w:rsid w:val="00615CAC"/>
    <w:rsid w:val="0061698E"/>
    <w:rsid w:val="00616EF3"/>
    <w:rsid w:val="006173F6"/>
    <w:rsid w:val="0061749B"/>
    <w:rsid w:val="00620A1F"/>
    <w:rsid w:val="00620C85"/>
    <w:rsid w:val="00620E9E"/>
    <w:rsid w:val="00621498"/>
    <w:rsid w:val="00622C87"/>
    <w:rsid w:val="00622DB2"/>
    <w:rsid w:val="00622DBC"/>
    <w:rsid w:val="00622EC0"/>
    <w:rsid w:val="0062492A"/>
    <w:rsid w:val="006249C6"/>
    <w:rsid w:val="00625E84"/>
    <w:rsid w:val="00625FA9"/>
    <w:rsid w:val="0062633C"/>
    <w:rsid w:val="006266D0"/>
    <w:rsid w:val="00626734"/>
    <w:rsid w:val="006269E9"/>
    <w:rsid w:val="0062745A"/>
    <w:rsid w:val="00627BF8"/>
    <w:rsid w:val="006310C1"/>
    <w:rsid w:val="006314DA"/>
    <w:rsid w:val="00633A3D"/>
    <w:rsid w:val="00634297"/>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415"/>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FA3"/>
    <w:rsid w:val="006B2150"/>
    <w:rsid w:val="006B24E8"/>
    <w:rsid w:val="006B26AD"/>
    <w:rsid w:val="006B28B5"/>
    <w:rsid w:val="006B30ED"/>
    <w:rsid w:val="006B3954"/>
    <w:rsid w:val="006B5587"/>
    <w:rsid w:val="006B55CB"/>
    <w:rsid w:val="006B6037"/>
    <w:rsid w:val="006B6848"/>
    <w:rsid w:val="006B7800"/>
    <w:rsid w:val="006B78CA"/>
    <w:rsid w:val="006B7F4D"/>
    <w:rsid w:val="006C0CE8"/>
    <w:rsid w:val="006C0DB3"/>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22B4"/>
    <w:rsid w:val="007043CE"/>
    <w:rsid w:val="0070590D"/>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05F4"/>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5A75"/>
    <w:rsid w:val="00746FAA"/>
    <w:rsid w:val="007470AD"/>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6A4"/>
    <w:rsid w:val="00784CE3"/>
    <w:rsid w:val="0078505A"/>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105A"/>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7F7C57"/>
    <w:rsid w:val="00800781"/>
    <w:rsid w:val="008012A9"/>
    <w:rsid w:val="00802752"/>
    <w:rsid w:val="00802B66"/>
    <w:rsid w:val="00802E86"/>
    <w:rsid w:val="008041A0"/>
    <w:rsid w:val="00805C11"/>
    <w:rsid w:val="00805C46"/>
    <w:rsid w:val="0080624A"/>
    <w:rsid w:val="0080628D"/>
    <w:rsid w:val="008062F5"/>
    <w:rsid w:val="00807EF6"/>
    <w:rsid w:val="00807FEC"/>
    <w:rsid w:val="00810BF0"/>
    <w:rsid w:val="008115CE"/>
    <w:rsid w:val="00811D50"/>
    <w:rsid w:val="00812E85"/>
    <w:rsid w:val="008136FB"/>
    <w:rsid w:val="00813EF9"/>
    <w:rsid w:val="008141BE"/>
    <w:rsid w:val="00814D44"/>
    <w:rsid w:val="008151BF"/>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36A77"/>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673"/>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2D76"/>
    <w:rsid w:val="008B63B4"/>
    <w:rsid w:val="008B7118"/>
    <w:rsid w:val="008B72C8"/>
    <w:rsid w:val="008B75C4"/>
    <w:rsid w:val="008C0520"/>
    <w:rsid w:val="008C1684"/>
    <w:rsid w:val="008C4B9C"/>
    <w:rsid w:val="008C725F"/>
    <w:rsid w:val="008C7D76"/>
    <w:rsid w:val="008D179B"/>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681B"/>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D2B"/>
    <w:rsid w:val="00906EB9"/>
    <w:rsid w:val="00907415"/>
    <w:rsid w:val="009105A2"/>
    <w:rsid w:val="00910C04"/>
    <w:rsid w:val="00911409"/>
    <w:rsid w:val="0091225B"/>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15C8"/>
    <w:rsid w:val="00931AEF"/>
    <w:rsid w:val="009340AE"/>
    <w:rsid w:val="00934323"/>
    <w:rsid w:val="00935843"/>
    <w:rsid w:val="00936170"/>
    <w:rsid w:val="00937117"/>
    <w:rsid w:val="0094034A"/>
    <w:rsid w:val="00940A9B"/>
    <w:rsid w:val="00940F6D"/>
    <w:rsid w:val="00941813"/>
    <w:rsid w:val="00941D1C"/>
    <w:rsid w:val="0094372D"/>
    <w:rsid w:val="00943AD8"/>
    <w:rsid w:val="009444AC"/>
    <w:rsid w:val="009451CF"/>
    <w:rsid w:val="00946585"/>
    <w:rsid w:val="00946D70"/>
    <w:rsid w:val="009473D0"/>
    <w:rsid w:val="009478CA"/>
    <w:rsid w:val="00950944"/>
    <w:rsid w:val="00950F54"/>
    <w:rsid w:val="009515B1"/>
    <w:rsid w:val="00951F99"/>
    <w:rsid w:val="009522D0"/>
    <w:rsid w:val="00953D98"/>
    <w:rsid w:val="0095529F"/>
    <w:rsid w:val="009555B2"/>
    <w:rsid w:val="00955EB3"/>
    <w:rsid w:val="0095643D"/>
    <w:rsid w:val="00960076"/>
    <w:rsid w:val="009614CF"/>
    <w:rsid w:val="00962C14"/>
    <w:rsid w:val="00962FEA"/>
    <w:rsid w:val="009633AA"/>
    <w:rsid w:val="009654CC"/>
    <w:rsid w:val="00965A07"/>
    <w:rsid w:val="009668C6"/>
    <w:rsid w:val="00966B96"/>
    <w:rsid w:val="009676DA"/>
    <w:rsid w:val="00973394"/>
    <w:rsid w:val="00973CC9"/>
    <w:rsid w:val="00973FD5"/>
    <w:rsid w:val="00974335"/>
    <w:rsid w:val="00974AEF"/>
    <w:rsid w:val="00975689"/>
    <w:rsid w:val="00975B67"/>
    <w:rsid w:val="00976C59"/>
    <w:rsid w:val="00976D8F"/>
    <w:rsid w:val="0098134A"/>
    <w:rsid w:val="0098157A"/>
    <w:rsid w:val="00981EE0"/>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4EAC"/>
    <w:rsid w:val="009E673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3647"/>
    <w:rsid w:val="00A040FE"/>
    <w:rsid w:val="00A0436B"/>
    <w:rsid w:val="00A05B04"/>
    <w:rsid w:val="00A066CC"/>
    <w:rsid w:val="00A120DB"/>
    <w:rsid w:val="00A15802"/>
    <w:rsid w:val="00A16AF4"/>
    <w:rsid w:val="00A16BD6"/>
    <w:rsid w:val="00A21E59"/>
    <w:rsid w:val="00A2206C"/>
    <w:rsid w:val="00A22B9E"/>
    <w:rsid w:val="00A256AC"/>
    <w:rsid w:val="00A258AA"/>
    <w:rsid w:val="00A300E7"/>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54A6"/>
    <w:rsid w:val="00A5745A"/>
    <w:rsid w:val="00A60FFF"/>
    <w:rsid w:val="00A61C7A"/>
    <w:rsid w:val="00A623A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56E"/>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04F0"/>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56D"/>
    <w:rsid w:val="00AE1564"/>
    <w:rsid w:val="00AE1AC7"/>
    <w:rsid w:val="00AE1C01"/>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0F1"/>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186"/>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483C"/>
    <w:rsid w:val="00BF6304"/>
    <w:rsid w:val="00BF7CA7"/>
    <w:rsid w:val="00BF7DE0"/>
    <w:rsid w:val="00C00756"/>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52FA"/>
    <w:rsid w:val="00C3642A"/>
    <w:rsid w:val="00C3687F"/>
    <w:rsid w:val="00C36F76"/>
    <w:rsid w:val="00C36FEA"/>
    <w:rsid w:val="00C377B7"/>
    <w:rsid w:val="00C401BA"/>
    <w:rsid w:val="00C4066B"/>
    <w:rsid w:val="00C41264"/>
    <w:rsid w:val="00C41892"/>
    <w:rsid w:val="00C41CE1"/>
    <w:rsid w:val="00C426A1"/>
    <w:rsid w:val="00C42C83"/>
    <w:rsid w:val="00C42DF8"/>
    <w:rsid w:val="00C45165"/>
    <w:rsid w:val="00C46509"/>
    <w:rsid w:val="00C47571"/>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6235"/>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6500"/>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769F"/>
    <w:rsid w:val="00D07E91"/>
    <w:rsid w:val="00D1005B"/>
    <w:rsid w:val="00D10E30"/>
    <w:rsid w:val="00D113A2"/>
    <w:rsid w:val="00D13AE1"/>
    <w:rsid w:val="00D14705"/>
    <w:rsid w:val="00D16294"/>
    <w:rsid w:val="00D17124"/>
    <w:rsid w:val="00D2178D"/>
    <w:rsid w:val="00D21FEC"/>
    <w:rsid w:val="00D22765"/>
    <w:rsid w:val="00D2431E"/>
    <w:rsid w:val="00D259C2"/>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0F8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601F"/>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1F79"/>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308"/>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FCF"/>
    <w:rsid w:val="00DF22A5"/>
    <w:rsid w:val="00DF26D2"/>
    <w:rsid w:val="00DF39E3"/>
    <w:rsid w:val="00DF3C0C"/>
    <w:rsid w:val="00DF500F"/>
    <w:rsid w:val="00DF5AEE"/>
    <w:rsid w:val="00DF662A"/>
    <w:rsid w:val="00DF6F77"/>
    <w:rsid w:val="00DF7945"/>
    <w:rsid w:val="00E0202C"/>
    <w:rsid w:val="00E02EAA"/>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696A"/>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67C"/>
    <w:rsid w:val="00E92B3A"/>
    <w:rsid w:val="00E93CD9"/>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575"/>
    <w:rsid w:val="00ED5BC7"/>
    <w:rsid w:val="00ED78AC"/>
    <w:rsid w:val="00EE011E"/>
    <w:rsid w:val="00EE1017"/>
    <w:rsid w:val="00EE1DAA"/>
    <w:rsid w:val="00EE3C05"/>
    <w:rsid w:val="00EE5E9A"/>
    <w:rsid w:val="00EE6051"/>
    <w:rsid w:val="00EE730D"/>
    <w:rsid w:val="00EE79EC"/>
    <w:rsid w:val="00EF1456"/>
    <w:rsid w:val="00EF1D11"/>
    <w:rsid w:val="00EF1F81"/>
    <w:rsid w:val="00EF298C"/>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682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714"/>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5993"/>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4980869">
      <w:bodyDiv w:val="1"/>
      <w:marLeft w:val="0"/>
      <w:marRight w:val="0"/>
      <w:marTop w:val="0"/>
      <w:marBottom w:val="0"/>
      <w:divBdr>
        <w:top w:val="none" w:sz="0" w:space="0" w:color="auto"/>
        <w:left w:val="none" w:sz="0" w:space="0" w:color="auto"/>
        <w:bottom w:val="none" w:sz="0" w:space="0" w:color="auto"/>
        <w:right w:val="none" w:sz="0" w:space="0" w:color="auto"/>
      </w:divBdr>
      <w:divsChild>
        <w:div w:id="1497960065">
          <w:marLeft w:val="1080"/>
          <w:marRight w:val="0"/>
          <w:marTop w:val="200"/>
          <w:marBottom w:val="0"/>
          <w:divBdr>
            <w:top w:val="none" w:sz="0" w:space="0" w:color="auto"/>
            <w:left w:val="none" w:sz="0" w:space="0" w:color="auto"/>
            <w:bottom w:val="none" w:sz="0" w:space="0" w:color="auto"/>
            <w:right w:val="none" w:sz="0" w:space="0" w:color="auto"/>
          </w:divBdr>
        </w:div>
        <w:div w:id="1759865799">
          <w:marLeft w:val="1080"/>
          <w:marRight w:val="0"/>
          <w:marTop w:val="200"/>
          <w:marBottom w:val="0"/>
          <w:divBdr>
            <w:top w:val="none" w:sz="0" w:space="0" w:color="auto"/>
            <w:left w:val="none" w:sz="0" w:space="0" w:color="auto"/>
            <w:bottom w:val="none" w:sz="0" w:space="0" w:color="auto"/>
            <w:right w:val="none" w:sz="0" w:space="0" w:color="auto"/>
          </w:divBdr>
        </w:div>
        <w:div w:id="344094825">
          <w:marLeft w:val="1800"/>
          <w:marRight w:val="0"/>
          <w:marTop w:val="200"/>
          <w:marBottom w:val="0"/>
          <w:divBdr>
            <w:top w:val="none" w:sz="0" w:space="0" w:color="auto"/>
            <w:left w:val="none" w:sz="0" w:space="0" w:color="auto"/>
            <w:bottom w:val="none" w:sz="0" w:space="0" w:color="auto"/>
            <w:right w:val="none" w:sz="0" w:space="0" w:color="auto"/>
          </w:divBdr>
        </w:div>
        <w:div w:id="624196160">
          <w:marLeft w:val="1800"/>
          <w:marRight w:val="0"/>
          <w:marTop w:val="20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2288983">
      <w:bodyDiv w:val="1"/>
      <w:marLeft w:val="0"/>
      <w:marRight w:val="0"/>
      <w:marTop w:val="0"/>
      <w:marBottom w:val="0"/>
      <w:divBdr>
        <w:top w:val="none" w:sz="0" w:space="0" w:color="auto"/>
        <w:left w:val="none" w:sz="0" w:space="0" w:color="auto"/>
        <w:bottom w:val="none" w:sz="0" w:space="0" w:color="auto"/>
        <w:right w:val="none" w:sz="0" w:space="0" w:color="auto"/>
      </w:divBdr>
      <w:divsChild>
        <w:div w:id="280381470">
          <w:marLeft w:val="1080"/>
          <w:marRight w:val="0"/>
          <w:marTop w:val="100"/>
          <w:marBottom w:val="0"/>
          <w:divBdr>
            <w:top w:val="none" w:sz="0" w:space="0" w:color="auto"/>
            <w:left w:val="none" w:sz="0" w:space="0" w:color="auto"/>
            <w:bottom w:val="none" w:sz="0" w:space="0" w:color="auto"/>
            <w:right w:val="none" w:sz="0" w:space="0" w:color="auto"/>
          </w:divBdr>
        </w:div>
        <w:div w:id="649139607">
          <w:marLeft w:val="1800"/>
          <w:marRight w:val="0"/>
          <w:marTop w:val="100"/>
          <w:marBottom w:val="0"/>
          <w:divBdr>
            <w:top w:val="none" w:sz="0" w:space="0" w:color="auto"/>
            <w:left w:val="none" w:sz="0" w:space="0" w:color="auto"/>
            <w:bottom w:val="none" w:sz="0" w:space="0" w:color="auto"/>
            <w:right w:val="none" w:sz="0" w:space="0" w:color="auto"/>
          </w:divBdr>
        </w:div>
        <w:div w:id="1797984354">
          <w:marLeft w:val="1800"/>
          <w:marRight w:val="0"/>
          <w:marTop w:val="100"/>
          <w:marBottom w:val="0"/>
          <w:divBdr>
            <w:top w:val="none" w:sz="0" w:space="0" w:color="auto"/>
            <w:left w:val="none" w:sz="0" w:space="0" w:color="auto"/>
            <w:bottom w:val="none" w:sz="0" w:space="0" w:color="auto"/>
            <w:right w:val="none" w:sz="0" w:space="0" w:color="auto"/>
          </w:divBdr>
        </w:div>
        <w:div w:id="1201361198">
          <w:marLeft w:val="1800"/>
          <w:marRight w:val="0"/>
          <w:marTop w:val="100"/>
          <w:marBottom w:val="0"/>
          <w:divBdr>
            <w:top w:val="none" w:sz="0" w:space="0" w:color="auto"/>
            <w:left w:val="none" w:sz="0" w:space="0" w:color="auto"/>
            <w:bottom w:val="none" w:sz="0" w:space="0" w:color="auto"/>
            <w:right w:val="none" w:sz="0" w:space="0" w:color="auto"/>
          </w:divBdr>
        </w:div>
        <w:div w:id="1070426335">
          <w:marLeft w:val="1080"/>
          <w:marRight w:val="0"/>
          <w:marTop w:val="100"/>
          <w:marBottom w:val="0"/>
          <w:divBdr>
            <w:top w:val="none" w:sz="0" w:space="0" w:color="auto"/>
            <w:left w:val="none" w:sz="0" w:space="0" w:color="auto"/>
            <w:bottom w:val="none" w:sz="0" w:space="0" w:color="auto"/>
            <w:right w:val="none" w:sz="0" w:space="0" w:color="auto"/>
          </w:divBdr>
        </w:div>
        <w:div w:id="451872652">
          <w:marLeft w:val="1800"/>
          <w:marRight w:val="0"/>
          <w:marTop w:val="100"/>
          <w:marBottom w:val="0"/>
          <w:divBdr>
            <w:top w:val="none" w:sz="0" w:space="0" w:color="auto"/>
            <w:left w:val="none" w:sz="0" w:space="0" w:color="auto"/>
            <w:bottom w:val="none" w:sz="0" w:space="0" w:color="auto"/>
            <w:right w:val="none" w:sz="0" w:space="0" w:color="auto"/>
          </w:divBdr>
        </w:div>
        <w:div w:id="1962765711">
          <w:marLeft w:val="1800"/>
          <w:marRight w:val="0"/>
          <w:marTop w:val="100"/>
          <w:marBottom w:val="0"/>
          <w:divBdr>
            <w:top w:val="none" w:sz="0" w:space="0" w:color="auto"/>
            <w:left w:val="none" w:sz="0" w:space="0" w:color="auto"/>
            <w:bottom w:val="none" w:sz="0" w:space="0" w:color="auto"/>
            <w:right w:val="none" w:sz="0" w:space="0" w:color="auto"/>
          </w:divBdr>
        </w:div>
        <w:div w:id="1571886256">
          <w:marLeft w:val="1080"/>
          <w:marRight w:val="0"/>
          <w:marTop w:val="100"/>
          <w:marBottom w:val="0"/>
          <w:divBdr>
            <w:top w:val="none" w:sz="0" w:space="0" w:color="auto"/>
            <w:left w:val="none" w:sz="0" w:space="0" w:color="auto"/>
            <w:bottom w:val="none" w:sz="0" w:space="0" w:color="auto"/>
            <w:right w:val="none" w:sz="0" w:space="0" w:color="auto"/>
          </w:divBdr>
        </w:div>
        <w:div w:id="838739024">
          <w:marLeft w:val="1800"/>
          <w:marRight w:val="0"/>
          <w:marTop w:val="100"/>
          <w:marBottom w:val="0"/>
          <w:divBdr>
            <w:top w:val="none" w:sz="0" w:space="0" w:color="auto"/>
            <w:left w:val="none" w:sz="0" w:space="0" w:color="auto"/>
            <w:bottom w:val="none" w:sz="0" w:space="0" w:color="auto"/>
            <w:right w:val="none" w:sz="0" w:space="0" w:color="auto"/>
          </w:divBdr>
        </w:div>
        <w:div w:id="1926113232">
          <w:marLeft w:val="1800"/>
          <w:marRight w:val="0"/>
          <w:marTop w:val="100"/>
          <w:marBottom w:val="0"/>
          <w:divBdr>
            <w:top w:val="none" w:sz="0" w:space="0" w:color="auto"/>
            <w:left w:val="none" w:sz="0" w:space="0" w:color="auto"/>
            <w:bottom w:val="none" w:sz="0" w:space="0" w:color="auto"/>
            <w:right w:val="none" w:sz="0" w:space="0" w:color="auto"/>
          </w:divBdr>
        </w:div>
        <w:div w:id="364871186">
          <w:marLeft w:val="1800"/>
          <w:marRight w:val="0"/>
          <w:marTop w:val="100"/>
          <w:marBottom w:val="0"/>
          <w:divBdr>
            <w:top w:val="none" w:sz="0" w:space="0" w:color="auto"/>
            <w:left w:val="none" w:sz="0" w:space="0" w:color="auto"/>
            <w:bottom w:val="none" w:sz="0" w:space="0" w:color="auto"/>
            <w:right w:val="none" w:sz="0" w:space="0" w:color="auto"/>
          </w:divBdr>
        </w:div>
        <w:div w:id="1981299049">
          <w:marLeft w:val="1080"/>
          <w:marRight w:val="0"/>
          <w:marTop w:val="100"/>
          <w:marBottom w:val="0"/>
          <w:divBdr>
            <w:top w:val="none" w:sz="0" w:space="0" w:color="auto"/>
            <w:left w:val="none" w:sz="0" w:space="0" w:color="auto"/>
            <w:bottom w:val="none" w:sz="0" w:space="0" w:color="auto"/>
            <w:right w:val="none" w:sz="0" w:space="0" w:color="auto"/>
          </w:divBdr>
        </w:div>
        <w:div w:id="2089959357">
          <w:marLeft w:val="1800"/>
          <w:marRight w:val="0"/>
          <w:marTop w:val="100"/>
          <w:marBottom w:val="0"/>
          <w:divBdr>
            <w:top w:val="none" w:sz="0" w:space="0" w:color="auto"/>
            <w:left w:val="none" w:sz="0" w:space="0" w:color="auto"/>
            <w:bottom w:val="none" w:sz="0" w:space="0" w:color="auto"/>
            <w:right w:val="none" w:sz="0" w:space="0" w:color="auto"/>
          </w:divBdr>
        </w:div>
        <w:div w:id="250286118">
          <w:marLeft w:val="1800"/>
          <w:marRight w:val="0"/>
          <w:marTop w:val="100"/>
          <w:marBottom w:val="0"/>
          <w:divBdr>
            <w:top w:val="none" w:sz="0" w:space="0" w:color="auto"/>
            <w:left w:val="none" w:sz="0" w:space="0" w:color="auto"/>
            <w:bottom w:val="none" w:sz="0" w:space="0" w:color="auto"/>
            <w:right w:val="none" w:sz="0" w:space="0" w:color="auto"/>
          </w:divBdr>
        </w:div>
        <w:div w:id="156113862">
          <w:marLeft w:val="1080"/>
          <w:marRight w:val="0"/>
          <w:marTop w:val="100"/>
          <w:marBottom w:val="0"/>
          <w:divBdr>
            <w:top w:val="none" w:sz="0" w:space="0" w:color="auto"/>
            <w:left w:val="none" w:sz="0" w:space="0" w:color="auto"/>
            <w:bottom w:val="none" w:sz="0" w:space="0" w:color="auto"/>
            <w:right w:val="none" w:sz="0" w:space="0" w:color="auto"/>
          </w:divBdr>
        </w:div>
        <w:div w:id="1613122923">
          <w:marLeft w:val="1800"/>
          <w:marRight w:val="0"/>
          <w:marTop w:val="10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5818147">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8560411">
      <w:bodyDiv w:val="1"/>
      <w:marLeft w:val="0"/>
      <w:marRight w:val="0"/>
      <w:marTop w:val="0"/>
      <w:marBottom w:val="0"/>
      <w:divBdr>
        <w:top w:val="none" w:sz="0" w:space="0" w:color="auto"/>
        <w:left w:val="none" w:sz="0" w:space="0" w:color="auto"/>
        <w:bottom w:val="none" w:sz="0" w:space="0" w:color="auto"/>
        <w:right w:val="none" w:sz="0" w:space="0" w:color="auto"/>
      </w:divBdr>
      <w:divsChild>
        <w:div w:id="525025630">
          <w:marLeft w:val="360"/>
          <w:marRight w:val="0"/>
          <w:marTop w:val="200"/>
          <w:marBottom w:val="0"/>
          <w:divBdr>
            <w:top w:val="none" w:sz="0" w:space="0" w:color="auto"/>
            <w:left w:val="none" w:sz="0" w:space="0" w:color="auto"/>
            <w:bottom w:val="none" w:sz="0" w:space="0" w:color="auto"/>
            <w:right w:val="none" w:sz="0" w:space="0" w:color="auto"/>
          </w:divBdr>
        </w:div>
        <w:div w:id="1685747607">
          <w:marLeft w:val="1541"/>
          <w:marRight w:val="0"/>
          <w:marTop w:val="100"/>
          <w:marBottom w:val="0"/>
          <w:divBdr>
            <w:top w:val="none" w:sz="0" w:space="0" w:color="auto"/>
            <w:left w:val="none" w:sz="0" w:space="0" w:color="auto"/>
            <w:bottom w:val="none" w:sz="0" w:space="0" w:color="auto"/>
            <w:right w:val="none" w:sz="0" w:space="0" w:color="auto"/>
          </w:divBdr>
        </w:div>
        <w:div w:id="1021009458">
          <w:marLeft w:val="1541"/>
          <w:marRight w:val="0"/>
          <w:marTop w:val="100"/>
          <w:marBottom w:val="0"/>
          <w:divBdr>
            <w:top w:val="none" w:sz="0" w:space="0" w:color="auto"/>
            <w:left w:val="none" w:sz="0" w:space="0" w:color="auto"/>
            <w:bottom w:val="none" w:sz="0" w:space="0" w:color="auto"/>
            <w:right w:val="none" w:sz="0" w:space="0" w:color="auto"/>
          </w:divBdr>
        </w:div>
        <w:div w:id="1371104991">
          <w:marLeft w:val="1541"/>
          <w:marRight w:val="0"/>
          <w:marTop w:val="100"/>
          <w:marBottom w:val="0"/>
          <w:divBdr>
            <w:top w:val="none" w:sz="0" w:space="0" w:color="auto"/>
            <w:left w:val="none" w:sz="0" w:space="0" w:color="auto"/>
            <w:bottom w:val="none" w:sz="0" w:space="0" w:color="auto"/>
            <w:right w:val="none" w:sz="0" w:space="0" w:color="auto"/>
          </w:divBdr>
        </w:div>
        <w:div w:id="1219513475">
          <w:marLeft w:val="360"/>
          <w:marRight w:val="0"/>
          <w:marTop w:val="20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75560070">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6A1F3-26E3-4D74-988E-3AF94F8FD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817</Words>
  <Characters>4660</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2021-08-06T06:02:00Z</dcterms:created>
  <dcterms:modified xsi:type="dcterms:W3CDTF">2021-08-06T06:02:00Z</dcterms:modified>
</cp:coreProperties>
</file>