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129248D3" w:rsidR="00803510" w:rsidRPr="00A412D5" w:rsidRDefault="00DE5DDF" w:rsidP="00803510">
      <w:pPr>
        <w:pStyle w:val="3GPPHeader"/>
        <w:spacing w:after="0"/>
        <w:rPr>
          <w:lang w:val="en-US"/>
        </w:rPr>
      </w:pPr>
      <w:r w:rsidRPr="00DE5DDF">
        <w:rPr>
          <w:lang w:val="en-US"/>
        </w:rPr>
        <w:t>3GPP TSG-RAN4 Meeting #</w:t>
      </w:r>
      <w:r w:rsidR="00FB737C">
        <w:rPr>
          <w:lang w:val="en-US"/>
        </w:rPr>
        <w:t>100</w:t>
      </w:r>
      <w:r w:rsidRPr="00DE5DDF">
        <w:rPr>
          <w:lang w:val="en-US"/>
        </w:rPr>
        <w:t>-e</w:t>
      </w:r>
      <w:r w:rsidR="00803510" w:rsidRPr="00A412D5">
        <w:rPr>
          <w:lang w:val="en-US"/>
        </w:rPr>
        <w:tab/>
      </w:r>
      <w:r w:rsidR="001176FC" w:rsidRPr="001176FC">
        <w:rPr>
          <w:lang w:val="en-US"/>
        </w:rPr>
        <w:t>R4-2111766</w:t>
      </w:r>
    </w:p>
    <w:p w14:paraId="091FE811" w14:textId="56E22966" w:rsidR="00803510" w:rsidRPr="00A412D5" w:rsidRDefault="00DE5DDF" w:rsidP="00803510">
      <w:pPr>
        <w:pStyle w:val="3GPPHeader"/>
        <w:spacing w:after="0"/>
        <w:rPr>
          <w:lang w:val="en-US"/>
        </w:rPr>
      </w:pPr>
      <w:r w:rsidRPr="00DE5DDF">
        <w:rPr>
          <w:lang w:val="en-US"/>
        </w:rPr>
        <w:t xml:space="preserve">Online, , </w:t>
      </w:r>
      <w:r w:rsidR="00FB737C">
        <w:rPr>
          <w:lang w:val="en-US"/>
        </w:rPr>
        <w:t>16</w:t>
      </w:r>
      <w:r w:rsidRPr="00DE5DDF">
        <w:rPr>
          <w:lang w:val="en-US"/>
        </w:rPr>
        <w:t xml:space="preserve">th </w:t>
      </w:r>
      <w:r w:rsidR="00FB737C">
        <w:rPr>
          <w:lang w:val="en-US"/>
        </w:rPr>
        <w:t>Aug</w:t>
      </w:r>
      <w:r w:rsidRPr="00DE5DDF">
        <w:rPr>
          <w:lang w:val="en-US"/>
        </w:rPr>
        <w:t xml:space="preserve"> 2021 - 27th </w:t>
      </w:r>
      <w:r w:rsidR="00FB737C">
        <w:rPr>
          <w:lang w:val="en-US"/>
        </w:rPr>
        <w:t>Aug</w:t>
      </w:r>
      <w:r w:rsidRPr="00DE5DDF">
        <w:rPr>
          <w:lang w:val="en-US"/>
        </w:rPr>
        <w:t xml:space="preserve"> 2021</w:t>
      </w:r>
    </w:p>
    <w:p w14:paraId="26F858F2" w14:textId="77777777" w:rsidR="0043450E" w:rsidRPr="00A412D5" w:rsidRDefault="0043450E" w:rsidP="0043450E">
      <w:pPr>
        <w:overflowPunct/>
        <w:autoSpaceDE/>
        <w:autoSpaceDN/>
        <w:adjustRightInd/>
        <w:textAlignment w:val="auto"/>
        <w:rPr>
          <w:rFonts w:ascii="Arial" w:hAnsi="Arial"/>
          <w:b/>
          <w:noProof/>
          <w:sz w:val="24"/>
          <w:lang w:val="en-US"/>
        </w:rPr>
      </w:pP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38D74F6C"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r w:rsidR="00786A5C">
        <w:rPr>
          <w:sz w:val="22"/>
        </w:rPr>
        <w:t>A way to in</w:t>
      </w:r>
      <w:r w:rsidR="003F3B9D" w:rsidRPr="003F3B9D">
        <w:rPr>
          <w:sz w:val="22"/>
        </w:rPr>
        <w:t>creas</w:t>
      </w:r>
      <w:r w:rsidR="00786A5C">
        <w:rPr>
          <w:sz w:val="22"/>
        </w:rPr>
        <w:t>e</w:t>
      </w:r>
      <w:r w:rsidR="003F3B9D" w:rsidRPr="003F3B9D">
        <w:rPr>
          <w:sz w:val="22"/>
        </w:rPr>
        <w:t xml:space="preserve"> UE maximum power </w:t>
      </w:r>
      <w:r w:rsidR="003F3B9D">
        <w:rPr>
          <w:sz w:val="22"/>
        </w:rPr>
        <w:t xml:space="preserve">for NR </w:t>
      </w:r>
      <w:r w:rsidR="002D658E">
        <w:rPr>
          <w:sz w:val="22"/>
        </w:rPr>
        <w:t>uplink</w:t>
      </w:r>
      <w:r w:rsidR="003F3B9D">
        <w:rPr>
          <w:sz w:val="22"/>
        </w:rPr>
        <w:t xml:space="preserve"> inter band CA</w:t>
      </w:r>
    </w:p>
    <w:p w14:paraId="23226DA5" w14:textId="07CEF514"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961872">
        <w:rPr>
          <w:sz w:val="22"/>
        </w:rPr>
        <w:t>8</w:t>
      </w:r>
      <w:r w:rsidR="00562F8C" w:rsidRPr="00A412D5">
        <w:rPr>
          <w:sz w:val="22"/>
        </w:rPr>
        <w:t>.</w:t>
      </w:r>
      <w:r w:rsidR="00961872">
        <w:rPr>
          <w:sz w:val="22"/>
        </w:rPr>
        <w:t>3</w:t>
      </w:r>
      <w:r w:rsidR="001176FC">
        <w:rPr>
          <w:sz w:val="22"/>
        </w:rPr>
        <w:t>4</w:t>
      </w:r>
      <w:r w:rsidR="00562F8C" w:rsidRPr="00A412D5">
        <w:rPr>
          <w:sz w:val="22"/>
        </w:rPr>
        <w:t>.</w:t>
      </w:r>
      <w:r w:rsidR="001176FC">
        <w:rPr>
          <w:sz w:val="22"/>
        </w:rPr>
        <w:t>3</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34EE77BC" w14:textId="2FB02099" w:rsidR="00BA51B8" w:rsidRDefault="000A3CB6" w:rsidP="002D746B">
      <w:r w:rsidRPr="00A412D5">
        <w:t>RAN</w:t>
      </w:r>
      <w:r w:rsidR="00F82F84" w:rsidRPr="00A412D5">
        <w:t>4</w:t>
      </w:r>
      <w:r w:rsidR="00126055" w:rsidRPr="00A412D5">
        <w:t>#</w:t>
      </w:r>
      <w:r w:rsidR="00BA51B8">
        <w:t>99</w:t>
      </w:r>
      <w:r w:rsidR="00E25C47">
        <w:t>-</w:t>
      </w:r>
      <w:r w:rsidR="00F62561" w:rsidRPr="00A412D5">
        <w:t>e</w:t>
      </w:r>
      <w:r w:rsidR="005155DE" w:rsidRPr="00A412D5">
        <w:t xml:space="preserve"> </w:t>
      </w:r>
      <w:r w:rsidR="00BA51B8">
        <w:t>approved an WF of [1], where Option 2 and Option 3 were selected as candidate resolutions.</w:t>
      </w:r>
    </w:p>
    <w:p w14:paraId="73308D33" w14:textId="4C9E1576" w:rsidR="00BA51B8" w:rsidRDefault="00BA51B8" w:rsidP="00BA51B8">
      <w:pPr>
        <w:jc w:val="center"/>
      </w:pPr>
      <w:r>
        <w:rPr>
          <w:noProof/>
        </w:rPr>
        <w:drawing>
          <wp:inline distT="0" distB="0" distL="0" distR="0" wp14:anchorId="67AA3E9C" wp14:editId="0F8D1582">
            <wp:extent cx="3760860" cy="1771478"/>
            <wp:effectExtent l="19050" t="19050" r="11430" b="1968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897448" cy="1835815"/>
                    </a:xfrm>
                    <a:prstGeom prst="rect">
                      <a:avLst/>
                    </a:prstGeom>
                    <a:ln>
                      <a:solidFill>
                        <a:schemeClr val="tx1"/>
                      </a:solidFill>
                    </a:ln>
                  </pic:spPr>
                </pic:pic>
              </a:graphicData>
            </a:graphic>
          </wp:inline>
        </w:drawing>
      </w:r>
    </w:p>
    <w:p w14:paraId="2DDB568B" w14:textId="4956785F" w:rsidR="0068320A" w:rsidRPr="0068320A" w:rsidRDefault="00BA51B8" w:rsidP="00BA51B8">
      <w:pPr>
        <w:rPr>
          <w:lang w:eastAsia="ko-KR"/>
        </w:rPr>
      </w:pPr>
      <w:bookmarkStart w:id="0" w:name="_Hlk58440727"/>
      <w:r>
        <w:rPr>
          <w:lang w:val="en-US"/>
        </w:rPr>
        <w:t>This contribution clarifies how the option 2 look</w:t>
      </w:r>
      <w:r w:rsidR="001176FC">
        <w:rPr>
          <w:lang w:val="en-US"/>
        </w:rPr>
        <w:t>s</w:t>
      </w:r>
      <w:r>
        <w:rPr>
          <w:lang w:val="en-US"/>
        </w:rPr>
        <w:t xml:space="preserve"> as the specification. It should be noted that we saw </w:t>
      </w:r>
      <w:r w:rsidR="001176FC">
        <w:rPr>
          <w:lang w:val="en-US"/>
        </w:rPr>
        <w:t xml:space="preserve">people have </w:t>
      </w:r>
      <w:r>
        <w:rPr>
          <w:lang w:val="en-US"/>
        </w:rPr>
        <w:t xml:space="preserve">a misunderstanding of the </w:t>
      </w:r>
      <w:r w:rsidR="00230BF5">
        <w:rPr>
          <w:lang w:val="en-US"/>
        </w:rPr>
        <w:t>O</w:t>
      </w:r>
      <w:r>
        <w:rPr>
          <w:lang w:val="en-US"/>
        </w:rPr>
        <w:t>ption 2 so that we make sure that option 2 and option 2a are essentially the same.</w:t>
      </w:r>
      <w:r w:rsidR="00230BF5">
        <w:rPr>
          <w:lang w:val="en-US"/>
        </w:rPr>
        <w:t xml:space="preserve"> For the </w:t>
      </w:r>
      <w:r w:rsidR="00230BF5" w:rsidRPr="00230BF5">
        <w:rPr>
          <w:lang w:val="en-US"/>
        </w:rPr>
        <w:t>purposes of brevity</w:t>
      </w:r>
      <w:r w:rsidR="00230BF5">
        <w:rPr>
          <w:lang w:val="en-US"/>
        </w:rPr>
        <w:t>, hereafter we call the Option 2 as “</w:t>
      </w:r>
      <w:r w:rsidR="00230BF5" w:rsidRPr="00230BF5">
        <w:rPr>
          <w:b/>
          <w:bCs/>
          <w:lang w:val="en-US"/>
        </w:rPr>
        <w:t>the sum method</w:t>
      </w:r>
      <w:r w:rsidR="00230BF5">
        <w:rPr>
          <w:lang w:val="en-US"/>
        </w:rPr>
        <w:t xml:space="preserve">”. </w:t>
      </w:r>
    </w:p>
    <w:p w14:paraId="33676B5E" w14:textId="7432EBDD" w:rsidR="0068320A" w:rsidRPr="00A412D5" w:rsidRDefault="0068320A" w:rsidP="0068320A">
      <w:pPr>
        <w:pStyle w:val="Heading1"/>
        <w:ind w:left="709" w:hanging="709"/>
      </w:pPr>
      <w:r w:rsidRPr="00A412D5">
        <w:t>2</w:t>
      </w:r>
      <w:r w:rsidRPr="00A412D5">
        <w:tab/>
      </w:r>
      <w:r w:rsidR="00902479">
        <w:t>Clarification on option 2</w:t>
      </w:r>
      <w:r w:rsidR="0078113A">
        <w:t>, i.e., the sum method</w:t>
      </w:r>
    </w:p>
    <w:p w14:paraId="26EED8F5" w14:textId="7AB72600" w:rsidR="00230BF5" w:rsidRDefault="00902479" w:rsidP="0068320A">
      <w:r>
        <w:t xml:space="preserve">First of all, the option 2 captured in the WF of [2] does not require a new </w:t>
      </w:r>
      <w:r w:rsidR="001176FC">
        <w:t>power class</w:t>
      </w:r>
      <w:r>
        <w:t xml:space="preserve"> capability to indicate the sum, i.e., a specific number or a categorized power class. If it required to do so, it would essentially become the same as the option 3, i.e., define a new power class per band-combination. The option 2, however, requires a capability to indicate that the UE can exploit the sum of the per-band power </w:t>
      </w:r>
      <w:r w:rsidR="00230BF5">
        <w:t xml:space="preserve">classes </w:t>
      </w:r>
      <w:r>
        <w:t>within a band configuration as the maximum output power for the band configuration.</w:t>
      </w:r>
      <w:r w:rsidR="00230BF5">
        <w:t xml:space="preserve"> </w:t>
      </w:r>
      <w:r w:rsidR="001176FC">
        <w:t xml:space="preserve">This makes network allow to </w:t>
      </w:r>
      <w:r w:rsidR="00230BF5">
        <w:t xml:space="preserve">consider that the UE can transmit up to the sum of the respective </w:t>
      </w:r>
      <w:r w:rsidR="001176FC">
        <w:t xml:space="preserve">reported </w:t>
      </w:r>
      <w:r w:rsidR="00230BF5">
        <w:t>per-band power classes within the band configuration.</w:t>
      </w:r>
    </w:p>
    <w:p w14:paraId="6FD921B2" w14:textId="4B0B1767" w:rsidR="00902479" w:rsidRDefault="00831DD5" w:rsidP="0068320A">
      <w:pPr>
        <w:rPr>
          <w:b/>
          <w:bCs/>
        </w:rPr>
      </w:pPr>
      <w:r>
        <w:rPr>
          <w:b/>
          <w:bCs/>
        </w:rPr>
        <w:t xml:space="preserve">Observation </w:t>
      </w:r>
      <w:r w:rsidR="00230BF5" w:rsidRPr="00A412D5">
        <w:rPr>
          <w:b/>
          <w:bCs/>
        </w:rPr>
        <w:t>1</w:t>
      </w:r>
      <w:r w:rsidR="00230BF5">
        <w:rPr>
          <w:b/>
          <w:bCs/>
        </w:rPr>
        <w:t>:</w:t>
      </w:r>
      <w:r>
        <w:rPr>
          <w:b/>
          <w:bCs/>
        </w:rPr>
        <w:t xml:space="preserve"> The sum method does not require a new PC capability to indicate a specific value, i.e., the sum of the </w:t>
      </w:r>
      <w:r w:rsidR="001176FC">
        <w:rPr>
          <w:b/>
          <w:bCs/>
        </w:rPr>
        <w:t xml:space="preserve">reported </w:t>
      </w:r>
      <w:r>
        <w:rPr>
          <w:b/>
          <w:bCs/>
        </w:rPr>
        <w:t>per band power classes within a band configuration, but rather requires a capability to indicate that the UE can exploit the s</w:t>
      </w:r>
      <w:r w:rsidR="0078113A">
        <w:rPr>
          <w:b/>
          <w:bCs/>
        </w:rPr>
        <w:t>um</w:t>
      </w:r>
      <w:r>
        <w:rPr>
          <w:b/>
          <w:bCs/>
        </w:rPr>
        <w:t xml:space="preserve"> of them within </w:t>
      </w:r>
      <w:r w:rsidR="001176FC">
        <w:rPr>
          <w:b/>
          <w:bCs/>
        </w:rPr>
        <w:t>the</w:t>
      </w:r>
      <w:r>
        <w:rPr>
          <w:b/>
          <w:bCs/>
        </w:rPr>
        <w:t xml:space="preserve"> band configuration.</w:t>
      </w:r>
    </w:p>
    <w:p w14:paraId="2E2CD51D" w14:textId="722436FE" w:rsidR="001A7904" w:rsidRDefault="00831DD5" w:rsidP="0068320A">
      <w:pPr>
        <w:rPr>
          <w:lang w:val="en-US"/>
        </w:rPr>
      </w:pPr>
      <w:r>
        <w:rPr>
          <w:lang w:val="en-US"/>
        </w:rPr>
        <w:t xml:space="preserve">The difference of the option 2 and the option 3 is that the former does not require to specify individual power classes </w:t>
      </w:r>
      <w:r w:rsidR="0078113A">
        <w:rPr>
          <w:lang w:val="en-US"/>
        </w:rPr>
        <w:t>for band configurations</w:t>
      </w:r>
      <w:r w:rsidR="001A7904">
        <w:rPr>
          <w:lang w:val="en-US"/>
        </w:rPr>
        <w:t xml:space="preserve">, while the latter requires to specify </w:t>
      </w:r>
      <w:r w:rsidR="0078113A">
        <w:rPr>
          <w:lang w:val="en-US"/>
        </w:rPr>
        <w:t>the respective band configuration</w:t>
      </w:r>
      <w:r w:rsidR="001A7904">
        <w:rPr>
          <w:lang w:val="en-US"/>
        </w:rPr>
        <w:t xml:space="preserve"> power class</w:t>
      </w:r>
      <w:r w:rsidR="0078113A">
        <w:rPr>
          <w:lang w:val="en-US"/>
        </w:rPr>
        <w:t>es such as 27.8 dBm(23 dBm+26 dBm), 24.8 dBm(20 dBm + 23 dBm) etc</w:t>
      </w:r>
      <w:r w:rsidR="001A7904">
        <w:rPr>
          <w:lang w:val="en-US"/>
        </w:rPr>
        <w:t xml:space="preserve">. </w:t>
      </w:r>
    </w:p>
    <w:p w14:paraId="6475C978" w14:textId="77777777" w:rsidR="0078113A" w:rsidRPr="0078113A" w:rsidRDefault="001A7904" w:rsidP="0068320A">
      <w:pPr>
        <w:rPr>
          <w:b/>
          <w:bCs/>
          <w:lang w:val="en-US"/>
        </w:rPr>
      </w:pPr>
      <w:r w:rsidRPr="0078113A">
        <w:rPr>
          <w:b/>
          <w:bCs/>
        </w:rPr>
        <w:t xml:space="preserve">Observation </w:t>
      </w:r>
      <w:r w:rsidR="0078113A" w:rsidRPr="0078113A">
        <w:rPr>
          <w:b/>
          <w:bCs/>
        </w:rPr>
        <w:t>2</w:t>
      </w:r>
      <w:r w:rsidRPr="0078113A">
        <w:rPr>
          <w:b/>
          <w:bCs/>
        </w:rPr>
        <w:t xml:space="preserve">: The sum method does not require </w:t>
      </w:r>
      <w:r w:rsidR="0078113A" w:rsidRPr="0078113A">
        <w:rPr>
          <w:b/>
          <w:bCs/>
        </w:rPr>
        <w:t xml:space="preserve">to specify every single case consisting of different per-band power classes within a band configuration such that </w:t>
      </w:r>
      <w:r w:rsidR="0078113A" w:rsidRPr="0078113A">
        <w:rPr>
          <w:b/>
          <w:bCs/>
          <w:lang w:val="en-US"/>
        </w:rPr>
        <w:t>27.8 dBm(23 dBm+26 dBm), 24.8 dBm(20 dBm + 23 dBm) etc.</w:t>
      </w:r>
    </w:p>
    <w:p w14:paraId="7EB0F851" w14:textId="782B6846" w:rsidR="0078113A" w:rsidRPr="00A412D5" w:rsidRDefault="0078113A" w:rsidP="0078113A">
      <w:pPr>
        <w:pStyle w:val="Heading1"/>
        <w:ind w:left="709" w:hanging="709"/>
      </w:pPr>
      <w:r>
        <w:t>3</w:t>
      </w:r>
      <w:r w:rsidRPr="00A412D5">
        <w:tab/>
      </w:r>
      <w:r>
        <w:t xml:space="preserve">How specification of the </w:t>
      </w:r>
      <w:r w:rsidR="00D56D91">
        <w:t>sum method</w:t>
      </w:r>
      <w:r>
        <w:t xml:space="preserve"> look</w:t>
      </w:r>
      <w:r w:rsidR="005E70E2">
        <w:t>s</w:t>
      </w:r>
    </w:p>
    <w:p w14:paraId="14956A6A" w14:textId="5AA8C801" w:rsidR="00EE100D" w:rsidRDefault="00EE100D" w:rsidP="0078113A">
      <w:r>
        <w:t>The below is a specific example of the introduction of the option 2, i.e., the sum method. The main part of the required changes of TS38.101-1 is sub-clause of 6.2A.4.1.3 for configured transmitted power for Inter-band CA. Though the other parts of TS38.101-1 may need some changes</w:t>
      </w:r>
      <w:r w:rsidR="001176FC">
        <w:t xml:space="preserve"> due to new receiver requirements</w:t>
      </w:r>
      <w:r>
        <w:t xml:space="preserve">, essentially the required changes for the option 2 are the same as those for the option 3. Hence, here we focus on the configured power part. </w:t>
      </w:r>
    </w:p>
    <w:p w14:paraId="3F072CB1" w14:textId="451A9C08" w:rsidR="00EE100D" w:rsidRPr="00747581" w:rsidRDefault="00EE100D" w:rsidP="0078113A">
      <w:pPr>
        <w:rPr>
          <w:color w:val="FF0000"/>
        </w:rPr>
      </w:pPr>
      <w:r w:rsidRPr="00747581">
        <w:rPr>
          <w:color w:val="FF0000"/>
        </w:rPr>
        <w:lastRenderedPageBreak/>
        <w:t>-------------------------------------------------an example of changes for configured power-----------------------------------------</w:t>
      </w:r>
    </w:p>
    <w:p w14:paraId="39F65C61" w14:textId="77777777" w:rsidR="00EE100D" w:rsidRDefault="00EE100D" w:rsidP="00EE100D">
      <w:pPr>
        <w:pStyle w:val="Heading5"/>
      </w:pPr>
      <w:bookmarkStart w:id="1" w:name="_Toc21344272"/>
      <w:bookmarkStart w:id="2" w:name="_Toc29801758"/>
      <w:bookmarkStart w:id="3" w:name="_Toc29802182"/>
      <w:bookmarkStart w:id="4" w:name="_Toc29802807"/>
      <w:bookmarkStart w:id="5" w:name="_Toc36107549"/>
      <w:bookmarkStart w:id="6" w:name="_Toc37251315"/>
      <w:bookmarkStart w:id="7" w:name="_Toc45888121"/>
      <w:bookmarkStart w:id="8" w:name="_Toc45888720"/>
      <w:bookmarkStart w:id="9" w:name="_Toc61367365"/>
      <w:bookmarkStart w:id="10" w:name="_Toc61372748"/>
      <w:bookmarkStart w:id="11" w:name="_Toc68230689"/>
      <w:bookmarkStart w:id="12" w:name="_Toc69084102"/>
      <w:r>
        <w:t>6.2A.4.1.3</w:t>
      </w:r>
      <w:r>
        <w:tab/>
        <w:t>Configured transmitted power for Inter-band CA</w:t>
      </w:r>
      <w:bookmarkEnd w:id="1"/>
      <w:bookmarkEnd w:id="2"/>
      <w:bookmarkEnd w:id="3"/>
      <w:bookmarkEnd w:id="4"/>
      <w:bookmarkEnd w:id="5"/>
      <w:bookmarkEnd w:id="6"/>
      <w:bookmarkEnd w:id="7"/>
      <w:bookmarkEnd w:id="8"/>
      <w:bookmarkEnd w:id="9"/>
      <w:bookmarkEnd w:id="10"/>
      <w:bookmarkEnd w:id="11"/>
      <w:bookmarkEnd w:id="12"/>
    </w:p>
    <w:p w14:paraId="1C6A17AD" w14:textId="77777777" w:rsidR="001747AC" w:rsidRPr="00747581" w:rsidRDefault="001747AC" w:rsidP="001747AC">
      <w:pPr>
        <w:jc w:val="center"/>
        <w:rPr>
          <w:color w:val="4472C4" w:themeColor="accent1"/>
        </w:rPr>
      </w:pPr>
      <w:r w:rsidRPr="00747581">
        <w:rPr>
          <w:color w:val="4472C4" w:themeColor="accent1"/>
        </w:rPr>
        <w:t>Unnecessary part is omitted</w:t>
      </w:r>
    </w:p>
    <w:p w14:paraId="43500D3F" w14:textId="77777777" w:rsidR="00EE100D" w:rsidRDefault="00EE100D" w:rsidP="00EE100D">
      <w:pPr>
        <w:pStyle w:val="EQ"/>
        <w:jc w:val="center"/>
        <w:rPr>
          <w:rFonts w:eastAsia="Times New Roman"/>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rFonts w:eastAsia="SimSun"/>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p>
    <w:p w14:paraId="7119060C" w14:textId="77777777" w:rsidR="00EE100D" w:rsidRDefault="00EE100D" w:rsidP="00EE100D">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p>
    <w:p w14:paraId="6809E43B" w14:textId="77777777" w:rsidR="00EE100D" w:rsidRDefault="00EE100D" w:rsidP="00EE100D">
      <w:pPr>
        <w:jc w:val="both"/>
        <w:rPr>
          <w:rFonts w:eastAsia="SimSun"/>
          <w:lang w:eastAsia="zh-CN"/>
        </w:rPr>
      </w:pPr>
      <w:r>
        <w:rPr>
          <w:rFonts w:eastAsia="SimSun" w:cs="Vrinda"/>
          <w:lang w:eastAsia="zh-CN" w:bidi="bn-IN"/>
        </w:rPr>
        <w:t>where</w:t>
      </w:r>
    </w:p>
    <w:p w14:paraId="5E859E99" w14:textId="3D9D2313" w:rsidR="00EE100D" w:rsidRDefault="00EE100D" w:rsidP="00EE100D">
      <w:pPr>
        <w:pStyle w:val="B1"/>
        <w:rPr>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47223464" w14:textId="1FBF6E96" w:rsidR="00EE100D" w:rsidRDefault="00EE100D" w:rsidP="00EE100D">
      <w:pPr>
        <w:pStyle w:val="B1"/>
        <w:rPr>
          <w:rFonts w:eastAsia="SimSun"/>
          <w:lang w:eastAsia="zh-CN" w:bidi="bn-IN"/>
        </w:rPr>
      </w:pPr>
      <w:r>
        <w:rPr>
          <w:lang w:bidi="bn-IN"/>
        </w:rPr>
        <w:t>-</w:t>
      </w:r>
      <w:r>
        <w:rPr>
          <w:lang w:bidi="bn-IN"/>
        </w:rPr>
        <w:tab/>
      </w:r>
      <w:r w:rsidR="001101A3" w:rsidRPr="00B21500">
        <w:rPr>
          <w:highlight w:val="green"/>
          <w:lang w:bidi="bn-IN"/>
        </w:rPr>
        <w:t xml:space="preserve">If the field of </w:t>
      </w:r>
      <w:r w:rsidR="001101A3">
        <w:rPr>
          <w:highlight w:val="green"/>
          <w:lang w:bidi="bn-IN"/>
        </w:rPr>
        <w:t xml:space="preserve">UE capability </w:t>
      </w:r>
      <w:r w:rsidR="001101A3" w:rsidRPr="001101A3">
        <w:rPr>
          <w:i/>
          <w:iCs/>
          <w:highlight w:val="green"/>
          <w:lang w:bidi="bn-IN"/>
        </w:rPr>
        <w:t>XXX</w:t>
      </w:r>
      <w:r w:rsidR="001101A3" w:rsidRPr="00B21500">
        <w:rPr>
          <w:highlight w:val="green"/>
          <w:lang w:bidi="bn-IN"/>
        </w:rPr>
        <w:t xml:space="preserve"> is not present,</w:t>
      </w:r>
      <w:r w:rsidR="001101A3">
        <w:rPr>
          <w:lang w:bidi="bn-IN"/>
        </w:rPr>
        <w:t xml:space="preserve"> </w:t>
      </w:r>
      <w:r>
        <w:rPr>
          <w:lang w:bidi="bn-IN"/>
        </w:rPr>
        <w:t>P</w:t>
      </w:r>
      <w:r>
        <w:rPr>
          <w:vertAlign w:val="subscript"/>
          <w:lang w:bidi="bn-IN"/>
        </w:rPr>
        <w:t>PowerClass,CA</w:t>
      </w:r>
      <w:r>
        <w:rPr>
          <w:lang w:bidi="bn-IN"/>
        </w:rPr>
        <w:t xml:space="preserve"> is the maximum UE power specified in Table 6.2A.1.3-1 without taking into account the tolerance specified in the Table 6.2A.1.3-1</w:t>
      </w:r>
      <w:r w:rsidR="00A73663">
        <w:rPr>
          <w:rFonts w:eastAsia="SimSun"/>
          <w:lang w:eastAsia="zh-CN" w:bidi="bn-IN"/>
        </w:rPr>
        <w:t>;</w:t>
      </w:r>
    </w:p>
    <w:p w14:paraId="362595C8" w14:textId="6FB23EC7" w:rsidR="001101A3" w:rsidRPr="002A21CD" w:rsidRDefault="002A21CD" w:rsidP="001101A3">
      <w:pPr>
        <w:pStyle w:val="B1"/>
        <w:rPr>
          <w:lang w:bidi="bn-IN"/>
        </w:rPr>
      </w:pPr>
      <w:r w:rsidRPr="00A73663">
        <w:rPr>
          <w:highlight w:val="green"/>
          <w:lang w:bidi="bn-IN"/>
        </w:rPr>
        <w:t>-</w:t>
      </w:r>
      <w:r w:rsidRPr="00A73663">
        <w:rPr>
          <w:highlight w:val="green"/>
          <w:lang w:bidi="bn-IN"/>
        </w:rPr>
        <w:tab/>
      </w:r>
      <w:r w:rsidR="001101A3" w:rsidRPr="00A73663">
        <w:rPr>
          <w:highlight w:val="green"/>
          <w:lang w:bidi="bn-IN"/>
        </w:rPr>
        <w:t xml:space="preserve">If the field of UE capability </w:t>
      </w:r>
      <w:r w:rsidR="001101A3" w:rsidRPr="00FB737C">
        <w:rPr>
          <w:i/>
          <w:iCs/>
          <w:highlight w:val="green"/>
          <w:lang w:bidi="bn-IN"/>
        </w:rPr>
        <w:t>XXX</w:t>
      </w:r>
      <w:r w:rsidR="001101A3" w:rsidRPr="00A73663">
        <w:rPr>
          <w:highlight w:val="green"/>
          <w:lang w:bidi="bn-IN"/>
        </w:rPr>
        <w:t xml:space="preserve"> is present, </w:t>
      </w:r>
      <w:r w:rsidR="00A73663" w:rsidRPr="00A73663">
        <w:rPr>
          <w:highlight w:val="green"/>
          <w:lang w:bidi="bn-IN"/>
        </w:rPr>
        <w:t>P</w:t>
      </w:r>
      <w:r w:rsidR="00A73663" w:rsidRPr="00A73663">
        <w:rPr>
          <w:highlight w:val="green"/>
          <w:vertAlign w:val="subscript"/>
          <w:lang w:bidi="bn-IN"/>
        </w:rPr>
        <w:t>PowerClass,CA</w:t>
      </w:r>
      <w:r w:rsidR="00A73663" w:rsidRPr="00A73663">
        <w:rPr>
          <w:highlight w:val="green"/>
          <w:lang w:bidi="bn-IN"/>
        </w:rPr>
        <w:t xml:space="preserve"> </w:t>
      </w:r>
      <w:r w:rsidR="001101A3" w:rsidRPr="00A73663">
        <w:rPr>
          <w:highlight w:val="green"/>
          <w:lang w:bidi="bn-IN"/>
        </w:rPr>
        <w:t xml:space="preserve">is replaced with </w:t>
      </w:r>
      <w:r w:rsidR="00A73663" w:rsidRPr="00A73663">
        <w:rPr>
          <w:highlight w:val="green"/>
          <w:lang w:bidi="bn-IN"/>
        </w:rPr>
        <w:t>10log</w:t>
      </w:r>
      <w:r w:rsidR="00A73663" w:rsidRPr="00A73663">
        <w:rPr>
          <w:highlight w:val="green"/>
          <w:vertAlign w:val="subscript"/>
          <w:lang w:bidi="bn-IN"/>
        </w:rPr>
        <w:t>10</w:t>
      </w:r>
      <w:r w:rsidR="00A73663" w:rsidRPr="00A73663">
        <w:rPr>
          <w:highlight w:val="green"/>
        </w:rPr>
        <w:t>∑</w:t>
      </w:r>
      <w:r w:rsidRPr="00A73663">
        <w:rPr>
          <w:highlight w:val="green"/>
          <w:lang w:bidi="bn-IN"/>
        </w:rPr>
        <w:t xml:space="preserve"> p</w:t>
      </w:r>
      <w:r w:rsidRPr="00A73663">
        <w:rPr>
          <w:highlight w:val="green"/>
          <w:vertAlign w:val="subscript"/>
          <w:lang w:bidi="bn-IN"/>
        </w:rPr>
        <w:t>PowerClass,c</w:t>
      </w:r>
      <w:r w:rsidR="00A73663" w:rsidRPr="00A73663">
        <w:rPr>
          <w:rFonts w:eastAsia="SimSun"/>
          <w:highlight w:val="green"/>
          <w:lang w:eastAsia="zh-CN" w:bidi="bn-IN"/>
        </w:rPr>
        <w:t>;</w:t>
      </w:r>
    </w:p>
    <w:p w14:paraId="5A0DAA7B" w14:textId="54F1F747" w:rsidR="002A21CD" w:rsidRDefault="00EE100D" w:rsidP="002A21CD">
      <w:pPr>
        <w:ind w:left="568" w:hanging="284"/>
        <w:rPr>
          <w:lang w:bidi="bn-IN"/>
        </w:rPr>
      </w:pPr>
      <w:r>
        <w:rPr>
          <w:lang w:bidi="bn-IN"/>
        </w:rPr>
        <w:t>-</w:t>
      </w:r>
      <w:r>
        <w:rPr>
          <w:lang w:bidi="bn-IN"/>
        </w:rPr>
        <w:tab/>
      </w:r>
      <w:r w:rsidR="002A21CD">
        <w:rPr>
          <w:lang w:bidi="bn-IN"/>
        </w:rPr>
        <w:t>p</w:t>
      </w:r>
      <w:r w:rsidR="002A21CD">
        <w:rPr>
          <w:vertAlign w:val="subscript"/>
          <w:lang w:bidi="bn-IN"/>
        </w:rPr>
        <w:t>PowerClass,c</w:t>
      </w:r>
      <w:r w:rsidR="002A21CD">
        <w:rPr>
          <w:lang w:bidi="bn-IN"/>
        </w:rPr>
        <w:t xml:space="preserve"> is the linear value of the maximum UE power for serving cell </w:t>
      </w:r>
      <w:r w:rsidR="002A21CD">
        <w:rPr>
          <w:i/>
          <w:iCs/>
          <w:lang w:bidi="bn-IN"/>
        </w:rPr>
        <w:t>c</w:t>
      </w:r>
      <w:r w:rsidR="002A21CD">
        <w:rPr>
          <w:lang w:bidi="bn-IN"/>
        </w:rPr>
        <w:t xml:space="preserve"> specified in Table 6.2.1-1 without taking into account the tolerance;</w:t>
      </w:r>
    </w:p>
    <w:p w14:paraId="44896A96" w14:textId="0CEC04DC" w:rsidR="00EE100D" w:rsidRPr="00747581" w:rsidRDefault="00747581" w:rsidP="00747581">
      <w:pPr>
        <w:jc w:val="center"/>
        <w:rPr>
          <w:color w:val="4472C4" w:themeColor="accent1"/>
        </w:rPr>
      </w:pPr>
      <w:r w:rsidRPr="00747581">
        <w:rPr>
          <w:color w:val="4472C4" w:themeColor="accent1"/>
        </w:rPr>
        <w:t>Unnecessary part is omitted</w:t>
      </w:r>
    </w:p>
    <w:p w14:paraId="48D47F56" w14:textId="3F789B63" w:rsidR="00D56D91" w:rsidRDefault="00747581" w:rsidP="00747581">
      <w:pPr>
        <w:rPr>
          <w:color w:val="FF0000"/>
        </w:rPr>
      </w:pPr>
      <w:r w:rsidRPr="00747581">
        <w:rPr>
          <w:color w:val="FF0000"/>
        </w:rPr>
        <w:t>-------------------------------------------------</w:t>
      </w:r>
      <w:r>
        <w:rPr>
          <w:color w:val="FF0000"/>
        </w:rPr>
        <w:t>-----------End of the example--------------------</w:t>
      </w:r>
      <w:r w:rsidRPr="00747581">
        <w:rPr>
          <w:color w:val="FF0000"/>
        </w:rPr>
        <w:t>-----------------------------------------</w:t>
      </w:r>
    </w:p>
    <w:p w14:paraId="3C17B4DB" w14:textId="43D2D206" w:rsidR="00D56D91" w:rsidRPr="00A412D5" w:rsidRDefault="00D56D91" w:rsidP="00D56D91">
      <w:pPr>
        <w:pStyle w:val="Heading1"/>
        <w:ind w:left="709" w:hanging="709"/>
      </w:pPr>
      <w:r>
        <w:t>4</w:t>
      </w:r>
      <w:r w:rsidRPr="00A412D5">
        <w:tab/>
      </w:r>
      <w:r>
        <w:t>Some consideration</w:t>
      </w:r>
    </w:p>
    <w:p w14:paraId="0087DF9C" w14:textId="2B814B5A" w:rsidR="00205A73" w:rsidRDefault="00D56D91" w:rsidP="00D56D91">
      <w:r>
        <w:t>In our understanding, the original</w:t>
      </w:r>
      <w:r w:rsidR="00205A73">
        <w:t xml:space="preserve"> motivation of [2] would </w:t>
      </w:r>
      <w:r w:rsidR="004F499B">
        <w:t xml:space="preserve">be that </w:t>
      </w:r>
      <w:r w:rsidR="001176FC">
        <w:t xml:space="preserve">for </w:t>
      </w:r>
      <w:r w:rsidR="004F499B">
        <w:t xml:space="preserve">UEs </w:t>
      </w:r>
      <w:r w:rsidR="001176FC">
        <w:t>with</w:t>
      </w:r>
      <w:r w:rsidR="004F499B">
        <w:t xml:space="preserve"> an </w:t>
      </w:r>
      <w:r w:rsidR="00A7180D">
        <w:t xml:space="preserve">hardware </w:t>
      </w:r>
      <w:r w:rsidR="004F499B">
        <w:t>ability to transmit the output power more than specified one such that PC2</w:t>
      </w:r>
      <w:r w:rsidR="001176FC">
        <w:t xml:space="preserve">, </w:t>
      </w:r>
      <w:r w:rsidR="004F499B">
        <w:t xml:space="preserve">it would be </w:t>
      </w:r>
      <w:r w:rsidR="00A7180D">
        <w:t xml:space="preserve">good </w:t>
      </w:r>
      <w:r w:rsidR="004F499B">
        <w:t xml:space="preserve">to </w:t>
      </w:r>
      <w:r w:rsidR="00A7180D">
        <w:t>provide</w:t>
      </w:r>
      <w:r w:rsidR="001176FC">
        <w:t xml:space="preserve"> the UEs with</w:t>
      </w:r>
      <w:r w:rsidR="00A7180D">
        <w:t xml:space="preserve"> an opportunity </w:t>
      </w:r>
      <w:r w:rsidR="004F499B">
        <w:t>to lift the limits without introducing new power classes</w:t>
      </w:r>
      <w:r w:rsidR="00A7180D">
        <w:t xml:space="preserve"> if they are in a power hungry situation</w:t>
      </w:r>
      <w:r w:rsidR="005372A0">
        <w:t>.</w:t>
      </w:r>
    </w:p>
    <w:p w14:paraId="353027DA" w14:textId="77777777" w:rsidR="00B61D61" w:rsidRDefault="00B61D61" w:rsidP="00D56D91">
      <w:pPr>
        <w:rPr>
          <w:b/>
          <w:bCs/>
        </w:rPr>
      </w:pPr>
      <w:r>
        <w:rPr>
          <w:b/>
          <w:bCs/>
        </w:rPr>
        <w:t>Observation 3: The original motivation is to lift the limit of UEs with hardware ability to transmit power more than defined one with the least effort.</w:t>
      </w:r>
    </w:p>
    <w:p w14:paraId="1B5E3659" w14:textId="77777777" w:rsidR="008D3040" w:rsidRDefault="00A7180D" w:rsidP="00D56D91">
      <w:r>
        <w:t xml:space="preserve">It would be true that defining new power classes may be clear and visible. It is, however, the price </w:t>
      </w:r>
      <w:r w:rsidR="00CE265A">
        <w:t xml:space="preserve">that </w:t>
      </w:r>
      <w:r>
        <w:t>we need to pay</w:t>
      </w:r>
      <w:r w:rsidR="00CE265A">
        <w:t xml:space="preserve"> for</w:t>
      </w:r>
      <w:r>
        <w:t xml:space="preserve"> is significant. </w:t>
      </w:r>
      <w:r w:rsidR="00CE265A">
        <w:t xml:space="preserve">Now </w:t>
      </w:r>
      <w:r>
        <w:t xml:space="preserve">RAN4 has so many basket WIs </w:t>
      </w:r>
      <w:r w:rsidR="00CE265A">
        <w:t xml:space="preserve">for band combinations for PC2 or PC3 </w:t>
      </w:r>
      <w:r>
        <w:t>and the number has still been increasing</w:t>
      </w:r>
      <w:r w:rsidR="00CE265A">
        <w:t xml:space="preserve"> steadily every TSG RAN.</w:t>
      </w:r>
      <w:r w:rsidR="00C61A23">
        <w:t xml:space="preserve"> </w:t>
      </w:r>
    </w:p>
    <w:p w14:paraId="4B7AC30E" w14:textId="33AE464C" w:rsidR="008D3040" w:rsidRDefault="008D3040" w:rsidP="008D3040">
      <w:pPr>
        <w:rPr>
          <w:b/>
          <w:bCs/>
        </w:rPr>
      </w:pPr>
      <w:r>
        <w:rPr>
          <w:b/>
          <w:bCs/>
        </w:rPr>
        <w:t>Observation 4: Defining new power classes will increase more RAN4 workload.</w:t>
      </w:r>
    </w:p>
    <w:p w14:paraId="0425C40C" w14:textId="104EE938" w:rsidR="005372A0" w:rsidRDefault="00C61A23" w:rsidP="00D56D91">
      <w:r>
        <w:t xml:space="preserve">Regardless of selecting the sum method or </w:t>
      </w:r>
      <w:r w:rsidR="008D3040">
        <w:t>the introduction of new power classes, in principle what we need to specify as performance requirements is the same while band configurations without any MSD issues would easily exploit its hardware ability with the sum method.</w:t>
      </w:r>
    </w:p>
    <w:p w14:paraId="33143F4F" w14:textId="49DBA36D" w:rsidR="008D3040" w:rsidRPr="008D3040" w:rsidRDefault="008D3040" w:rsidP="00D56D91">
      <w:r>
        <w:rPr>
          <w:b/>
          <w:bCs/>
        </w:rPr>
        <w:t>Observation 5: At least band configurations without MSD would get benefit from the sum method with the least standardization effort.</w:t>
      </w:r>
    </w:p>
    <w:bookmarkEnd w:id="0"/>
    <w:p w14:paraId="4063B845" w14:textId="2310CE19" w:rsidR="00276F69" w:rsidRPr="00A412D5" w:rsidRDefault="002F26C3" w:rsidP="002F26C3">
      <w:pPr>
        <w:pStyle w:val="Heading1"/>
        <w:ind w:left="709" w:hanging="709"/>
      </w:pPr>
      <w:r>
        <w:t>5</w:t>
      </w:r>
      <w:r w:rsidR="000D164D" w:rsidRPr="00A412D5">
        <w:tab/>
      </w:r>
      <w:r w:rsidR="00276F69" w:rsidRPr="00A412D5">
        <w:t>Conclusion</w:t>
      </w:r>
    </w:p>
    <w:p w14:paraId="3606577A" w14:textId="27FC7F12" w:rsidR="00DA03D6" w:rsidRPr="00A412D5" w:rsidRDefault="00C47C9F" w:rsidP="00276F69">
      <w:r w:rsidRPr="00A412D5">
        <w:t xml:space="preserve">In this contribution, </w:t>
      </w:r>
      <w:r w:rsidR="00EF45DB" w:rsidRPr="00A412D5">
        <w:t xml:space="preserve">we </w:t>
      </w:r>
      <w:r w:rsidR="008D3040">
        <w:t>d</w:t>
      </w:r>
      <w:r w:rsidR="001747AC">
        <w:t>u</w:t>
      </w:r>
      <w:r w:rsidR="008D3040">
        <w:t>g into</w:t>
      </w:r>
      <w:r w:rsidR="00EF45DB" w:rsidRPr="00A412D5">
        <w:t xml:space="preserve"> </w:t>
      </w:r>
      <w:r w:rsidR="002D746B" w:rsidRPr="00A412D5">
        <w:t xml:space="preserve">the </w:t>
      </w:r>
      <w:r w:rsidR="008D3040">
        <w:t xml:space="preserve">option 2, i.e., the sum method captured in </w:t>
      </w:r>
      <w:r w:rsidR="00FA723F" w:rsidRPr="00A412D5">
        <w:t>[1]</w:t>
      </w:r>
      <w:r w:rsidR="002D746B" w:rsidRPr="00A412D5">
        <w:t>. As a result, we obtained following observations and a proposal.</w:t>
      </w:r>
    </w:p>
    <w:p w14:paraId="4C726618" w14:textId="7697DA93" w:rsidR="001747AC" w:rsidRDefault="001747AC" w:rsidP="001747AC">
      <w:pPr>
        <w:rPr>
          <w:b/>
          <w:bCs/>
        </w:rPr>
      </w:pPr>
      <w:r>
        <w:rPr>
          <w:b/>
          <w:bCs/>
        </w:rPr>
        <w:t xml:space="preserve">Observation </w:t>
      </w:r>
      <w:r w:rsidRPr="00A412D5">
        <w:rPr>
          <w:b/>
          <w:bCs/>
        </w:rPr>
        <w:t>1</w:t>
      </w:r>
      <w:r>
        <w:rPr>
          <w:b/>
          <w:bCs/>
        </w:rPr>
        <w:t>: The sum method does not require a new PC capability to indicate a specific value, i.e., the sum of the per band power classes within a band configuration, but rather requires a capability to indicate that the UE can exploit the sum of them within a band configuration.</w:t>
      </w:r>
    </w:p>
    <w:p w14:paraId="07EBAE4E" w14:textId="77777777" w:rsidR="001747AC" w:rsidRPr="0078113A" w:rsidRDefault="001747AC" w:rsidP="001747AC">
      <w:pPr>
        <w:rPr>
          <w:b/>
          <w:bCs/>
          <w:lang w:val="en-US"/>
        </w:rPr>
      </w:pPr>
      <w:r w:rsidRPr="0078113A">
        <w:rPr>
          <w:b/>
          <w:bCs/>
        </w:rPr>
        <w:t xml:space="preserve">Observation 2: The sum method does not require to specify every single case consisting of different per-band power classes within a band configuration such that </w:t>
      </w:r>
      <w:r w:rsidRPr="0078113A">
        <w:rPr>
          <w:b/>
          <w:bCs/>
          <w:lang w:val="en-US"/>
        </w:rPr>
        <w:t>27.8 dBm(23 dBm+26 dBm), 24.8 dBm(20 dBm + 23 dBm) etc.</w:t>
      </w:r>
    </w:p>
    <w:p w14:paraId="1B892EBF" w14:textId="77777777" w:rsidR="001747AC" w:rsidRDefault="001747AC" w:rsidP="001747AC">
      <w:pPr>
        <w:rPr>
          <w:b/>
          <w:bCs/>
        </w:rPr>
      </w:pPr>
      <w:r>
        <w:rPr>
          <w:b/>
          <w:bCs/>
        </w:rPr>
        <w:t>Observation 3: The original motivation is to lift the limit of UEs with hardware ability to transmit power more than defined one with the least effort.</w:t>
      </w:r>
    </w:p>
    <w:p w14:paraId="538C1202" w14:textId="77777777" w:rsidR="001747AC" w:rsidRDefault="001747AC" w:rsidP="001747AC">
      <w:pPr>
        <w:rPr>
          <w:b/>
          <w:bCs/>
        </w:rPr>
      </w:pPr>
      <w:r>
        <w:rPr>
          <w:b/>
          <w:bCs/>
        </w:rPr>
        <w:t>Observation 4: Defining new power classes will increase more RAN4 workload.</w:t>
      </w:r>
    </w:p>
    <w:p w14:paraId="3AA931E3" w14:textId="2036291A" w:rsidR="001747AC" w:rsidRPr="001747AC" w:rsidRDefault="001747AC" w:rsidP="001747AC">
      <w:r>
        <w:rPr>
          <w:b/>
          <w:bCs/>
        </w:rPr>
        <w:lastRenderedPageBreak/>
        <w:t>Observation 5: At least band configurations without MSD would get benefit from the sum method with the least standardization effort.</w:t>
      </w:r>
    </w:p>
    <w:p w14:paraId="10B5045A" w14:textId="0F4D908D" w:rsidR="001E6E65" w:rsidRDefault="008150A5" w:rsidP="001E6E65">
      <w:pPr>
        <w:rPr>
          <w:b/>
          <w:bCs/>
        </w:rPr>
      </w:pPr>
      <w:r>
        <w:rPr>
          <w:b/>
          <w:bCs/>
        </w:rPr>
        <w:t>Proposal</w:t>
      </w:r>
      <w:r w:rsidRPr="00A412D5">
        <w:rPr>
          <w:b/>
          <w:bCs/>
        </w:rPr>
        <w:t xml:space="preserve"> </w:t>
      </w:r>
      <w:r w:rsidR="001747AC">
        <w:rPr>
          <w:b/>
          <w:bCs/>
        </w:rPr>
        <w:t>1</w:t>
      </w:r>
      <w:r>
        <w:rPr>
          <w:b/>
          <w:bCs/>
        </w:rPr>
        <w:t xml:space="preserve">: </w:t>
      </w:r>
      <w:r w:rsidR="001747AC">
        <w:rPr>
          <w:b/>
          <w:bCs/>
        </w:rPr>
        <w:t>Introduce the following changes into TS38.101-1.</w:t>
      </w:r>
    </w:p>
    <w:p w14:paraId="2DAF21A1" w14:textId="39B68EE6" w:rsidR="00FB737C" w:rsidRPr="00FB737C" w:rsidRDefault="00FB737C" w:rsidP="001E6E65">
      <w:pPr>
        <w:rPr>
          <w:color w:val="FF0000"/>
        </w:rPr>
      </w:pPr>
      <w:r w:rsidRPr="00747581">
        <w:rPr>
          <w:color w:val="FF0000"/>
        </w:rPr>
        <w:t>-------------------------------------------------an example of changes for configured power-----------------------------------------</w:t>
      </w:r>
    </w:p>
    <w:p w14:paraId="4C324950" w14:textId="77777777" w:rsidR="001747AC" w:rsidRDefault="001747AC" w:rsidP="001747AC">
      <w:pPr>
        <w:pStyle w:val="Heading5"/>
      </w:pPr>
      <w:r>
        <w:t>6.2A.4.1.3</w:t>
      </w:r>
      <w:r>
        <w:tab/>
        <w:t>Configured transmitted power for Inter-band CA</w:t>
      </w:r>
    </w:p>
    <w:p w14:paraId="40335190" w14:textId="77777777" w:rsidR="001747AC" w:rsidRPr="00747581" w:rsidRDefault="001747AC" w:rsidP="001747AC">
      <w:pPr>
        <w:jc w:val="center"/>
        <w:rPr>
          <w:color w:val="4472C4" w:themeColor="accent1"/>
        </w:rPr>
      </w:pPr>
      <w:r w:rsidRPr="00747581">
        <w:rPr>
          <w:color w:val="4472C4" w:themeColor="accent1"/>
        </w:rPr>
        <w:t>Unnecessary part is omitted</w:t>
      </w:r>
    </w:p>
    <w:p w14:paraId="0BCCD071" w14:textId="77777777" w:rsidR="001747AC" w:rsidRDefault="001747AC" w:rsidP="001747AC">
      <w:pPr>
        <w:pStyle w:val="EQ"/>
        <w:jc w:val="center"/>
        <w:rPr>
          <w:rFonts w:eastAsia="Times New Roman"/>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rFonts w:eastAsia="SimSun"/>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p>
    <w:p w14:paraId="4B652B55" w14:textId="77777777" w:rsidR="001747AC" w:rsidRDefault="001747AC" w:rsidP="001747AC">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p>
    <w:p w14:paraId="033C4322" w14:textId="77777777" w:rsidR="001747AC" w:rsidRDefault="001747AC" w:rsidP="001747AC">
      <w:pPr>
        <w:jc w:val="both"/>
        <w:rPr>
          <w:rFonts w:eastAsia="SimSun"/>
          <w:lang w:eastAsia="zh-CN"/>
        </w:rPr>
      </w:pPr>
      <w:r>
        <w:rPr>
          <w:rFonts w:eastAsia="SimSun" w:cs="Vrinda"/>
          <w:lang w:eastAsia="zh-CN" w:bidi="bn-IN"/>
        </w:rPr>
        <w:t>where</w:t>
      </w:r>
    </w:p>
    <w:p w14:paraId="39E82E5E" w14:textId="77777777" w:rsidR="001747AC" w:rsidRDefault="001747AC" w:rsidP="001747AC">
      <w:pPr>
        <w:pStyle w:val="B1"/>
        <w:rPr>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1B479CC7" w14:textId="77777777" w:rsidR="001747AC" w:rsidRDefault="001747AC" w:rsidP="001747AC">
      <w:pPr>
        <w:pStyle w:val="B1"/>
        <w:rPr>
          <w:rFonts w:eastAsia="SimSun"/>
          <w:lang w:eastAsia="zh-CN" w:bidi="bn-IN"/>
        </w:rPr>
      </w:pPr>
      <w:r>
        <w:rPr>
          <w:lang w:bidi="bn-IN"/>
        </w:rPr>
        <w:t>-</w:t>
      </w:r>
      <w:r>
        <w:rPr>
          <w:lang w:bidi="bn-IN"/>
        </w:rPr>
        <w:tab/>
      </w:r>
      <w:r w:rsidRPr="00B21500">
        <w:rPr>
          <w:highlight w:val="green"/>
          <w:lang w:bidi="bn-IN"/>
        </w:rPr>
        <w:t xml:space="preserve">If the field of </w:t>
      </w:r>
      <w:r>
        <w:rPr>
          <w:highlight w:val="green"/>
          <w:lang w:bidi="bn-IN"/>
        </w:rPr>
        <w:t xml:space="preserve">UE capability </w:t>
      </w:r>
      <w:r w:rsidRPr="001101A3">
        <w:rPr>
          <w:i/>
          <w:iCs/>
          <w:highlight w:val="green"/>
          <w:lang w:bidi="bn-IN"/>
        </w:rPr>
        <w:t>XXX</w:t>
      </w:r>
      <w:r w:rsidRPr="00B21500">
        <w:rPr>
          <w:highlight w:val="green"/>
          <w:lang w:bidi="bn-IN"/>
        </w:rPr>
        <w:t xml:space="preserve"> is not present,</w:t>
      </w:r>
      <w:r>
        <w:rPr>
          <w:lang w:bidi="bn-IN"/>
        </w:rPr>
        <w:t xml:space="preserve"> 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w:t>
      </w:r>
    </w:p>
    <w:p w14:paraId="2556337E" w14:textId="77777777" w:rsidR="001747AC" w:rsidRPr="002A21CD" w:rsidRDefault="001747AC" w:rsidP="001747AC">
      <w:pPr>
        <w:pStyle w:val="B1"/>
        <w:rPr>
          <w:lang w:bidi="bn-IN"/>
        </w:rPr>
      </w:pPr>
      <w:r w:rsidRPr="00A73663">
        <w:rPr>
          <w:highlight w:val="green"/>
          <w:lang w:bidi="bn-IN"/>
        </w:rPr>
        <w:t>-</w:t>
      </w:r>
      <w:r w:rsidRPr="00A73663">
        <w:rPr>
          <w:highlight w:val="green"/>
          <w:lang w:bidi="bn-IN"/>
        </w:rPr>
        <w:tab/>
        <w:t>If the field of UE capability XXX is present, P</w:t>
      </w:r>
      <w:r w:rsidRPr="00A73663">
        <w:rPr>
          <w:highlight w:val="green"/>
          <w:vertAlign w:val="subscript"/>
          <w:lang w:bidi="bn-IN"/>
        </w:rPr>
        <w:t>PowerClass,CA</w:t>
      </w:r>
      <w:r w:rsidRPr="00A73663">
        <w:rPr>
          <w:highlight w:val="green"/>
          <w:lang w:bidi="bn-IN"/>
        </w:rPr>
        <w:t xml:space="preserve"> is replaced with 10log</w:t>
      </w:r>
      <w:r w:rsidRPr="00A73663">
        <w:rPr>
          <w:highlight w:val="green"/>
          <w:vertAlign w:val="subscript"/>
          <w:lang w:bidi="bn-IN"/>
        </w:rPr>
        <w:t>10</w:t>
      </w:r>
      <w:r w:rsidRPr="00A73663">
        <w:rPr>
          <w:highlight w:val="green"/>
        </w:rPr>
        <w:t>∑</w:t>
      </w:r>
      <w:r w:rsidRPr="00A73663">
        <w:rPr>
          <w:highlight w:val="green"/>
          <w:lang w:bidi="bn-IN"/>
        </w:rPr>
        <w:t xml:space="preserve"> p</w:t>
      </w:r>
      <w:r w:rsidRPr="00A73663">
        <w:rPr>
          <w:highlight w:val="green"/>
          <w:vertAlign w:val="subscript"/>
          <w:lang w:bidi="bn-IN"/>
        </w:rPr>
        <w:t>PowerClass,c</w:t>
      </w:r>
      <w:r w:rsidRPr="00A73663">
        <w:rPr>
          <w:rFonts w:eastAsia="SimSun"/>
          <w:highlight w:val="green"/>
          <w:lang w:eastAsia="zh-CN" w:bidi="bn-IN"/>
        </w:rPr>
        <w:t>;</w:t>
      </w:r>
    </w:p>
    <w:p w14:paraId="77024143" w14:textId="2F933A89" w:rsidR="001747AC" w:rsidRDefault="001747AC" w:rsidP="001747AC">
      <w:pPr>
        <w:ind w:left="568" w:hanging="284"/>
        <w:rPr>
          <w:lang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without taking into account the tolerance;</w:t>
      </w:r>
    </w:p>
    <w:p w14:paraId="2DD04135" w14:textId="77777777" w:rsidR="00FB737C" w:rsidRPr="00747581" w:rsidRDefault="00FB737C" w:rsidP="00FB737C">
      <w:pPr>
        <w:jc w:val="center"/>
        <w:rPr>
          <w:color w:val="4472C4" w:themeColor="accent1"/>
        </w:rPr>
      </w:pPr>
      <w:r w:rsidRPr="00747581">
        <w:rPr>
          <w:color w:val="4472C4" w:themeColor="accent1"/>
        </w:rPr>
        <w:t>Unnecessary part is omitted</w:t>
      </w:r>
    </w:p>
    <w:p w14:paraId="29624AF3" w14:textId="77777777" w:rsidR="00FB737C" w:rsidRDefault="00FB737C" w:rsidP="00FB737C">
      <w:pPr>
        <w:rPr>
          <w:color w:val="FF0000"/>
        </w:rPr>
      </w:pPr>
      <w:r w:rsidRPr="00747581">
        <w:rPr>
          <w:color w:val="FF0000"/>
        </w:rPr>
        <w:t>-------------------------------------------------</w:t>
      </w:r>
      <w:r>
        <w:rPr>
          <w:color w:val="FF0000"/>
        </w:rPr>
        <w:t>-----------End of the example--------------------</w:t>
      </w:r>
      <w:r w:rsidRPr="00747581">
        <w:rPr>
          <w:color w:val="FF0000"/>
        </w:rPr>
        <w:t>-----------------------------------------</w:t>
      </w:r>
    </w:p>
    <w:p w14:paraId="3E39575C" w14:textId="77777777" w:rsidR="00FB737C" w:rsidRDefault="00FB737C" w:rsidP="001747AC">
      <w:pPr>
        <w:ind w:left="568" w:hanging="284"/>
        <w:rPr>
          <w:lang w:bidi="bn-IN"/>
        </w:rPr>
      </w:pPr>
    </w:p>
    <w:p w14:paraId="4686ADAA" w14:textId="3816B5BE" w:rsidR="001747AC" w:rsidRPr="008150A5" w:rsidRDefault="001747AC" w:rsidP="001E6E65">
      <w:pPr>
        <w:rPr>
          <w:rFonts w:cs="Arial"/>
          <w:b/>
          <w:bCs/>
        </w:rPr>
      </w:pPr>
      <w:r>
        <w:rPr>
          <w:b/>
          <w:bCs/>
        </w:rPr>
        <w:t>Proposal</w:t>
      </w:r>
      <w:r w:rsidRPr="00A412D5">
        <w:rPr>
          <w:b/>
          <w:bCs/>
        </w:rPr>
        <w:t xml:space="preserve"> </w:t>
      </w:r>
      <w:r>
        <w:rPr>
          <w:b/>
          <w:bCs/>
        </w:rPr>
        <w:t>2: Start with applying the sum method captured in the proposal 1 to band configurations without any MSD issues.</w:t>
      </w:r>
    </w:p>
    <w:p w14:paraId="08E8FE59" w14:textId="64975AAE" w:rsidR="00F62561" w:rsidRPr="00A412D5" w:rsidRDefault="002F26C3" w:rsidP="00F62561">
      <w:pPr>
        <w:pStyle w:val="Heading1"/>
      </w:pPr>
      <w:r>
        <w:t>6</w:t>
      </w:r>
      <w:r w:rsidR="00F62561" w:rsidRPr="00A412D5">
        <w:tab/>
        <w:t>References</w:t>
      </w:r>
    </w:p>
    <w:p w14:paraId="072CEF36" w14:textId="764F360C" w:rsidR="00E101DD" w:rsidRDefault="00F62561" w:rsidP="002D746B">
      <w:r w:rsidRPr="00A412D5">
        <w:t xml:space="preserve">[1] </w:t>
      </w:r>
      <w:r w:rsidR="00D56D91" w:rsidRPr="00D56D91">
        <w:t>R4-2107741</w:t>
      </w:r>
      <w:r w:rsidRPr="00A412D5">
        <w:t xml:space="preserve">, </w:t>
      </w:r>
      <w:r w:rsidR="00D56D91" w:rsidRPr="00D56D91">
        <w:t>WF on UE PC2 SAR solutions and UE maximum power</w:t>
      </w:r>
      <w:r w:rsidRPr="00A412D5">
        <w:t xml:space="preserve">, </w:t>
      </w:r>
      <w:r w:rsidR="00D56D91" w:rsidRPr="00D56D91">
        <w:t>China Telecom</w:t>
      </w:r>
    </w:p>
    <w:p w14:paraId="172DA328" w14:textId="39B3C3B4" w:rsidR="00961872" w:rsidRPr="00A412D5" w:rsidRDefault="00961872" w:rsidP="002D746B">
      <w:r>
        <w:t xml:space="preserve">[2] </w:t>
      </w:r>
      <w:r w:rsidR="00205A73" w:rsidRPr="00205A73">
        <w:t>R4-2016439</w:t>
      </w:r>
      <w:r>
        <w:t xml:space="preserve">, </w:t>
      </w:r>
      <w:r w:rsidR="00205A73" w:rsidRPr="00205A73">
        <w:t>Upper limits on output power for dual PA</w:t>
      </w:r>
      <w:r>
        <w:t xml:space="preserve">, </w:t>
      </w:r>
      <w:r w:rsidRPr="00961872">
        <w:t>Qualcomm Incorporated</w:t>
      </w:r>
    </w:p>
    <w:sectPr w:rsidR="00961872" w:rsidRPr="00A412D5"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ECE82" w14:textId="77777777" w:rsidR="009E7881" w:rsidRDefault="009E7881" w:rsidP="002B3503">
      <w:pPr>
        <w:spacing w:after="0"/>
      </w:pPr>
      <w:r>
        <w:separator/>
      </w:r>
    </w:p>
  </w:endnote>
  <w:endnote w:type="continuationSeparator" w:id="0">
    <w:p w14:paraId="04E1FCDA" w14:textId="77777777" w:rsidR="009E7881" w:rsidRDefault="009E788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DA875" w14:textId="77777777" w:rsidR="009E7881" w:rsidRDefault="009E7881" w:rsidP="002B3503">
      <w:pPr>
        <w:spacing w:after="0"/>
      </w:pPr>
      <w:r>
        <w:separator/>
      </w:r>
    </w:p>
  </w:footnote>
  <w:footnote w:type="continuationSeparator" w:id="0">
    <w:p w14:paraId="21850429" w14:textId="77777777" w:rsidR="009E7881" w:rsidRDefault="009E788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3"/>
  </w:num>
  <w:num w:numId="4">
    <w:abstractNumId w:val="22"/>
  </w:num>
  <w:num w:numId="5">
    <w:abstractNumId w:val="5"/>
  </w:num>
  <w:num w:numId="6">
    <w:abstractNumId w:val="21"/>
  </w:num>
  <w:num w:numId="7">
    <w:abstractNumId w:val="1"/>
  </w:num>
  <w:num w:numId="8">
    <w:abstractNumId w:val="23"/>
  </w:num>
  <w:num w:numId="9">
    <w:abstractNumId w:val="7"/>
  </w:num>
  <w:num w:numId="10">
    <w:abstractNumId w:val="2"/>
  </w:num>
  <w:num w:numId="11">
    <w:abstractNumId w:val="14"/>
  </w:num>
  <w:num w:numId="12">
    <w:abstractNumId w:val="25"/>
  </w:num>
  <w:num w:numId="13">
    <w:abstractNumId w:val="20"/>
  </w:num>
  <w:num w:numId="14">
    <w:abstractNumId w:val="4"/>
  </w:num>
  <w:num w:numId="15">
    <w:abstractNumId w:val="11"/>
  </w:num>
  <w:num w:numId="16">
    <w:abstractNumId w:val="15"/>
  </w:num>
  <w:num w:numId="17">
    <w:abstractNumId w:val="29"/>
  </w:num>
  <w:num w:numId="18">
    <w:abstractNumId w:val="0"/>
  </w:num>
  <w:num w:numId="19">
    <w:abstractNumId w:val="24"/>
  </w:num>
  <w:num w:numId="20">
    <w:abstractNumId w:val="6"/>
  </w:num>
  <w:num w:numId="21">
    <w:abstractNumId w:val="17"/>
  </w:num>
  <w:num w:numId="22">
    <w:abstractNumId w:val="12"/>
  </w:num>
  <w:num w:numId="23">
    <w:abstractNumId w:val="27"/>
  </w:num>
  <w:num w:numId="24">
    <w:abstractNumId w:val="19"/>
  </w:num>
  <w:num w:numId="25">
    <w:abstractNumId w:val="16"/>
  </w:num>
  <w:num w:numId="26">
    <w:abstractNumId w:val="33"/>
  </w:num>
  <w:num w:numId="27">
    <w:abstractNumId w:val="3"/>
  </w:num>
  <w:num w:numId="28">
    <w:abstractNumId w:val="35"/>
  </w:num>
  <w:num w:numId="29">
    <w:abstractNumId w:val="18"/>
  </w:num>
  <w:num w:numId="30">
    <w:abstractNumId w:val="30"/>
  </w:num>
  <w:num w:numId="31">
    <w:abstractNumId w:val="8"/>
  </w:num>
  <w:num w:numId="32">
    <w:abstractNumId w:val="34"/>
  </w:num>
  <w:num w:numId="33">
    <w:abstractNumId w:val="26"/>
  </w:num>
  <w:num w:numId="34">
    <w:abstractNumId w:val="31"/>
  </w:num>
  <w:num w:numId="35">
    <w:abstractNumId w:val="32"/>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7321B"/>
    <w:rsid w:val="00091F0B"/>
    <w:rsid w:val="000A3CB6"/>
    <w:rsid w:val="000A6473"/>
    <w:rsid w:val="000A754F"/>
    <w:rsid w:val="000B1608"/>
    <w:rsid w:val="000B4E56"/>
    <w:rsid w:val="000B5E8E"/>
    <w:rsid w:val="000D164D"/>
    <w:rsid w:val="000D789C"/>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6131F"/>
    <w:rsid w:val="001725F9"/>
    <w:rsid w:val="001747AC"/>
    <w:rsid w:val="00177EFF"/>
    <w:rsid w:val="001953B8"/>
    <w:rsid w:val="001A7904"/>
    <w:rsid w:val="001D5A83"/>
    <w:rsid w:val="001E413F"/>
    <w:rsid w:val="001E5D81"/>
    <w:rsid w:val="001E6E65"/>
    <w:rsid w:val="001F746E"/>
    <w:rsid w:val="00205A73"/>
    <w:rsid w:val="002127E2"/>
    <w:rsid w:val="00214C87"/>
    <w:rsid w:val="00215035"/>
    <w:rsid w:val="00215E52"/>
    <w:rsid w:val="00223058"/>
    <w:rsid w:val="00230BF5"/>
    <w:rsid w:val="00236D19"/>
    <w:rsid w:val="00242B76"/>
    <w:rsid w:val="00242D06"/>
    <w:rsid w:val="00272473"/>
    <w:rsid w:val="00276F69"/>
    <w:rsid w:val="00291DDD"/>
    <w:rsid w:val="00294DA5"/>
    <w:rsid w:val="002A066E"/>
    <w:rsid w:val="002A21CD"/>
    <w:rsid w:val="002A7181"/>
    <w:rsid w:val="002B0EF3"/>
    <w:rsid w:val="002B3503"/>
    <w:rsid w:val="002D1B45"/>
    <w:rsid w:val="002D658E"/>
    <w:rsid w:val="002D746B"/>
    <w:rsid w:val="002F26C3"/>
    <w:rsid w:val="002F3001"/>
    <w:rsid w:val="002F3595"/>
    <w:rsid w:val="002F6A38"/>
    <w:rsid w:val="003029F0"/>
    <w:rsid w:val="00345D7E"/>
    <w:rsid w:val="00347DEA"/>
    <w:rsid w:val="00364459"/>
    <w:rsid w:val="00365484"/>
    <w:rsid w:val="003777FE"/>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499B"/>
    <w:rsid w:val="004F517D"/>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DAE"/>
    <w:rsid w:val="00613AB3"/>
    <w:rsid w:val="00624CC0"/>
    <w:rsid w:val="00630E81"/>
    <w:rsid w:val="00641C2E"/>
    <w:rsid w:val="00641E1F"/>
    <w:rsid w:val="006451A0"/>
    <w:rsid w:val="00653629"/>
    <w:rsid w:val="00664AE9"/>
    <w:rsid w:val="00664DF6"/>
    <w:rsid w:val="0068320A"/>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B7EA2"/>
    <w:rsid w:val="007C3D2F"/>
    <w:rsid w:val="007D1C54"/>
    <w:rsid w:val="007D20DF"/>
    <w:rsid w:val="007E0C29"/>
    <w:rsid w:val="007E530F"/>
    <w:rsid w:val="007E752F"/>
    <w:rsid w:val="007F6E08"/>
    <w:rsid w:val="00803510"/>
    <w:rsid w:val="00804160"/>
    <w:rsid w:val="00813258"/>
    <w:rsid w:val="008150A5"/>
    <w:rsid w:val="008236E4"/>
    <w:rsid w:val="00831DD5"/>
    <w:rsid w:val="00842341"/>
    <w:rsid w:val="00846F0E"/>
    <w:rsid w:val="00850296"/>
    <w:rsid w:val="00871B4D"/>
    <w:rsid w:val="008757AE"/>
    <w:rsid w:val="00881E35"/>
    <w:rsid w:val="00891F14"/>
    <w:rsid w:val="008926AE"/>
    <w:rsid w:val="00893D45"/>
    <w:rsid w:val="00894106"/>
    <w:rsid w:val="00895E24"/>
    <w:rsid w:val="008A4493"/>
    <w:rsid w:val="008A635A"/>
    <w:rsid w:val="008B72EE"/>
    <w:rsid w:val="008D12E4"/>
    <w:rsid w:val="008D3040"/>
    <w:rsid w:val="00901158"/>
    <w:rsid w:val="00902479"/>
    <w:rsid w:val="0091383D"/>
    <w:rsid w:val="00914AA9"/>
    <w:rsid w:val="009157FA"/>
    <w:rsid w:val="0092439E"/>
    <w:rsid w:val="009342E0"/>
    <w:rsid w:val="00940559"/>
    <w:rsid w:val="00961872"/>
    <w:rsid w:val="00966126"/>
    <w:rsid w:val="009922F2"/>
    <w:rsid w:val="00996062"/>
    <w:rsid w:val="009A1B59"/>
    <w:rsid w:val="009B1E68"/>
    <w:rsid w:val="009B6543"/>
    <w:rsid w:val="009B7F2A"/>
    <w:rsid w:val="009D0290"/>
    <w:rsid w:val="009E1C89"/>
    <w:rsid w:val="009E38F4"/>
    <w:rsid w:val="009E7881"/>
    <w:rsid w:val="00A03C3D"/>
    <w:rsid w:val="00A05A14"/>
    <w:rsid w:val="00A115AF"/>
    <w:rsid w:val="00A16F72"/>
    <w:rsid w:val="00A412D5"/>
    <w:rsid w:val="00A451E8"/>
    <w:rsid w:val="00A6018C"/>
    <w:rsid w:val="00A649C8"/>
    <w:rsid w:val="00A7180D"/>
    <w:rsid w:val="00A73663"/>
    <w:rsid w:val="00A83B5D"/>
    <w:rsid w:val="00A925DB"/>
    <w:rsid w:val="00AA3CD1"/>
    <w:rsid w:val="00AB3FAE"/>
    <w:rsid w:val="00AB4684"/>
    <w:rsid w:val="00AD0CC8"/>
    <w:rsid w:val="00AD0F48"/>
    <w:rsid w:val="00AD7B8E"/>
    <w:rsid w:val="00AE1D3D"/>
    <w:rsid w:val="00AE52A5"/>
    <w:rsid w:val="00AE6327"/>
    <w:rsid w:val="00AF7CB0"/>
    <w:rsid w:val="00B1615C"/>
    <w:rsid w:val="00B20B99"/>
    <w:rsid w:val="00B2349C"/>
    <w:rsid w:val="00B42112"/>
    <w:rsid w:val="00B4385F"/>
    <w:rsid w:val="00B60363"/>
    <w:rsid w:val="00B61D61"/>
    <w:rsid w:val="00B65B59"/>
    <w:rsid w:val="00B72408"/>
    <w:rsid w:val="00B77164"/>
    <w:rsid w:val="00BA303F"/>
    <w:rsid w:val="00BA51B8"/>
    <w:rsid w:val="00BC228C"/>
    <w:rsid w:val="00BC2924"/>
    <w:rsid w:val="00BC764C"/>
    <w:rsid w:val="00BF4B17"/>
    <w:rsid w:val="00C07A46"/>
    <w:rsid w:val="00C17B19"/>
    <w:rsid w:val="00C21554"/>
    <w:rsid w:val="00C30772"/>
    <w:rsid w:val="00C3087E"/>
    <w:rsid w:val="00C45DB3"/>
    <w:rsid w:val="00C47C9F"/>
    <w:rsid w:val="00C60CEF"/>
    <w:rsid w:val="00C61A23"/>
    <w:rsid w:val="00C81190"/>
    <w:rsid w:val="00C83E86"/>
    <w:rsid w:val="00C91EE2"/>
    <w:rsid w:val="00CB607B"/>
    <w:rsid w:val="00CC2754"/>
    <w:rsid w:val="00CC277F"/>
    <w:rsid w:val="00CE241D"/>
    <w:rsid w:val="00CE265A"/>
    <w:rsid w:val="00CE4E40"/>
    <w:rsid w:val="00CE699C"/>
    <w:rsid w:val="00D07626"/>
    <w:rsid w:val="00D275CC"/>
    <w:rsid w:val="00D348C6"/>
    <w:rsid w:val="00D34A7A"/>
    <w:rsid w:val="00D40AED"/>
    <w:rsid w:val="00D44EB4"/>
    <w:rsid w:val="00D546CC"/>
    <w:rsid w:val="00D56D91"/>
    <w:rsid w:val="00D57C62"/>
    <w:rsid w:val="00D64074"/>
    <w:rsid w:val="00D73C30"/>
    <w:rsid w:val="00D767C4"/>
    <w:rsid w:val="00D77CF5"/>
    <w:rsid w:val="00D85C29"/>
    <w:rsid w:val="00DA03D6"/>
    <w:rsid w:val="00DA1BED"/>
    <w:rsid w:val="00DA4A61"/>
    <w:rsid w:val="00DA7396"/>
    <w:rsid w:val="00DA745E"/>
    <w:rsid w:val="00DC54FF"/>
    <w:rsid w:val="00DE00CF"/>
    <w:rsid w:val="00DE3EDB"/>
    <w:rsid w:val="00DE5DDF"/>
    <w:rsid w:val="00DF1DEC"/>
    <w:rsid w:val="00DF302A"/>
    <w:rsid w:val="00E014E2"/>
    <w:rsid w:val="00E03EF1"/>
    <w:rsid w:val="00E101DD"/>
    <w:rsid w:val="00E2059F"/>
    <w:rsid w:val="00E23850"/>
    <w:rsid w:val="00E25C47"/>
    <w:rsid w:val="00E332C0"/>
    <w:rsid w:val="00E33B68"/>
    <w:rsid w:val="00E36095"/>
    <w:rsid w:val="00E67197"/>
    <w:rsid w:val="00E87EDC"/>
    <w:rsid w:val="00E962C5"/>
    <w:rsid w:val="00EA3488"/>
    <w:rsid w:val="00EB0D8A"/>
    <w:rsid w:val="00EB5F7D"/>
    <w:rsid w:val="00EC2826"/>
    <w:rsid w:val="00EC589F"/>
    <w:rsid w:val="00EC6665"/>
    <w:rsid w:val="00ED54F1"/>
    <w:rsid w:val="00ED5B5A"/>
    <w:rsid w:val="00EE0298"/>
    <w:rsid w:val="00EE100D"/>
    <w:rsid w:val="00EE5885"/>
    <w:rsid w:val="00EE6657"/>
    <w:rsid w:val="00EF2401"/>
    <w:rsid w:val="00EF45DB"/>
    <w:rsid w:val="00F562CA"/>
    <w:rsid w:val="00F62561"/>
    <w:rsid w:val="00F646D5"/>
    <w:rsid w:val="00F648B5"/>
    <w:rsid w:val="00F7023C"/>
    <w:rsid w:val="00F7226A"/>
    <w:rsid w:val="00F82F84"/>
    <w:rsid w:val="00F97D64"/>
    <w:rsid w:val="00FA723F"/>
    <w:rsid w:val="00FB737C"/>
    <w:rsid w:val="00FC0A09"/>
    <w:rsid w:val="00FD0298"/>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2021-08-01T00:52:00Z</dcterms:created>
  <dcterms:modified xsi:type="dcterms:W3CDTF">2021-08-01T00:52:00Z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