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C4B" w:rsidRDefault="002D5C4B" w:rsidP="002D5C4B">
      <w:pPr>
        <w:pStyle w:val="CRCoverPage"/>
        <w:tabs>
          <w:tab w:val="right" w:pos="9638"/>
        </w:tabs>
        <w:spacing w:after="0"/>
        <w:outlineLvl w:val="0"/>
        <w:rPr>
          <w:b/>
          <w:noProof/>
          <w:sz w:val="28"/>
        </w:rPr>
      </w:pPr>
      <w:r>
        <w:rPr>
          <w:b/>
          <w:noProof/>
          <w:sz w:val="28"/>
        </w:rPr>
        <w:t>3GPP TSG-RAN WG3 #96</w:t>
      </w:r>
      <w:r>
        <w:rPr>
          <w:b/>
          <w:noProof/>
          <w:sz w:val="28"/>
        </w:rPr>
        <w:tab/>
      </w:r>
      <w:r w:rsidRPr="0089599B">
        <w:rPr>
          <w:b/>
          <w:noProof/>
          <w:sz w:val="28"/>
        </w:rPr>
        <w:t>R3-17</w:t>
      </w:r>
      <w:r>
        <w:rPr>
          <w:b/>
          <w:noProof/>
          <w:sz w:val="28"/>
        </w:rPr>
        <w:t>1419</w:t>
      </w:r>
    </w:p>
    <w:p w:rsidR="002D5C4B" w:rsidRDefault="002D5C4B" w:rsidP="002D5C4B">
      <w:pPr>
        <w:pStyle w:val="CRCoverPage"/>
        <w:tabs>
          <w:tab w:val="right" w:pos="9638"/>
        </w:tabs>
        <w:spacing w:after="0"/>
        <w:outlineLvl w:val="0"/>
        <w:rPr>
          <w:b/>
          <w:noProof/>
          <w:sz w:val="28"/>
        </w:rPr>
      </w:pPr>
      <w:r>
        <w:rPr>
          <w:b/>
          <w:noProof/>
          <w:sz w:val="28"/>
        </w:rPr>
        <w:t>Hangzhou, P. R. China, 15th - 19th May 2017</w:t>
      </w:r>
    </w:p>
    <w:p w:rsidR="002D5C4B" w:rsidRPr="00B77F7A" w:rsidRDefault="002D5C4B" w:rsidP="002D5C4B">
      <w:pPr>
        <w:pStyle w:val="CRCoverPage"/>
        <w:pBdr>
          <w:bottom w:val="single" w:sz="6" w:space="0" w:color="auto"/>
        </w:pBdr>
        <w:tabs>
          <w:tab w:val="right" w:pos="9638"/>
        </w:tabs>
        <w:spacing w:after="0"/>
        <w:outlineLvl w:val="0"/>
        <w:rPr>
          <w:b/>
          <w:noProof/>
          <w:sz w:val="28"/>
        </w:rPr>
      </w:pPr>
    </w:p>
    <w:p w:rsidR="002D5C4B" w:rsidRDefault="002D5C4B" w:rsidP="002D5C4B">
      <w:pPr>
        <w:pStyle w:val="CRCoverPage"/>
        <w:tabs>
          <w:tab w:val="left" w:pos="7655"/>
        </w:tabs>
        <w:spacing w:after="0"/>
        <w:outlineLvl w:val="0"/>
        <w:rPr>
          <w:b/>
          <w:bCs/>
          <w:noProof/>
          <w:sz w:val="24"/>
          <w:szCs w:val="24"/>
        </w:rPr>
      </w:pPr>
    </w:p>
    <w:p w:rsidR="003E0050" w:rsidRDefault="003E0050" w:rsidP="003E0050">
      <w:pPr>
        <w:pStyle w:val="3GPPHeader"/>
        <w:spacing w:after="60"/>
        <w:rPr>
          <w:sz w:val="32"/>
          <w:szCs w:val="32"/>
        </w:rPr>
      </w:pPr>
      <w:r>
        <w:t>3GPP TSG-RAN WG2 #97bis</w:t>
      </w:r>
      <w:r>
        <w:tab/>
      </w:r>
      <w:r w:rsidR="004A2BF4" w:rsidRPr="004A2BF4">
        <w:rPr>
          <w:sz w:val="32"/>
          <w:szCs w:val="32"/>
        </w:rPr>
        <w:t>R2-1703957</w:t>
      </w:r>
    </w:p>
    <w:p w:rsidR="003E0050" w:rsidRPr="003E0050" w:rsidRDefault="003E0050" w:rsidP="003E0050">
      <w:pPr>
        <w:rPr>
          <w:rFonts w:ascii="Arial" w:hAnsi="Arial" w:cs="Arial"/>
          <w:b/>
          <w:sz w:val="24"/>
          <w:szCs w:val="24"/>
        </w:rPr>
      </w:pPr>
      <w:r w:rsidRPr="003E0050">
        <w:rPr>
          <w:rFonts w:ascii="Arial" w:hAnsi="Arial" w:cs="Arial"/>
          <w:b/>
          <w:sz w:val="24"/>
          <w:szCs w:val="24"/>
        </w:rPr>
        <w:t>Spokane, USA, 3</w:t>
      </w:r>
      <w:r w:rsidRPr="003E0050">
        <w:rPr>
          <w:rFonts w:ascii="Arial" w:hAnsi="Arial" w:cs="Arial"/>
          <w:b/>
          <w:sz w:val="24"/>
          <w:szCs w:val="24"/>
          <w:vertAlign w:val="superscript"/>
        </w:rPr>
        <w:t>rd</w:t>
      </w:r>
      <w:r w:rsidRPr="003E0050">
        <w:rPr>
          <w:rFonts w:ascii="Arial" w:hAnsi="Arial" w:cs="Arial"/>
          <w:b/>
          <w:sz w:val="24"/>
          <w:szCs w:val="24"/>
        </w:rPr>
        <w:t xml:space="preserve"> – 7</w:t>
      </w:r>
      <w:r w:rsidRPr="003E0050">
        <w:rPr>
          <w:rFonts w:ascii="Arial" w:hAnsi="Arial" w:cs="Arial"/>
          <w:b/>
          <w:sz w:val="24"/>
          <w:szCs w:val="24"/>
          <w:vertAlign w:val="superscript"/>
        </w:rPr>
        <w:t>th</w:t>
      </w:r>
      <w:r w:rsidRPr="003E0050">
        <w:rPr>
          <w:rFonts w:ascii="Arial" w:hAnsi="Arial" w:cs="Arial"/>
          <w:b/>
          <w:sz w:val="24"/>
          <w:szCs w:val="24"/>
        </w:rPr>
        <w:t xml:space="preserve"> April 2017</w:t>
      </w:r>
    </w:p>
    <w:p w:rsidR="003E0050" w:rsidRDefault="003E0050" w:rsidP="003E0050">
      <w:pPr>
        <w:rPr>
          <w:rFonts w:ascii="Arial" w:hAnsi="Arial" w:cs="Arial"/>
        </w:rPr>
      </w:pPr>
    </w:p>
    <w:p w:rsidR="00D5390B" w:rsidRPr="008D5FA9" w:rsidRDefault="003A1B8F" w:rsidP="003E0050">
      <w:pPr>
        <w:rPr>
          <w:rFonts w:ascii="Arial" w:hAnsi="Arial" w:cs="Arial"/>
          <w:bCs/>
        </w:rPr>
      </w:pPr>
      <w:r w:rsidRPr="008D5FA9">
        <w:rPr>
          <w:rFonts w:ascii="Arial" w:hAnsi="Arial" w:cs="Arial"/>
          <w:b/>
        </w:rPr>
        <w:t>Title:</w:t>
      </w:r>
      <w:r w:rsidRPr="008D5FA9">
        <w:rPr>
          <w:rFonts w:ascii="Arial" w:hAnsi="Arial" w:cs="Arial"/>
          <w:b/>
        </w:rPr>
        <w:tab/>
      </w:r>
      <w:r w:rsidR="003E0050">
        <w:rPr>
          <w:rFonts w:ascii="Arial" w:hAnsi="Arial" w:cs="Arial"/>
          <w:b/>
        </w:rPr>
        <w:t xml:space="preserve">                       </w:t>
      </w:r>
      <w:r w:rsidR="008E4A72" w:rsidRPr="008E4A72">
        <w:rPr>
          <w:rFonts w:ascii="Arial" w:hAnsi="Arial" w:cs="Arial"/>
          <w:bCs/>
        </w:rPr>
        <w:t xml:space="preserve">LS to RAN3 on RAN2 LTE NR </w:t>
      </w:r>
      <w:r w:rsidR="0006460A">
        <w:rPr>
          <w:rFonts w:ascii="Arial" w:hAnsi="Arial" w:cs="Arial" w:hint="eastAsia"/>
          <w:bCs/>
          <w:lang w:eastAsia="zh-CN"/>
        </w:rPr>
        <w:t>interworking</w:t>
      </w:r>
      <w:r w:rsidR="00264722">
        <w:rPr>
          <w:rFonts w:ascii="Arial" w:hAnsi="Arial" w:cs="Arial" w:hint="eastAsia"/>
          <w:bCs/>
          <w:lang w:eastAsia="zh-CN"/>
        </w:rPr>
        <w:t xml:space="preserve"> procedure</w:t>
      </w:r>
      <w:r w:rsidR="008E4A72" w:rsidRPr="008E4A72">
        <w:rPr>
          <w:rFonts w:ascii="Arial" w:hAnsi="Arial" w:cs="Arial"/>
          <w:bCs/>
        </w:rPr>
        <w:t xml:space="preserve"> related conclusions</w:t>
      </w:r>
    </w:p>
    <w:p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proofErr w:type="spellStart"/>
      <w:r w:rsidR="004A2BF4" w:rsidRPr="004A2BF4">
        <w:rPr>
          <w:rFonts w:ascii="Arial" w:hAnsi="Arial" w:cs="Arial"/>
          <w:bCs/>
        </w:rPr>
        <w:t>NR_newRAT</w:t>
      </w:r>
      <w:proofErr w:type="spellEnd"/>
      <w:r w:rsidR="004A2BF4" w:rsidRPr="004A2BF4">
        <w:rPr>
          <w:rFonts w:ascii="Arial" w:hAnsi="Arial" w:cs="Arial"/>
          <w:bCs/>
        </w:rPr>
        <w:t>-Core</w:t>
      </w:r>
    </w:p>
    <w:p w:rsidR="00D5390B" w:rsidRPr="008D5FA9" w:rsidRDefault="00D5390B">
      <w:pPr>
        <w:spacing w:after="60"/>
        <w:ind w:left="1985" w:hanging="1985"/>
        <w:rPr>
          <w:rFonts w:ascii="Arial" w:hAnsi="Arial" w:cs="Arial"/>
          <w:b/>
        </w:rPr>
      </w:pPr>
    </w:p>
    <w:p w:rsidR="00D5390B" w:rsidRPr="008D5FA9" w:rsidRDefault="003A1B8F">
      <w:pPr>
        <w:spacing w:after="60"/>
        <w:ind w:left="1985" w:hanging="1985"/>
        <w:rPr>
          <w:rFonts w:ascii="Arial" w:hAnsi="Arial" w:cs="Arial"/>
          <w:bCs/>
          <w:lang w:eastAsia="zh-CN"/>
        </w:rPr>
      </w:pPr>
      <w:r w:rsidRPr="008D5FA9">
        <w:rPr>
          <w:rFonts w:ascii="Arial" w:hAnsi="Arial" w:cs="Arial"/>
          <w:b/>
        </w:rPr>
        <w:t>Source:</w:t>
      </w:r>
      <w:r w:rsidRPr="008D5FA9">
        <w:rPr>
          <w:rFonts w:ascii="Arial" w:hAnsi="Arial" w:cs="Arial"/>
          <w:bCs/>
        </w:rPr>
        <w:tab/>
      </w:r>
      <w:r w:rsidR="007737E0">
        <w:rPr>
          <w:rFonts w:ascii="Arial" w:hAnsi="Arial" w:cs="Arial"/>
          <w:bCs/>
        </w:rPr>
        <w:t>RAN2</w:t>
      </w:r>
    </w:p>
    <w:p w:rsidR="00AE1358" w:rsidRDefault="003A1B8F">
      <w:pPr>
        <w:spacing w:after="60"/>
        <w:ind w:left="1985" w:hanging="1985"/>
        <w:rPr>
          <w:rFonts w:ascii="Arial" w:hAnsi="Arial" w:cs="Arial"/>
          <w:bCs/>
          <w:lang w:eastAsia="zh-CN"/>
        </w:rPr>
      </w:pPr>
      <w:r>
        <w:rPr>
          <w:rFonts w:ascii="Arial" w:hAnsi="Arial" w:cs="Arial"/>
          <w:b/>
        </w:rPr>
        <w:t>To:</w:t>
      </w:r>
      <w:r>
        <w:rPr>
          <w:rFonts w:ascii="Arial" w:hAnsi="Arial" w:cs="Arial"/>
          <w:bCs/>
        </w:rPr>
        <w:tab/>
      </w:r>
      <w:r w:rsidR="008E4A72">
        <w:rPr>
          <w:rFonts w:ascii="Arial" w:hAnsi="Arial" w:cs="Arial" w:hint="eastAsia"/>
          <w:bCs/>
          <w:lang w:eastAsia="zh-CN"/>
        </w:rPr>
        <w:t>RAN</w:t>
      </w:r>
      <w:r w:rsidR="00A1507B">
        <w:rPr>
          <w:rFonts w:ascii="Arial" w:hAnsi="Arial" w:cs="Arial" w:hint="eastAsia"/>
          <w:bCs/>
          <w:lang w:eastAsia="zh-CN"/>
        </w:rPr>
        <w:t>3</w:t>
      </w:r>
    </w:p>
    <w:p w:rsidR="00D5390B" w:rsidRDefault="00D5390B">
      <w:pPr>
        <w:spacing w:after="60"/>
        <w:ind w:left="1985" w:hanging="1985"/>
        <w:rPr>
          <w:rFonts w:ascii="Arial" w:hAnsi="Arial" w:cs="Arial"/>
          <w:bCs/>
        </w:rPr>
      </w:pPr>
    </w:p>
    <w:p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rsidR="00D5390B" w:rsidRDefault="003A1B8F">
      <w:pPr>
        <w:pStyle w:val="Heading4"/>
        <w:tabs>
          <w:tab w:val="left" w:pos="2268"/>
        </w:tabs>
        <w:ind w:left="567"/>
        <w:rPr>
          <w:rFonts w:cs="Arial"/>
          <w:b w:val="0"/>
          <w:bCs/>
          <w:lang w:eastAsia="zh-CN"/>
        </w:rPr>
      </w:pPr>
      <w:r>
        <w:rPr>
          <w:rFonts w:cs="Arial"/>
        </w:rPr>
        <w:t>Name:</w:t>
      </w:r>
      <w:r>
        <w:rPr>
          <w:rFonts w:cs="Arial"/>
          <w:b w:val="0"/>
          <w:bCs/>
        </w:rPr>
        <w:tab/>
      </w:r>
      <w:r w:rsidR="00A1507B">
        <w:rPr>
          <w:rFonts w:cs="Arial" w:hint="eastAsia"/>
          <w:b w:val="0"/>
          <w:bCs/>
          <w:lang w:eastAsia="zh-CN"/>
        </w:rPr>
        <w:t>Yi GUO</w:t>
      </w:r>
    </w:p>
    <w:p w:rsidR="00D5390B" w:rsidRDefault="003A1B8F">
      <w:pPr>
        <w:tabs>
          <w:tab w:val="left" w:pos="2268"/>
          <w:tab w:val="left" w:pos="2694"/>
        </w:tabs>
        <w:ind w:left="567"/>
        <w:rPr>
          <w:rFonts w:ascii="Arial" w:hAnsi="Arial" w:cs="Arial"/>
          <w:bCs/>
          <w:lang w:eastAsia="zh-CN"/>
        </w:rPr>
      </w:pPr>
      <w:r>
        <w:rPr>
          <w:rFonts w:ascii="Arial" w:hAnsi="Arial" w:cs="Arial"/>
          <w:b/>
        </w:rPr>
        <w:t>Tel. Number:</w:t>
      </w:r>
      <w:r>
        <w:rPr>
          <w:rFonts w:ascii="Arial" w:hAnsi="Arial" w:cs="Arial"/>
          <w:bCs/>
        </w:rPr>
        <w:tab/>
      </w:r>
      <w:r w:rsidR="00AE1358" w:rsidRPr="00AD3DAF">
        <w:rPr>
          <w:rFonts w:ascii="Arial" w:hAnsi="Arial" w:cs="Arial"/>
        </w:rPr>
        <w:t>+</w:t>
      </w:r>
      <w:r w:rsidR="00A1507B">
        <w:rPr>
          <w:rFonts w:ascii="Arial" w:hAnsi="Arial" w:cs="Arial" w:hint="eastAsia"/>
          <w:bCs/>
          <w:lang w:eastAsia="zh-CN"/>
        </w:rPr>
        <w:t>86 15900449667</w:t>
      </w:r>
    </w:p>
    <w:p w:rsidR="00D5390B" w:rsidRDefault="003A1B8F">
      <w:pPr>
        <w:pStyle w:val="Heading7"/>
        <w:tabs>
          <w:tab w:val="left" w:pos="2268"/>
        </w:tabs>
        <w:ind w:left="567"/>
        <w:rPr>
          <w:rFonts w:cs="Arial"/>
          <w:b w:val="0"/>
          <w:bCs/>
        </w:rPr>
      </w:pPr>
      <w:r>
        <w:rPr>
          <w:rFonts w:cs="Arial"/>
        </w:rPr>
        <w:t>E-mail Address:</w:t>
      </w:r>
      <w:r>
        <w:rPr>
          <w:rFonts w:cs="Arial"/>
          <w:b w:val="0"/>
          <w:bCs/>
        </w:rPr>
        <w:tab/>
      </w:r>
      <w:r w:rsidR="00A1507B">
        <w:rPr>
          <w:rFonts w:cs="Arial" w:hint="eastAsia"/>
          <w:b w:val="0"/>
          <w:bCs/>
          <w:lang w:eastAsia="zh-CN"/>
        </w:rPr>
        <w:t>yi.guo at huawei dot com</w:t>
      </w:r>
    </w:p>
    <w:p w:rsidR="00D5390B" w:rsidRDefault="00D5390B">
      <w:pPr>
        <w:spacing w:after="60"/>
        <w:ind w:left="1985" w:hanging="1985"/>
        <w:rPr>
          <w:rFonts w:ascii="Arial" w:hAnsi="Arial" w:cs="Arial"/>
          <w:b/>
        </w:rPr>
      </w:pPr>
    </w:p>
    <w:p w:rsidR="00D5390B" w:rsidRDefault="00D5390B">
      <w:pPr>
        <w:pBdr>
          <w:bottom w:val="single" w:sz="4" w:space="1" w:color="auto"/>
        </w:pBdr>
        <w:rPr>
          <w:rFonts w:ascii="Arial" w:hAnsi="Arial" w:cs="Arial"/>
        </w:rPr>
      </w:pPr>
    </w:p>
    <w:p w:rsidR="00D5390B" w:rsidRDefault="00D5390B">
      <w:pPr>
        <w:rPr>
          <w:rFonts w:ascii="Arial" w:hAnsi="Arial" w:cs="Arial"/>
        </w:rPr>
      </w:pPr>
    </w:p>
    <w:p w:rsidR="00D5390B" w:rsidRDefault="003A1B8F">
      <w:pPr>
        <w:spacing w:after="120"/>
        <w:rPr>
          <w:rFonts w:ascii="Arial" w:hAnsi="Arial" w:cs="Arial"/>
          <w:b/>
        </w:rPr>
      </w:pPr>
      <w:r>
        <w:rPr>
          <w:rFonts w:ascii="Arial" w:hAnsi="Arial" w:cs="Arial"/>
          <w:b/>
        </w:rPr>
        <w:t>1. Overall Description:</w:t>
      </w:r>
    </w:p>
    <w:p w:rsidR="00FA7A10" w:rsidRDefault="00F0244B" w:rsidP="00F0244B">
      <w:pPr>
        <w:rPr>
          <w:rFonts w:ascii="Arial" w:hAnsi="Arial" w:cs="Arial"/>
          <w:lang w:eastAsia="zh-CN"/>
        </w:rPr>
      </w:pPr>
      <w:r w:rsidRPr="00F0244B">
        <w:rPr>
          <w:rFonts w:ascii="Arial" w:hAnsi="Arial" w:cs="Arial"/>
        </w:rPr>
        <w:t xml:space="preserve">RAN2 </w:t>
      </w:r>
      <w:r>
        <w:rPr>
          <w:rFonts w:ascii="Arial" w:hAnsi="Arial" w:cs="Arial"/>
        </w:rPr>
        <w:t xml:space="preserve">has discussed </w:t>
      </w:r>
      <w:r w:rsidR="00FA7A10">
        <w:rPr>
          <w:rFonts w:ascii="Arial" w:hAnsi="Arial" w:cs="Arial" w:hint="eastAsia"/>
        </w:rPr>
        <w:t>some</w:t>
      </w:r>
      <w:r w:rsidR="002017AF">
        <w:rPr>
          <w:rFonts w:ascii="Arial" w:hAnsi="Arial" w:cs="Arial"/>
        </w:rPr>
        <w:t xml:space="preserve"> procedures for LTE-NR interworking</w:t>
      </w:r>
      <w:r w:rsidR="00FA7A10">
        <w:rPr>
          <w:rFonts w:ascii="Arial" w:hAnsi="Arial" w:cs="Arial" w:hint="eastAsia"/>
          <w:lang w:eastAsia="zh-CN"/>
        </w:rPr>
        <w:t xml:space="preserve"> and </w:t>
      </w:r>
      <w:r w:rsidR="00DC3D6A">
        <w:rPr>
          <w:rFonts w:ascii="Arial" w:hAnsi="Arial" w:cs="Arial" w:hint="eastAsia"/>
          <w:lang w:eastAsia="zh-CN"/>
        </w:rPr>
        <w:t>has agreed:</w:t>
      </w:r>
    </w:p>
    <w:p w:rsidR="00DC3D6A" w:rsidRDefault="00DC3D6A" w:rsidP="00F0244B">
      <w:pPr>
        <w:rPr>
          <w:rFonts w:ascii="Arial" w:hAnsi="Arial" w:cs="Arial"/>
          <w:b/>
          <w:lang w:eastAsia="zh-CN"/>
        </w:rPr>
      </w:pPr>
    </w:p>
    <w:p w:rsidR="008552CD" w:rsidRDefault="008552CD" w:rsidP="008552CD">
      <w:pPr>
        <w:pStyle w:val="Doc-text2"/>
        <w:rPr>
          <w:lang w:eastAsia="zh-CN"/>
        </w:rPr>
      </w:pPr>
      <w:r>
        <w:rPr>
          <w:rFonts w:hint="eastAsia"/>
          <w:lang w:eastAsia="zh-CN"/>
        </w:rPr>
        <w:t>RAN2#97:</w:t>
      </w:r>
    </w:p>
    <w:p w:rsidR="008552CD" w:rsidRDefault="008552CD" w:rsidP="008552CD">
      <w:pPr>
        <w:pStyle w:val="Doc-text2"/>
        <w:pBdr>
          <w:top w:val="single" w:sz="4" w:space="1" w:color="auto"/>
          <w:left w:val="single" w:sz="4" w:space="4" w:color="auto"/>
          <w:bottom w:val="single" w:sz="4" w:space="1" w:color="auto"/>
          <w:right w:val="single" w:sz="4" w:space="4" w:color="auto"/>
        </w:pBdr>
      </w:pPr>
      <w:r>
        <w:t>Agreements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1</w:t>
      </w:r>
      <w:r>
        <w:tab/>
        <w:t>Secondary node initiates the secondary node change procedure in the connected active mode.</w:t>
      </w:r>
    </w:p>
    <w:p w:rsidR="008552CD" w:rsidRDefault="008552CD" w:rsidP="008552CD">
      <w:pPr>
        <w:pStyle w:val="Doc-text2"/>
        <w:pBdr>
          <w:top w:val="single" w:sz="4" w:space="1" w:color="auto"/>
          <w:left w:val="single" w:sz="4" w:space="4" w:color="auto"/>
          <w:bottom w:val="single" w:sz="4" w:space="1" w:color="auto"/>
          <w:right w:val="single" w:sz="4" w:space="4" w:color="auto"/>
        </w:pBdr>
      </w:pPr>
      <w:r>
        <w:t>2</w:t>
      </w:r>
      <w:r>
        <w:tab/>
        <w:t>In some cases the MN is involved and takes final decision before the secondary node change occurs. FFS whether the MN needs to be involved for other cases (e.g. SN cell change without PDCP change)</w:t>
      </w:r>
    </w:p>
    <w:p w:rsidR="008552CD" w:rsidRDefault="008552CD" w:rsidP="008552CD">
      <w:pPr>
        <w:pStyle w:val="Doc-text2"/>
        <w:pBdr>
          <w:top w:val="single" w:sz="4" w:space="1" w:color="auto"/>
          <w:left w:val="single" w:sz="4" w:space="4" w:color="auto"/>
          <w:bottom w:val="single" w:sz="4" w:space="1" w:color="auto"/>
          <w:right w:val="single" w:sz="4" w:space="4" w:color="auto"/>
        </w:pBdr>
      </w:pPr>
      <w:r>
        <w:t>3</w:t>
      </w:r>
      <w:r>
        <w:tab/>
        <w:t>The RRM measurement configuration for secondary node change is maintained by secondary node and also processes measurement reports.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FFS what additional information can be provided from the SN to the MN when the SN change is initiated.</w:t>
      </w:r>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FFS Whether master node can also initiate </w:t>
      </w:r>
      <w:r w:rsidRPr="00D73C56">
        <w:t>secondary node change procedure</w:t>
      </w:r>
      <w:r>
        <w:t xml:space="preserve"> (e.g. inter-freq HO for load balancing reasons)</w:t>
      </w:r>
    </w:p>
    <w:p w:rsidR="008552CD" w:rsidRDefault="008552CD" w:rsidP="008552CD">
      <w:pPr>
        <w:pStyle w:val="Doc-text2"/>
        <w:rPr>
          <w:rFonts w:eastAsiaTheme="minorEastAsia"/>
          <w:lang w:eastAsia="zh-CN"/>
        </w:rPr>
      </w:pPr>
    </w:p>
    <w:p w:rsidR="008552CD" w:rsidRPr="008552CD" w:rsidRDefault="008552CD" w:rsidP="008552CD">
      <w:pPr>
        <w:pStyle w:val="Doc-text2"/>
        <w:rPr>
          <w:rFonts w:eastAsiaTheme="minorEastAsia"/>
          <w:lang w:eastAsia="zh-CN"/>
        </w:rPr>
      </w:pPr>
      <w:r>
        <w:rPr>
          <w:rFonts w:eastAsiaTheme="minorEastAsia" w:hint="eastAsia"/>
          <w:lang w:eastAsia="zh-CN"/>
        </w:rPr>
        <w:t>RAN2#97bis</w:t>
      </w:r>
    </w:p>
    <w:p w:rsidR="008552CD" w:rsidRDefault="008552CD" w:rsidP="008552CD">
      <w:pPr>
        <w:pStyle w:val="Doc-text2"/>
        <w:pBdr>
          <w:top w:val="single" w:sz="4" w:space="1" w:color="auto"/>
          <w:left w:val="single" w:sz="4" w:space="4" w:color="auto"/>
          <w:bottom w:val="single" w:sz="4" w:space="1" w:color="auto"/>
          <w:right w:val="single" w:sz="4" w:space="4" w:color="auto"/>
        </w:pBdr>
      </w:pPr>
      <w:r>
        <w:t>Agreements: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1: </w:t>
      </w:r>
      <w:r>
        <w:tab/>
        <w:t>On receiving the request for SN change, the master accepts/rejects (e.g. taking into account available information, network connectivity, etc) whether to carry out the requested inter-secondary nodes change (i.e. different Xx interface). The master may select a different target node in different frequency for the SN change based on the NR inter-frequency measurement maintained by master itself;</w:t>
      </w:r>
    </w:p>
    <w:p w:rsidR="008552CD" w:rsidRDefault="008552CD" w:rsidP="008552CD">
      <w:pPr>
        <w:pStyle w:val="Doc-text2"/>
        <w:pBdr>
          <w:top w:val="single" w:sz="4" w:space="1" w:color="auto"/>
          <w:left w:val="single" w:sz="4" w:space="4" w:color="auto"/>
          <w:bottom w:val="single" w:sz="4" w:space="1" w:color="auto"/>
          <w:right w:val="single" w:sz="4" w:space="4" w:color="auto"/>
        </w:pBdr>
      </w:pPr>
      <w:r>
        <w:t>1a: MN can also trigger an inter-frequency  the SN node change without any request from the SN.</w:t>
      </w:r>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2: </w:t>
      </w:r>
      <w:r>
        <w:tab/>
        <w:t>Final RRC message for the inter-SN change will be generated from master node</w:t>
      </w:r>
    </w:p>
    <w:p w:rsidR="008552CD" w:rsidRDefault="008552CD" w:rsidP="008552CD">
      <w:pPr>
        <w:pStyle w:val="Doc-text2"/>
        <w:pBdr>
          <w:top w:val="single" w:sz="4" w:space="1" w:color="auto"/>
          <w:left w:val="single" w:sz="4" w:space="4" w:color="auto"/>
          <w:bottom w:val="single" w:sz="4" w:space="1" w:color="auto"/>
          <w:right w:val="single" w:sz="4" w:space="4" w:color="auto"/>
        </w:pBdr>
      </w:pPr>
      <w:r>
        <w:t>3:</w:t>
      </w:r>
      <w:r>
        <w:tab/>
        <w:t>SN does not provide the NR measurement results to the MN;</w:t>
      </w:r>
    </w:p>
    <w:p w:rsidR="008552CD" w:rsidRDefault="008552CD" w:rsidP="008552CD">
      <w:pPr>
        <w:pStyle w:val="Doc-text2"/>
        <w:pBdr>
          <w:top w:val="single" w:sz="4" w:space="1" w:color="auto"/>
          <w:left w:val="single" w:sz="4" w:space="4" w:color="auto"/>
          <w:bottom w:val="single" w:sz="4" w:space="1" w:color="auto"/>
          <w:right w:val="single" w:sz="4" w:space="4" w:color="auto"/>
        </w:pBdr>
      </w:pPr>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FFS: </w:t>
      </w:r>
      <w:r w:rsidRPr="00E0333B">
        <w:t xml:space="preserve">UE can be configured </w:t>
      </w:r>
      <w:r>
        <w:t>with MN NR measurement configuration and S</w:t>
      </w:r>
      <w:r w:rsidRPr="00E0333B">
        <w:t xml:space="preserve">N </w:t>
      </w:r>
      <w:r>
        <w:t xml:space="preserve">NR </w:t>
      </w:r>
      <w:r w:rsidRPr="00E0333B">
        <w:t>measurement conf</w:t>
      </w:r>
      <w:r>
        <w:t>i</w:t>
      </w:r>
      <w:r w:rsidRPr="00E0333B">
        <w:t>guration</w:t>
      </w:r>
      <w:r>
        <w:t xml:space="preserve"> on inter frequencies which are different from the serving frequencies used in SN. UE cannot be configured with MN NR measurement configuration on the serving SN frequencies. (This does not preclude MN NR measurement configuration to include inter-freq events that include the serving cell measurement)</w:t>
      </w:r>
    </w:p>
    <w:p w:rsidR="008552CD" w:rsidRDefault="008552CD" w:rsidP="008552CD">
      <w:pPr>
        <w:pStyle w:val="Doc-text2"/>
        <w:pBdr>
          <w:top w:val="single" w:sz="4" w:space="1" w:color="auto"/>
          <w:left w:val="single" w:sz="4" w:space="4" w:color="auto"/>
          <w:bottom w:val="single" w:sz="4" w:space="1" w:color="auto"/>
          <w:right w:val="single" w:sz="4" w:space="4" w:color="auto"/>
        </w:pBdr>
      </w:pPr>
      <w:r>
        <w:t>FFS on how to coordinate the NR measurement configuration between MN and SN;</w:t>
      </w:r>
    </w:p>
    <w:p w:rsidR="008552CD" w:rsidRDefault="008552CD" w:rsidP="008552CD">
      <w:pPr>
        <w:pStyle w:val="Doc-text2"/>
        <w:pBdr>
          <w:top w:val="single" w:sz="4" w:space="1" w:color="auto"/>
          <w:left w:val="single" w:sz="4" w:space="4" w:color="auto"/>
          <w:bottom w:val="single" w:sz="4" w:space="1" w:color="auto"/>
          <w:right w:val="single" w:sz="4" w:space="4" w:color="auto"/>
        </w:pBdr>
      </w:pPr>
      <w:r>
        <w:t>FFS how to allow the MN to perform inter-RAT measurement for potential handover to the serving SN frequency.</w:t>
      </w:r>
    </w:p>
    <w:p w:rsidR="008552CD" w:rsidRDefault="008552CD" w:rsidP="00F0244B">
      <w:pPr>
        <w:rPr>
          <w:rFonts w:ascii="Arial" w:hAnsi="Arial" w:cs="Arial"/>
          <w:lang w:eastAsia="zh-CN"/>
        </w:rPr>
      </w:pPr>
    </w:p>
    <w:p w:rsidR="008552CD" w:rsidRDefault="008552CD" w:rsidP="008552CD">
      <w:pPr>
        <w:pStyle w:val="Doc-text2"/>
        <w:pBdr>
          <w:top w:val="single" w:sz="4" w:space="1" w:color="auto"/>
          <w:left w:val="single" w:sz="4" w:space="4" w:color="auto"/>
          <w:bottom w:val="single" w:sz="4" w:space="1" w:color="auto"/>
          <w:right w:val="single" w:sz="4" w:space="4" w:color="auto"/>
        </w:pBdr>
      </w:pPr>
      <w:r>
        <w:t>Agreements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1: Secondary Node Addition is used when there is no SN configured and is only initiated by the MN.</w:t>
      </w:r>
    </w:p>
    <w:p w:rsidR="008552CD" w:rsidRDefault="008552CD" w:rsidP="008552CD">
      <w:pPr>
        <w:pStyle w:val="Doc-text2"/>
        <w:pBdr>
          <w:top w:val="single" w:sz="4" w:space="1" w:color="auto"/>
          <w:left w:val="single" w:sz="4" w:space="4" w:color="auto"/>
          <w:bottom w:val="single" w:sz="4" w:space="1" w:color="auto"/>
          <w:right w:val="single" w:sz="4" w:space="4" w:color="auto"/>
        </w:pBdr>
      </w:pPr>
      <w:r>
        <w:t>2: The recipient node of SN Release cannot reject the request.</w:t>
      </w:r>
    </w:p>
    <w:p w:rsidR="008552CD" w:rsidRDefault="008552CD" w:rsidP="008552CD">
      <w:pPr>
        <w:pStyle w:val="Doc-text2"/>
        <w:pBdr>
          <w:top w:val="single" w:sz="4" w:space="1" w:color="auto"/>
          <w:left w:val="single" w:sz="4" w:space="4" w:color="auto"/>
          <w:bottom w:val="single" w:sz="4" w:space="1" w:color="auto"/>
          <w:right w:val="single" w:sz="4" w:space="4" w:color="auto"/>
        </w:pBdr>
      </w:pPr>
      <w:r>
        <w:t>3: Intra-SN mobility can trigger a SN modification request by the SN to MN.</w:t>
      </w:r>
    </w:p>
    <w:p w:rsidR="008552CD" w:rsidRDefault="008552CD" w:rsidP="008552CD">
      <w:pPr>
        <w:pStyle w:val="Doc-text2"/>
        <w:pBdr>
          <w:top w:val="single" w:sz="4" w:space="1" w:color="auto"/>
          <w:left w:val="single" w:sz="4" w:space="4" w:color="auto"/>
          <w:bottom w:val="single" w:sz="4" w:space="1" w:color="auto"/>
          <w:right w:val="single" w:sz="4" w:space="4" w:color="auto"/>
        </w:pBdr>
      </w:pPr>
      <w:r>
        <w:t>FFS which scenarios require MN involvement and which don't.</w:t>
      </w:r>
    </w:p>
    <w:p w:rsidR="008552CD" w:rsidRDefault="008552CD" w:rsidP="008552CD">
      <w:pPr>
        <w:pStyle w:val="Doc-text2"/>
        <w:pBdr>
          <w:top w:val="single" w:sz="4" w:space="1" w:color="auto"/>
          <w:left w:val="single" w:sz="4" w:space="4" w:color="auto"/>
          <w:bottom w:val="single" w:sz="4" w:space="1" w:color="auto"/>
          <w:right w:val="single" w:sz="4" w:space="4" w:color="auto"/>
        </w:pBdr>
      </w:pPr>
      <w:r>
        <w:t>4: For LTE-NR DC, MN handover can happen without SN node change.</w:t>
      </w:r>
    </w:p>
    <w:p w:rsidR="008552CD" w:rsidRDefault="008552CD" w:rsidP="008552CD">
      <w:pPr>
        <w:pStyle w:val="Doc-text2"/>
      </w:pPr>
    </w:p>
    <w:p w:rsidR="008552CD" w:rsidRDefault="008552CD" w:rsidP="008552CD">
      <w:pPr>
        <w:pStyle w:val="Doc-text2"/>
        <w:pBdr>
          <w:top w:val="single" w:sz="4" w:space="1" w:color="auto"/>
          <w:left w:val="single" w:sz="4" w:space="4" w:color="auto"/>
          <w:bottom w:val="single" w:sz="4" w:space="1" w:color="auto"/>
          <w:right w:val="single" w:sz="4" w:space="4" w:color="auto"/>
        </w:pBdr>
      </w:pPr>
      <w:r>
        <w:t>Agreements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1</w:t>
      </w:r>
      <w:r w:rsidRPr="00210CEF">
        <w:t xml:space="preserve">: The MN should be involved in the SN cell change without PDCP change at least in the case where the UE capability </w:t>
      </w:r>
      <w:r>
        <w:t>coordination is required</w:t>
      </w:r>
      <w:r w:rsidRPr="00210CEF">
        <w:t xml:space="preserve"> due to SN cell reconfiguration.</w:t>
      </w:r>
      <w:r>
        <w:t xml:space="preserve"> (e.g. NR </w:t>
      </w:r>
      <w:proofErr w:type="spellStart"/>
      <w:r>
        <w:t>SCell</w:t>
      </w:r>
      <w:proofErr w:type="spellEnd"/>
      <w:r>
        <w:t xml:space="preserve"> change may require </w:t>
      </w:r>
      <w:r w:rsidRPr="00210CEF">
        <w:t xml:space="preserve">UE capability </w:t>
      </w:r>
      <w:r>
        <w:t>coordination)</w:t>
      </w:r>
    </w:p>
    <w:p w:rsidR="008552CD" w:rsidRDefault="008552CD" w:rsidP="00F0244B">
      <w:pPr>
        <w:rPr>
          <w:rFonts w:ascii="Arial" w:hAnsi="Arial" w:cs="Arial"/>
          <w:lang w:eastAsia="zh-CN"/>
        </w:rPr>
      </w:pPr>
    </w:p>
    <w:p w:rsidR="00DC3D6A" w:rsidRDefault="00DC3D6A" w:rsidP="00DC3D6A">
      <w:pPr>
        <w:pStyle w:val="Doc-text2"/>
        <w:pBdr>
          <w:top w:val="single" w:sz="4" w:space="1" w:color="auto"/>
          <w:left w:val="single" w:sz="4" w:space="4" w:color="auto"/>
          <w:bottom w:val="single" w:sz="4" w:space="1" w:color="auto"/>
          <w:right w:val="single" w:sz="4" w:space="4" w:color="auto"/>
        </w:pBdr>
      </w:pPr>
      <w:r>
        <w:t>4:</w:t>
      </w:r>
      <w:r>
        <w:tab/>
        <w:t>Each SN RRC message should have its own RRC response message even when the SCG request message is encapsulated in an MCG RRC message. SCG response message is forwarded over Xx to SN.</w:t>
      </w:r>
    </w:p>
    <w:p w:rsidR="00DC3D6A" w:rsidRDefault="00DC3D6A" w:rsidP="00F0244B">
      <w:pPr>
        <w:rPr>
          <w:rFonts w:ascii="Arial" w:hAnsi="Arial" w:cs="Arial"/>
          <w:lang w:eastAsia="zh-CN"/>
        </w:rPr>
      </w:pPr>
    </w:p>
    <w:p w:rsidR="00DC3D6A" w:rsidRDefault="00DC3D6A" w:rsidP="00DC3D6A">
      <w:pPr>
        <w:pStyle w:val="Doc-text2"/>
        <w:pBdr>
          <w:top w:val="single" w:sz="4" w:space="1" w:color="auto"/>
          <w:left w:val="single" w:sz="4" w:space="4" w:color="auto"/>
          <w:bottom w:val="single" w:sz="4" w:space="1" w:color="auto"/>
          <w:right w:val="single" w:sz="4" w:space="4" w:color="auto"/>
        </w:pBdr>
      </w:pPr>
      <w:r>
        <w:t xml:space="preserve">2: Split SRB should be decided and configured by MN in </w:t>
      </w:r>
      <w:proofErr w:type="spellStart"/>
      <w:r>
        <w:t>SeNB</w:t>
      </w:r>
      <w:proofErr w:type="spellEnd"/>
      <w:r>
        <w:t xml:space="preserve"> addition and/or Modification procedure, with SN configuration part provided by SN. (RAN3 can discuss whether there are cases where the SN may need to reject the split SRB configuration)</w:t>
      </w:r>
    </w:p>
    <w:p w:rsidR="00DC3D6A" w:rsidRPr="00DC3D6A" w:rsidRDefault="00DC3D6A" w:rsidP="00F0244B">
      <w:pPr>
        <w:rPr>
          <w:rFonts w:ascii="Arial" w:hAnsi="Arial" w:cs="Arial"/>
          <w:lang w:eastAsia="zh-CN"/>
        </w:rPr>
      </w:pPr>
      <w:r>
        <w:rPr>
          <w:rFonts w:ascii="Arial" w:hAnsi="Arial" w:cs="Arial" w:hint="eastAsia"/>
          <w:lang w:eastAsia="zh-CN"/>
        </w:rPr>
        <w:t>Note: we only listed procedure related conclusions.</w:t>
      </w:r>
    </w:p>
    <w:p w:rsidR="008552CD" w:rsidRPr="008552CD" w:rsidRDefault="008552CD" w:rsidP="00F0244B">
      <w:pPr>
        <w:rPr>
          <w:rFonts w:ascii="Arial" w:hAnsi="Arial" w:cs="Arial"/>
          <w:lang w:eastAsia="zh-CN"/>
        </w:rPr>
      </w:pPr>
    </w:p>
    <w:p w:rsidR="00FA7A10" w:rsidRDefault="00DC3D6A" w:rsidP="00F0244B">
      <w:pPr>
        <w:rPr>
          <w:rFonts w:ascii="Arial" w:hAnsi="Arial" w:cs="Arial"/>
          <w:lang w:eastAsia="zh-CN"/>
        </w:rPr>
      </w:pPr>
      <w:r>
        <w:rPr>
          <w:rFonts w:ascii="Arial" w:hAnsi="Arial" w:cs="Arial" w:hint="eastAsia"/>
          <w:lang w:eastAsia="zh-CN"/>
        </w:rPr>
        <w:t xml:space="preserve">Regarding the secondary node change procedure, </w:t>
      </w:r>
      <w:r w:rsidR="00CA6B71">
        <w:rPr>
          <w:rFonts w:ascii="Arial" w:hAnsi="Arial" w:cs="Arial" w:hint="eastAsia"/>
          <w:lang w:eastAsia="zh-CN"/>
        </w:rPr>
        <w:t>RAN2 also discussed which node to contact the new secondary node in case the SN change is initiated by the secondary node. Two solutions are on the table:</w:t>
      </w:r>
    </w:p>
    <w:p w:rsidR="00DC3D6A" w:rsidRPr="00DC3D6A" w:rsidRDefault="00DC3D6A" w:rsidP="00F0244B">
      <w:pPr>
        <w:rPr>
          <w:rFonts w:ascii="Arial" w:hAnsi="Arial" w:cs="Arial"/>
          <w:b/>
          <w:lang w:eastAsia="zh-CN"/>
        </w:rPr>
      </w:pPr>
    </w:p>
    <w:p w:rsidR="00CA6B71" w:rsidRDefault="00CA6B71" w:rsidP="00F0244B">
      <w:pPr>
        <w:rPr>
          <w:rFonts w:ascii="Arial" w:hAnsi="Arial" w:cs="Arial"/>
          <w:lang w:eastAsia="zh-CN"/>
        </w:rPr>
      </w:pPr>
      <w:r w:rsidRPr="00DC3D6A">
        <w:rPr>
          <w:rFonts w:ascii="Arial" w:hAnsi="Arial" w:cs="Arial" w:hint="eastAsia"/>
          <w:b/>
          <w:lang w:eastAsia="zh-CN"/>
        </w:rPr>
        <w:t xml:space="preserve">Solution 1: </w:t>
      </w:r>
      <w:r>
        <w:rPr>
          <w:rFonts w:ascii="Arial" w:hAnsi="Arial" w:cs="Arial" w:hint="eastAsia"/>
          <w:lang w:eastAsia="zh-CN"/>
        </w:rPr>
        <w:t xml:space="preserve">Secondary node sends the command to the Master node, and the Master node contacts the new secondary node, at least for the case </w:t>
      </w:r>
      <w:r w:rsidRPr="00CA6B71">
        <w:rPr>
          <w:rFonts w:ascii="Arial" w:hAnsi="Arial" w:cs="Arial"/>
          <w:lang w:eastAsia="zh-CN"/>
        </w:rPr>
        <w:t>if Xx interface is not available between</w:t>
      </w:r>
      <w:r>
        <w:rPr>
          <w:rFonts w:ascii="Arial" w:hAnsi="Arial" w:cs="Arial"/>
          <w:lang w:eastAsia="zh-CN"/>
        </w:rPr>
        <w:t xml:space="preserve"> the old SN and the new SN</w:t>
      </w:r>
      <w:r>
        <w:rPr>
          <w:rFonts w:ascii="Arial" w:hAnsi="Arial" w:cs="Arial" w:hint="eastAsia"/>
          <w:lang w:eastAsia="zh-CN"/>
        </w:rPr>
        <w:t>;</w:t>
      </w:r>
    </w:p>
    <w:p w:rsidR="00DC3D6A" w:rsidRDefault="00DC3D6A" w:rsidP="00F0244B">
      <w:pPr>
        <w:rPr>
          <w:rFonts w:ascii="Arial" w:hAnsi="Arial" w:cs="Arial"/>
          <w:lang w:eastAsia="zh-CN"/>
        </w:rPr>
      </w:pPr>
    </w:p>
    <w:p w:rsidR="00CA6B71" w:rsidRDefault="00CA6B71" w:rsidP="00F0244B">
      <w:pPr>
        <w:rPr>
          <w:rFonts w:ascii="Arial" w:hAnsi="Arial" w:cs="Arial"/>
          <w:lang w:eastAsia="zh-CN"/>
        </w:rPr>
      </w:pPr>
      <w:r w:rsidRPr="00DC3D6A">
        <w:rPr>
          <w:rFonts w:ascii="Arial" w:hAnsi="Arial" w:cs="Arial" w:hint="eastAsia"/>
          <w:b/>
          <w:lang w:eastAsia="zh-CN"/>
        </w:rPr>
        <w:t>Solution 2:</w:t>
      </w:r>
      <w:r>
        <w:rPr>
          <w:rFonts w:ascii="Arial" w:hAnsi="Arial" w:cs="Arial" w:hint="eastAsia"/>
          <w:lang w:eastAsia="zh-CN"/>
        </w:rPr>
        <w:t xml:space="preserve"> Secondary node contacts the new secondary node directly;</w:t>
      </w:r>
    </w:p>
    <w:p w:rsidR="00CA6B71" w:rsidRDefault="00CA6B71" w:rsidP="00F0244B">
      <w:pPr>
        <w:rPr>
          <w:rFonts w:ascii="Arial" w:hAnsi="Arial" w:cs="Arial"/>
          <w:lang w:eastAsia="zh-CN"/>
        </w:rPr>
      </w:pPr>
    </w:p>
    <w:p w:rsidR="00CA6B71" w:rsidRPr="008552CD" w:rsidRDefault="00CA6B71" w:rsidP="00F0244B">
      <w:pPr>
        <w:rPr>
          <w:rFonts w:ascii="Arial" w:hAnsi="Arial" w:cs="Arial"/>
          <w:b/>
          <w:lang w:eastAsia="zh-CN"/>
        </w:rPr>
      </w:pPr>
      <w:r w:rsidRPr="008552CD">
        <w:rPr>
          <w:rFonts w:ascii="Arial" w:hAnsi="Arial" w:cs="Arial" w:hint="eastAsia"/>
          <w:b/>
          <w:lang w:eastAsia="zh-CN"/>
        </w:rPr>
        <w:t xml:space="preserve">Since it is RAN3 scope, RAN2 respectfully asks RAN3 to decide this issue. </w:t>
      </w:r>
      <w:r w:rsidR="004A2BF4" w:rsidRPr="004A2BF4">
        <w:rPr>
          <w:rFonts w:ascii="Arial" w:hAnsi="Arial" w:cs="Arial"/>
          <w:b/>
          <w:lang w:eastAsia="zh-CN"/>
        </w:rPr>
        <w:t>RAN2 assume</w:t>
      </w:r>
      <w:r w:rsidR="004A2BF4">
        <w:rPr>
          <w:rFonts w:ascii="Arial" w:hAnsi="Arial" w:cs="Arial" w:hint="eastAsia"/>
          <w:b/>
          <w:lang w:eastAsia="zh-CN"/>
        </w:rPr>
        <w:t>s</w:t>
      </w:r>
      <w:r w:rsidR="004A2BF4" w:rsidRPr="004A2BF4">
        <w:rPr>
          <w:rFonts w:ascii="Arial" w:hAnsi="Arial" w:cs="Arial"/>
          <w:b/>
          <w:lang w:eastAsia="zh-CN"/>
        </w:rPr>
        <w:t xml:space="preserve"> that there is no radio interface impact from t</w:t>
      </w:r>
      <w:r w:rsidR="004A2BF4">
        <w:rPr>
          <w:rFonts w:ascii="Arial" w:hAnsi="Arial" w:cs="Arial" w:hint="eastAsia"/>
          <w:b/>
          <w:lang w:eastAsia="zh-CN"/>
        </w:rPr>
        <w:t>h</w:t>
      </w:r>
      <w:r w:rsidR="004A2BF4" w:rsidRPr="004A2BF4">
        <w:rPr>
          <w:rFonts w:ascii="Arial" w:hAnsi="Arial" w:cs="Arial"/>
          <w:b/>
          <w:lang w:eastAsia="zh-CN"/>
        </w:rPr>
        <w:t>is decision</w:t>
      </w:r>
      <w:r w:rsidR="004A2BF4">
        <w:rPr>
          <w:rFonts w:ascii="Arial" w:hAnsi="Arial" w:cs="Arial" w:hint="eastAsia"/>
          <w:b/>
          <w:lang w:eastAsia="zh-CN"/>
        </w:rPr>
        <w:t>.</w:t>
      </w:r>
    </w:p>
    <w:p w:rsidR="00FA7A10" w:rsidRDefault="00FA7A10" w:rsidP="00F0244B">
      <w:pPr>
        <w:rPr>
          <w:rFonts w:ascii="Arial" w:hAnsi="Arial" w:cs="Arial"/>
        </w:rPr>
      </w:pPr>
    </w:p>
    <w:p w:rsidR="00BD5144" w:rsidRPr="00F0244B" w:rsidRDefault="00BD5144" w:rsidP="00F0244B">
      <w:pPr>
        <w:rPr>
          <w:rFonts w:ascii="Arial" w:hAnsi="Arial" w:cs="Arial"/>
          <w:lang w:eastAsia="zh-CN"/>
        </w:rPr>
      </w:pPr>
    </w:p>
    <w:p w:rsidR="00D5390B" w:rsidRPr="008D5FA9" w:rsidRDefault="003A1B8F">
      <w:pPr>
        <w:spacing w:after="120"/>
        <w:rPr>
          <w:rFonts w:ascii="Arial" w:hAnsi="Arial" w:cs="Arial"/>
          <w:b/>
        </w:rPr>
      </w:pPr>
      <w:bookmarkStart w:id="0" w:name="_GoBack"/>
      <w:bookmarkEnd w:id="0"/>
      <w:r w:rsidRPr="008D5FA9">
        <w:rPr>
          <w:rFonts w:ascii="Arial" w:hAnsi="Arial" w:cs="Arial"/>
          <w:b/>
        </w:rPr>
        <w:t>2. Actions:</w:t>
      </w:r>
    </w:p>
    <w:p w:rsidR="00D5390B" w:rsidRPr="008D5FA9" w:rsidRDefault="003A1B8F">
      <w:pPr>
        <w:spacing w:after="120"/>
        <w:ind w:left="1985" w:hanging="1985"/>
        <w:rPr>
          <w:rFonts w:ascii="Arial" w:hAnsi="Arial" w:cs="Arial"/>
          <w:b/>
        </w:rPr>
      </w:pPr>
      <w:r w:rsidRPr="008D5FA9">
        <w:rPr>
          <w:rFonts w:ascii="Arial" w:hAnsi="Arial" w:cs="Arial"/>
          <w:b/>
        </w:rPr>
        <w:t xml:space="preserve">To </w:t>
      </w:r>
      <w:r w:rsidR="00DC3D6A">
        <w:rPr>
          <w:rFonts w:ascii="Arial" w:hAnsi="Arial" w:cs="Arial" w:hint="eastAsia"/>
          <w:b/>
          <w:lang w:eastAsia="zh-CN"/>
        </w:rPr>
        <w:t>RAN</w:t>
      </w:r>
      <w:r w:rsidR="002017AF">
        <w:rPr>
          <w:rFonts w:ascii="Arial" w:hAnsi="Arial" w:cs="Arial"/>
          <w:b/>
        </w:rPr>
        <w:t>3</w:t>
      </w:r>
      <w:r w:rsidRPr="008D5FA9">
        <w:rPr>
          <w:rFonts w:ascii="Arial" w:hAnsi="Arial" w:cs="Arial"/>
          <w:b/>
        </w:rPr>
        <w:t xml:space="preserve"> group.</w:t>
      </w:r>
    </w:p>
    <w:p w:rsidR="008D5FA9" w:rsidRPr="008D5FA9" w:rsidRDefault="003A1B8F">
      <w:pPr>
        <w:spacing w:after="120"/>
        <w:ind w:left="993" w:hanging="993"/>
        <w:rPr>
          <w:rFonts w:ascii="Arial" w:hAnsi="Arial" w:cs="Arial"/>
        </w:rPr>
      </w:pPr>
      <w:r w:rsidRPr="008D5FA9">
        <w:rPr>
          <w:rFonts w:ascii="Arial" w:hAnsi="Arial" w:cs="Arial"/>
          <w:b/>
        </w:rPr>
        <w:t xml:space="preserve">ACTION: </w:t>
      </w:r>
      <w:r w:rsidRPr="008D5FA9">
        <w:rPr>
          <w:rFonts w:ascii="Arial" w:hAnsi="Arial" w:cs="Arial"/>
          <w:b/>
        </w:rPr>
        <w:tab/>
      </w:r>
      <w:r w:rsidR="008D5FA9" w:rsidRPr="008D5FA9">
        <w:rPr>
          <w:rFonts w:ascii="Arial" w:hAnsi="Arial" w:cs="Arial"/>
          <w:b/>
        </w:rPr>
        <w:t>RAN</w:t>
      </w:r>
      <w:r>
        <w:rPr>
          <w:rFonts w:ascii="Arial" w:hAnsi="Arial" w:cs="Arial"/>
          <w:b/>
        </w:rPr>
        <w:t>2</w:t>
      </w:r>
      <w:r w:rsidR="008D5FA9" w:rsidRPr="008D5FA9">
        <w:rPr>
          <w:rFonts w:ascii="Arial" w:hAnsi="Arial" w:cs="Arial"/>
          <w:b/>
        </w:rPr>
        <w:t xml:space="preserve"> kindly ask RAN</w:t>
      </w:r>
      <w:r w:rsidR="002017AF">
        <w:rPr>
          <w:rFonts w:ascii="Arial" w:hAnsi="Arial" w:cs="Arial"/>
          <w:b/>
        </w:rPr>
        <w:t>3</w:t>
      </w:r>
      <w:r w:rsidR="008D5FA9" w:rsidRPr="008D5FA9">
        <w:rPr>
          <w:rFonts w:ascii="Arial" w:hAnsi="Arial" w:cs="Arial"/>
          <w:b/>
        </w:rPr>
        <w:t xml:space="preserve"> to </w:t>
      </w:r>
      <w:r w:rsidR="00DC3D6A">
        <w:rPr>
          <w:rFonts w:ascii="Arial" w:hAnsi="Arial" w:cs="Arial" w:hint="eastAsia"/>
          <w:b/>
          <w:lang w:eastAsia="zh-CN"/>
        </w:rPr>
        <w:t>take RAN2 above conclusions into account in their further work</w:t>
      </w:r>
      <w:r w:rsidR="000B231D">
        <w:rPr>
          <w:rFonts w:ascii="Arial" w:hAnsi="Arial" w:cs="Arial"/>
          <w:b/>
        </w:rPr>
        <w:t>.</w:t>
      </w:r>
    </w:p>
    <w:p w:rsidR="00D5390B" w:rsidRDefault="00D5390B">
      <w:pPr>
        <w:spacing w:after="120"/>
        <w:ind w:left="993" w:hanging="993"/>
        <w:rPr>
          <w:rFonts w:ascii="Arial" w:hAnsi="Arial" w:cs="Arial"/>
        </w:rPr>
      </w:pPr>
    </w:p>
    <w:p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rsidR="00352C88" w:rsidRDefault="00352C88" w:rsidP="00352C88">
      <w:pPr>
        <w:autoSpaceDE w:val="0"/>
        <w:autoSpaceDN w:val="0"/>
        <w:spacing w:before="40" w:after="40"/>
        <w:ind w:left="2268" w:hanging="2268"/>
        <w:rPr>
          <w:lang w:eastAsia="en-GB"/>
        </w:rPr>
      </w:pPr>
      <w:r w:rsidRPr="00352C88">
        <w:rPr>
          <w:rFonts w:ascii="Arial" w:hAnsi="Arial" w:cs="Arial"/>
        </w:rPr>
        <w:t>RAN2#98</w:t>
      </w:r>
      <w:r w:rsidRPr="00352C88">
        <w:rPr>
          <w:rFonts w:ascii="Segoe UI" w:hAnsi="Segoe UI" w:cs="Segoe UI"/>
        </w:rPr>
        <w:t>                        </w:t>
      </w:r>
      <w:r w:rsidRPr="00352C88">
        <w:rPr>
          <w:rFonts w:ascii="Arial" w:hAnsi="Arial" w:cs="Arial"/>
        </w:rPr>
        <w:t>15-</w:t>
      </w:r>
      <w:r w:rsidR="00B4771F">
        <w:rPr>
          <w:rFonts w:ascii="Arial" w:hAnsi="Arial" w:cs="Arial" w:hint="eastAsia"/>
          <w:lang w:eastAsia="zh-CN"/>
        </w:rPr>
        <w:t>19</w:t>
      </w:r>
      <w:r w:rsidR="00B4771F" w:rsidRPr="00352C88">
        <w:rPr>
          <w:rFonts w:ascii="Arial" w:hAnsi="Arial" w:cs="Arial"/>
        </w:rPr>
        <w:t xml:space="preserve"> </w:t>
      </w:r>
      <w:r w:rsidRPr="00352C88">
        <w:rPr>
          <w:rFonts w:ascii="Arial" w:hAnsi="Arial" w:cs="Arial"/>
        </w:rPr>
        <w:t>May 2017</w:t>
      </w:r>
      <w:r w:rsidRPr="00352C88">
        <w:rPr>
          <w:rFonts w:ascii="Segoe UI" w:hAnsi="Segoe UI" w:cs="Segoe UI"/>
        </w:rPr>
        <w:t>                        </w:t>
      </w:r>
      <w:r w:rsidRPr="00352C88">
        <w:rPr>
          <w:rFonts w:ascii="Arial" w:hAnsi="Arial" w:cs="Arial"/>
        </w:rPr>
        <w:t>Hangzhou, China</w:t>
      </w:r>
    </w:p>
    <w:p w:rsidR="00352C88" w:rsidRDefault="00352C88" w:rsidP="00352C88">
      <w:pPr>
        <w:autoSpaceDE w:val="0"/>
        <w:autoSpaceDN w:val="0"/>
        <w:spacing w:before="40" w:after="40"/>
        <w:ind w:left="2268" w:hanging="2268"/>
      </w:pPr>
      <w:r w:rsidRPr="00352C88">
        <w:rPr>
          <w:rFonts w:ascii="Arial" w:hAnsi="Arial" w:cs="Arial"/>
        </w:rPr>
        <w:t>RAN2 NR#2</w:t>
      </w:r>
      <w:r w:rsidRPr="00352C88">
        <w:rPr>
          <w:rFonts w:ascii="Segoe UI" w:hAnsi="Segoe UI" w:cs="Segoe UI"/>
        </w:rPr>
        <w:t>                    </w:t>
      </w:r>
      <w:r w:rsidRPr="00352C88">
        <w:rPr>
          <w:rFonts w:ascii="Arial" w:hAnsi="Arial" w:cs="Arial"/>
        </w:rPr>
        <w:t>27-29 June 2017</w:t>
      </w:r>
      <w:r w:rsidRPr="00352C88">
        <w:rPr>
          <w:rFonts w:ascii="Segoe UI" w:hAnsi="Segoe UI" w:cs="Segoe UI"/>
        </w:rPr>
        <w:t>                       </w:t>
      </w:r>
      <w:r w:rsidRPr="00352C88">
        <w:rPr>
          <w:rFonts w:ascii="Arial" w:hAnsi="Arial" w:cs="Arial"/>
        </w:rPr>
        <w:t>Qingdao, China</w:t>
      </w:r>
    </w:p>
    <w:p w:rsidR="00D5390B" w:rsidRPr="009D12BE" w:rsidRDefault="00D5390B">
      <w:pPr>
        <w:spacing w:after="120"/>
        <w:rPr>
          <w:rFonts w:ascii="Arial" w:hAnsi="Arial" w:cs="Arial"/>
          <w:b/>
        </w:rPr>
      </w:pPr>
    </w:p>
    <w:sectPr w:rsidR="00D5390B" w:rsidRPr="009D12BE" w:rsidSect="002A1254">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0B8" w:rsidRDefault="000020B8">
      <w:r>
        <w:separator/>
      </w:r>
    </w:p>
  </w:endnote>
  <w:endnote w:type="continuationSeparator" w:id="0">
    <w:p w:rsidR="000020B8" w:rsidRDefault="000020B8">
      <w:r>
        <w:continuationSeparator/>
      </w:r>
    </w:p>
  </w:endnote>
  <w:endnote w:type="continuationNotice" w:id="1">
    <w:p w:rsidR="000020B8" w:rsidRDefault="000020B8"/>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0B8" w:rsidRDefault="000020B8">
      <w:r>
        <w:separator/>
      </w:r>
    </w:p>
  </w:footnote>
  <w:footnote w:type="continuationSeparator" w:id="0">
    <w:p w:rsidR="000020B8" w:rsidRDefault="000020B8">
      <w:r>
        <w:continuationSeparator/>
      </w:r>
    </w:p>
  </w:footnote>
  <w:footnote w:type="continuationNotice" w:id="1">
    <w:p w:rsidR="000020B8" w:rsidRDefault="000020B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7E7A"/>
    <w:multiLevelType w:val="hybridMultilevel"/>
    <w:tmpl w:val="CFE634DC"/>
    <w:lvl w:ilvl="0" w:tplc="40B244A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9698"/>
  </w:hdrShapeDefaults>
  <w:footnotePr>
    <w:footnote w:id="-1"/>
    <w:footnote w:id="0"/>
    <w:footnote w:id="1"/>
  </w:footnotePr>
  <w:endnotePr>
    <w:endnote w:id="-1"/>
    <w:endnote w:id="0"/>
    <w:endnote w:id="1"/>
  </w:endnotePr>
  <w:compat>
    <w:doNotUseHTMLParagraphAutoSpacing/>
    <w:useFELayout/>
  </w:compat>
  <w:rsids>
    <w:rsidRoot w:val="00AE1358"/>
    <w:rsid w:val="000020B8"/>
    <w:rsid w:val="0000691D"/>
    <w:rsid w:val="0006460A"/>
    <w:rsid w:val="000A27A4"/>
    <w:rsid w:val="000B231D"/>
    <w:rsid w:val="00101892"/>
    <w:rsid w:val="0011065A"/>
    <w:rsid w:val="001126C7"/>
    <w:rsid w:val="0012419B"/>
    <w:rsid w:val="00125AA9"/>
    <w:rsid w:val="001505C9"/>
    <w:rsid w:val="00166696"/>
    <w:rsid w:val="00172D3D"/>
    <w:rsid w:val="001B00D3"/>
    <w:rsid w:val="002017AF"/>
    <w:rsid w:val="002309B2"/>
    <w:rsid w:val="00235132"/>
    <w:rsid w:val="00264722"/>
    <w:rsid w:val="002A1254"/>
    <w:rsid w:val="002D3716"/>
    <w:rsid w:val="002D5C4B"/>
    <w:rsid w:val="00304C11"/>
    <w:rsid w:val="00350AB2"/>
    <w:rsid w:val="00352C88"/>
    <w:rsid w:val="003A1B8F"/>
    <w:rsid w:val="003E0050"/>
    <w:rsid w:val="003E0A47"/>
    <w:rsid w:val="00452B76"/>
    <w:rsid w:val="004821D7"/>
    <w:rsid w:val="004A2BF4"/>
    <w:rsid w:val="004A77BB"/>
    <w:rsid w:val="004C0304"/>
    <w:rsid w:val="004E27EC"/>
    <w:rsid w:val="004E5D49"/>
    <w:rsid w:val="00500BFF"/>
    <w:rsid w:val="00537255"/>
    <w:rsid w:val="005A0AF5"/>
    <w:rsid w:val="005F0B41"/>
    <w:rsid w:val="00615306"/>
    <w:rsid w:val="00671FDA"/>
    <w:rsid w:val="00716373"/>
    <w:rsid w:val="00736E8B"/>
    <w:rsid w:val="00750331"/>
    <w:rsid w:val="007737E0"/>
    <w:rsid w:val="007B6463"/>
    <w:rsid w:val="00833319"/>
    <w:rsid w:val="008552CD"/>
    <w:rsid w:val="00862BCD"/>
    <w:rsid w:val="00882FF8"/>
    <w:rsid w:val="008B2E60"/>
    <w:rsid w:val="008D5FA9"/>
    <w:rsid w:val="008E4A72"/>
    <w:rsid w:val="00944855"/>
    <w:rsid w:val="00977F3E"/>
    <w:rsid w:val="009D12BE"/>
    <w:rsid w:val="00A1507B"/>
    <w:rsid w:val="00A706A9"/>
    <w:rsid w:val="00A729EB"/>
    <w:rsid w:val="00A73348"/>
    <w:rsid w:val="00AC0390"/>
    <w:rsid w:val="00AD3DAF"/>
    <w:rsid w:val="00AE0C38"/>
    <w:rsid w:val="00AE1358"/>
    <w:rsid w:val="00B01A34"/>
    <w:rsid w:val="00B4771F"/>
    <w:rsid w:val="00B57F34"/>
    <w:rsid w:val="00B67AEA"/>
    <w:rsid w:val="00BD5144"/>
    <w:rsid w:val="00C05B1C"/>
    <w:rsid w:val="00C8425E"/>
    <w:rsid w:val="00CA6B71"/>
    <w:rsid w:val="00CC29B4"/>
    <w:rsid w:val="00D07734"/>
    <w:rsid w:val="00D51795"/>
    <w:rsid w:val="00D5390B"/>
    <w:rsid w:val="00DC3D6A"/>
    <w:rsid w:val="00DE7B6F"/>
    <w:rsid w:val="00E0794B"/>
    <w:rsid w:val="00E245FF"/>
    <w:rsid w:val="00E6176E"/>
    <w:rsid w:val="00E804CC"/>
    <w:rsid w:val="00E85581"/>
    <w:rsid w:val="00E8633A"/>
    <w:rsid w:val="00EF1919"/>
    <w:rsid w:val="00F0244B"/>
    <w:rsid w:val="00F152A1"/>
    <w:rsid w:val="00F64413"/>
    <w:rsid w:val="00FA7A10"/>
    <w:rsid w:val="00FB6DA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254"/>
    <w:rPr>
      <w:lang w:val="en-GB" w:eastAsia="en-US"/>
    </w:rPr>
  </w:style>
  <w:style w:type="paragraph" w:styleId="Heading1">
    <w:name w:val="heading 1"/>
    <w:aliases w:val="H1,h1"/>
    <w:basedOn w:val="Normal"/>
    <w:next w:val="Normal"/>
    <w:qFormat/>
    <w:rsid w:val="002A1254"/>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2A1254"/>
    <w:pPr>
      <w:keepNext/>
      <w:ind w:right="284"/>
      <w:outlineLvl w:val="1"/>
    </w:pPr>
    <w:rPr>
      <w:rFonts w:ascii="Arial" w:hAnsi="Arial"/>
      <w:b/>
      <w:sz w:val="24"/>
    </w:rPr>
  </w:style>
  <w:style w:type="paragraph" w:styleId="Heading3">
    <w:name w:val="heading 3"/>
    <w:aliases w:val="H3,h3"/>
    <w:basedOn w:val="Normal"/>
    <w:next w:val="Normal"/>
    <w:qFormat/>
    <w:rsid w:val="002A1254"/>
    <w:pPr>
      <w:keepNext/>
      <w:outlineLvl w:val="2"/>
    </w:pPr>
    <w:rPr>
      <w:sz w:val="24"/>
    </w:rPr>
  </w:style>
  <w:style w:type="paragraph" w:styleId="Heading4">
    <w:name w:val="heading 4"/>
    <w:aliases w:val="h4"/>
    <w:basedOn w:val="Normal"/>
    <w:next w:val="Normal"/>
    <w:qFormat/>
    <w:rsid w:val="002A1254"/>
    <w:pPr>
      <w:keepNext/>
      <w:tabs>
        <w:tab w:val="left" w:pos="2694"/>
      </w:tabs>
      <w:ind w:left="708"/>
      <w:outlineLvl w:val="3"/>
    </w:pPr>
    <w:rPr>
      <w:rFonts w:ascii="Arial" w:hAnsi="Arial"/>
      <w:b/>
    </w:rPr>
  </w:style>
  <w:style w:type="paragraph" w:styleId="Heading5">
    <w:name w:val="heading 5"/>
    <w:aliases w:val="h5"/>
    <w:basedOn w:val="Normal"/>
    <w:next w:val="Normal"/>
    <w:qFormat/>
    <w:rsid w:val="002A1254"/>
    <w:pPr>
      <w:keepNext/>
      <w:jc w:val="center"/>
      <w:outlineLvl w:val="4"/>
    </w:pPr>
    <w:rPr>
      <w:rFonts w:ascii="Arial" w:hAnsi="Arial"/>
      <w:b/>
      <w:sz w:val="24"/>
    </w:rPr>
  </w:style>
  <w:style w:type="paragraph" w:styleId="Heading6">
    <w:name w:val="heading 6"/>
    <w:aliases w:val="h6"/>
    <w:basedOn w:val="Normal"/>
    <w:next w:val="Normal"/>
    <w:qFormat/>
    <w:rsid w:val="002A1254"/>
    <w:pPr>
      <w:keepNext/>
      <w:outlineLvl w:val="5"/>
    </w:pPr>
    <w:rPr>
      <w:rFonts w:ascii="Arial" w:hAnsi="Arial"/>
      <w:b/>
      <w:color w:val="C0C0C0"/>
      <w:sz w:val="24"/>
    </w:rPr>
  </w:style>
  <w:style w:type="paragraph" w:styleId="Heading7">
    <w:name w:val="heading 7"/>
    <w:basedOn w:val="Normal"/>
    <w:next w:val="Normal"/>
    <w:qFormat/>
    <w:rsid w:val="002A1254"/>
    <w:pPr>
      <w:keepNext/>
      <w:tabs>
        <w:tab w:val="left" w:pos="2694"/>
      </w:tabs>
      <w:ind w:left="708"/>
      <w:outlineLvl w:val="6"/>
    </w:pPr>
    <w:rPr>
      <w:rFonts w:ascii="Arial" w:hAnsi="Arial"/>
      <w:b/>
      <w:color w:val="0000FF"/>
    </w:rPr>
  </w:style>
  <w:style w:type="paragraph" w:styleId="Heading8">
    <w:name w:val="heading 8"/>
    <w:basedOn w:val="Normal"/>
    <w:next w:val="Normal"/>
    <w:qFormat/>
    <w:rsid w:val="002A1254"/>
    <w:pPr>
      <w:keepNext/>
      <w:spacing w:after="120"/>
      <w:ind w:left="1985" w:hanging="1985"/>
      <w:outlineLvl w:val="7"/>
    </w:pPr>
    <w:rPr>
      <w:rFonts w:ascii="Arial" w:hAnsi="Arial"/>
      <w:b/>
      <w:sz w:val="22"/>
    </w:rPr>
  </w:style>
  <w:style w:type="paragraph" w:styleId="Heading9">
    <w:name w:val="heading 9"/>
    <w:basedOn w:val="Normal"/>
    <w:next w:val="Normal"/>
    <w:qFormat/>
    <w:rsid w:val="002A1254"/>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A1254"/>
    <w:pPr>
      <w:tabs>
        <w:tab w:val="center" w:pos="4153"/>
        <w:tab w:val="right" w:pos="8306"/>
      </w:tabs>
    </w:pPr>
  </w:style>
  <w:style w:type="paragraph" w:styleId="Footer">
    <w:name w:val="footer"/>
    <w:basedOn w:val="Normal"/>
    <w:semiHidden/>
    <w:rsid w:val="002A1254"/>
    <w:pPr>
      <w:tabs>
        <w:tab w:val="center" w:pos="4153"/>
        <w:tab w:val="right" w:pos="8306"/>
      </w:tabs>
    </w:pPr>
  </w:style>
  <w:style w:type="paragraph" w:styleId="CommentText">
    <w:name w:val="annotation text"/>
    <w:basedOn w:val="Normal"/>
    <w:semiHidden/>
    <w:rsid w:val="002A125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2A1254"/>
  </w:style>
  <w:style w:type="paragraph" w:customStyle="1" w:styleId="B1">
    <w:name w:val="B1"/>
    <w:basedOn w:val="Normal"/>
    <w:rsid w:val="002A1254"/>
    <w:pPr>
      <w:ind w:left="567" w:hanging="567"/>
      <w:jc w:val="both"/>
    </w:pPr>
    <w:rPr>
      <w:rFonts w:ascii="Arial" w:hAnsi="Arial"/>
    </w:rPr>
  </w:style>
  <w:style w:type="paragraph" w:customStyle="1" w:styleId="00BodyText">
    <w:name w:val="00 BodyText"/>
    <w:basedOn w:val="Normal"/>
    <w:rsid w:val="002A1254"/>
    <w:pPr>
      <w:spacing w:after="220"/>
    </w:pPr>
    <w:rPr>
      <w:rFonts w:ascii="Arial" w:hAnsi="Arial"/>
      <w:sz w:val="22"/>
      <w:lang w:val="en-US"/>
    </w:rPr>
  </w:style>
  <w:style w:type="paragraph" w:customStyle="1" w:styleId="a">
    <w:name w:val="??"/>
    <w:rsid w:val="002A1254"/>
    <w:pPr>
      <w:widowControl w:val="0"/>
    </w:pPr>
    <w:rPr>
      <w:lang w:val="en-US" w:eastAsia="en-US"/>
    </w:rPr>
  </w:style>
  <w:style w:type="paragraph" w:customStyle="1" w:styleId="2">
    <w:name w:val="??? 2"/>
    <w:basedOn w:val="a"/>
    <w:next w:val="a"/>
    <w:rsid w:val="002A1254"/>
    <w:pPr>
      <w:keepNext/>
    </w:pPr>
    <w:rPr>
      <w:rFonts w:ascii="Arial" w:hAnsi="Arial"/>
      <w:b/>
      <w:sz w:val="24"/>
    </w:rPr>
  </w:style>
  <w:style w:type="character" w:styleId="CommentReference">
    <w:name w:val="annotation reference"/>
    <w:basedOn w:val="DefaultParagraphFont"/>
    <w:semiHidden/>
    <w:rsid w:val="002A1254"/>
    <w:rPr>
      <w:sz w:val="16"/>
    </w:rPr>
  </w:style>
  <w:style w:type="paragraph" w:customStyle="1" w:styleId="DECISION">
    <w:name w:val="DECISION"/>
    <w:basedOn w:val="Normal"/>
    <w:rsid w:val="002A1254"/>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A125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A125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A1254"/>
    <w:pPr>
      <w:numPr>
        <w:numId w:val="4"/>
      </w:numPr>
      <w:tabs>
        <w:tab w:val="num" w:pos="1125"/>
      </w:tabs>
    </w:pPr>
    <w:rPr>
      <w:color w:val="FF0000"/>
    </w:rPr>
  </w:style>
  <w:style w:type="paragraph" w:styleId="BodyText">
    <w:name w:val="Body Text"/>
    <w:basedOn w:val="Normal"/>
    <w:semiHidden/>
    <w:rsid w:val="002A1254"/>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styleId="TOC1">
    <w:name w:val="toc 1"/>
    <w:aliases w:val="Observation TOC2"/>
    <w:uiPriority w:val="39"/>
    <w:rsid w:val="002017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Proposal">
    <w:name w:val="Proposal"/>
    <w:basedOn w:val="Normal"/>
    <w:rsid w:val="002017AF"/>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TH">
    <w:name w:val="TH"/>
    <w:basedOn w:val="Normal"/>
    <w:link w:val="THChar"/>
    <w:rsid w:val="002017AF"/>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F">
    <w:name w:val="TF"/>
    <w:aliases w:val="left"/>
    <w:basedOn w:val="TH"/>
    <w:link w:val="TFChar"/>
    <w:rsid w:val="002017AF"/>
    <w:pPr>
      <w:keepNext w:val="0"/>
      <w:spacing w:before="0" w:after="240"/>
    </w:pPr>
  </w:style>
  <w:style w:type="character" w:customStyle="1" w:styleId="TFChar">
    <w:name w:val="TF Char"/>
    <w:basedOn w:val="DefaultParagraphFont"/>
    <w:link w:val="TF"/>
    <w:locked/>
    <w:rsid w:val="002017AF"/>
    <w:rPr>
      <w:rFonts w:ascii="Arial" w:hAnsi="Arial"/>
      <w:b/>
      <w:lang w:val="en-GB" w:eastAsia="en-US"/>
    </w:rPr>
  </w:style>
  <w:style w:type="character" w:customStyle="1" w:styleId="THChar">
    <w:name w:val="TH Char"/>
    <w:link w:val="TH"/>
    <w:locked/>
    <w:rsid w:val="002017AF"/>
    <w:rPr>
      <w:rFonts w:ascii="Arial" w:hAnsi="Arial"/>
      <w:b/>
      <w:lang w:val="en-GB" w:eastAsia="en-US"/>
    </w:rPr>
  </w:style>
  <w:style w:type="paragraph" w:styleId="DocumentMap">
    <w:name w:val="Document Map"/>
    <w:basedOn w:val="Normal"/>
    <w:link w:val="DocumentMapChar"/>
    <w:uiPriority w:val="99"/>
    <w:semiHidden/>
    <w:unhideWhenUsed/>
    <w:rsid w:val="00E8633A"/>
    <w:rPr>
      <w:rFonts w:ascii="SimSun" w:eastAsia="SimSun"/>
      <w:sz w:val="18"/>
      <w:szCs w:val="18"/>
    </w:rPr>
  </w:style>
  <w:style w:type="character" w:customStyle="1" w:styleId="DocumentMapChar">
    <w:name w:val="Document Map Char"/>
    <w:basedOn w:val="DefaultParagraphFont"/>
    <w:link w:val="DocumentMap"/>
    <w:uiPriority w:val="99"/>
    <w:semiHidden/>
    <w:rsid w:val="00E8633A"/>
    <w:rPr>
      <w:rFonts w:ascii="SimSun" w:eastAsia="SimSun"/>
      <w:sz w:val="18"/>
      <w:szCs w:val="18"/>
      <w:lang w:val="en-GB" w:eastAsia="en-US"/>
    </w:rPr>
  </w:style>
  <w:style w:type="paragraph" w:customStyle="1" w:styleId="Doc-text2">
    <w:name w:val="Doc-text2"/>
    <w:basedOn w:val="Normal"/>
    <w:link w:val="Doc-text2Char"/>
    <w:qFormat/>
    <w:rsid w:val="00FA7A1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A7A10"/>
    <w:rPr>
      <w:rFonts w:ascii="Arial" w:eastAsia="MS Mincho" w:hAnsi="Arial"/>
      <w:szCs w:val="24"/>
      <w:lang w:val="en-GB" w:eastAsia="en-GB"/>
    </w:rPr>
  </w:style>
  <w:style w:type="paragraph" w:styleId="ListParagraph">
    <w:name w:val="List Paragraph"/>
    <w:basedOn w:val="Normal"/>
    <w:uiPriority w:val="34"/>
    <w:qFormat/>
    <w:rsid w:val="00833319"/>
    <w:pPr>
      <w:ind w:firstLineChars="200" w:firstLine="420"/>
    </w:pPr>
  </w:style>
  <w:style w:type="paragraph" w:customStyle="1" w:styleId="CRCoverPage">
    <w:name w:val="CR Cover Page"/>
    <w:rsid w:val="002D5C4B"/>
    <w:pPr>
      <w:spacing w:after="120"/>
    </w:pPr>
    <w:rPr>
      <w:rFonts w:ascii="Arial" w:eastAsia="SimSun" w:hAnsi="Arial"/>
      <w:lang w:val="en-GB" w:eastAsia="en-US"/>
    </w:rPr>
  </w:style>
</w:styles>
</file>

<file path=word/webSettings.xml><?xml version="1.0" encoding="utf-8"?>
<w:webSettings xmlns:r="http://schemas.openxmlformats.org/officeDocument/2006/relationships" xmlns:w="http://schemas.openxmlformats.org/wordprocessingml/2006/main">
  <w:divs>
    <w:div w:id="47850396">
      <w:bodyDiv w:val="1"/>
      <w:marLeft w:val="0"/>
      <w:marRight w:val="0"/>
      <w:marTop w:val="0"/>
      <w:marBottom w:val="0"/>
      <w:divBdr>
        <w:top w:val="none" w:sz="0" w:space="0" w:color="auto"/>
        <w:left w:val="none" w:sz="0" w:space="0" w:color="auto"/>
        <w:bottom w:val="none" w:sz="0" w:space="0" w:color="auto"/>
        <w:right w:val="none" w:sz="0" w:space="0" w:color="auto"/>
      </w:divBdr>
    </w:div>
    <w:div w:id="313729922">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94827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5NUHHDQN7SK2-1-114854</_dlc_DocId>
    <_dlc_DocIdUrl xmlns="08b2df90-05d3-4030-90d4-c9feeb4a1cd9">
      <Url>https://ericoll.internal.ericsson.com/sites/STAR/_layouts/DocIdRedir.aspx?ID=5NUHHDQN7SK2-1-114854</Url>
      <Description>5NUHHDQN7SK2-1-114854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6C3DC-C65F-4C58-A4C3-1197E763B914}">
  <ds:schemaRefs>
    <ds:schemaRef ds:uri="Microsoft.SharePoint.Taxonomy.ContentTypeSync"/>
  </ds:schemaRefs>
</ds:datastoreItem>
</file>

<file path=customXml/itemProps2.xml><?xml version="1.0" encoding="utf-8"?>
<ds:datastoreItem xmlns:ds="http://schemas.openxmlformats.org/officeDocument/2006/customXml" ds:itemID="{21BE43D7-A067-4C68-9C6F-F22AD5FB4806}">
  <ds:schemaRefs>
    <ds:schemaRef ds:uri="http://schemas.microsoft.com/sharepoint/events"/>
  </ds:schemaRefs>
</ds:datastoreItem>
</file>

<file path=customXml/itemProps3.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5.xml><?xml version="1.0" encoding="utf-8"?>
<ds:datastoreItem xmlns:ds="http://schemas.openxmlformats.org/officeDocument/2006/customXml" ds:itemID="{4F0EB81A-EB0D-4A82-8424-533162AEF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672</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Issam</cp:lastModifiedBy>
  <cp:revision>21</cp:revision>
  <cp:lastPrinted>2002-04-23T07:10:00Z</cp:lastPrinted>
  <dcterms:created xsi:type="dcterms:W3CDTF">2017-04-05T21:45:00Z</dcterms:created>
  <dcterms:modified xsi:type="dcterms:W3CDTF">2017-05-04T16:11:00Z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21e2cc0d-c0a1-4f32-b70d-7f3c79efc306</vt:lpwstr>
  </property>
  <property fmtid="{D5CDD505-2E9C-101B-9397-08002B2CF9AE}" pid="13" name="_2015_ms_pID_725343">
    <vt:lpwstr>(2)or8kMmQpgURV3LUHXiZz6uu3GAs+dGMpCZx5cOuH0EifwzrvFLhUQz8EfcBXuJ4MDtbs2v7c
QuI7rmA8w5M9BZiaI7JVclp14C7ag/8NcCE2klZ9gynwyYyxKhLcGCRcucYBHpLi41PCx0NT
7TrJAxwxuJsIo+sXjILdyq75ODfcPc+JO8KbZWylbXLT6R2HOSqhdp8P6ONnHd/3kCCeRdMV
gvb3u8uv2GZz1resDf</vt:lpwstr>
  </property>
  <property fmtid="{D5CDD505-2E9C-101B-9397-08002B2CF9AE}" pid="14" name="_2015_ms_pID_7253431">
    <vt:lpwstr>18mLh0wcxFlQnAIBL8UxX0nztsV46HIV2d9KDPhjs3HL0QV8UAm+xG
Tg6FUDBFDd96Gv0btIxUPYewSTixrenEUILl1EA8gruWbjoCtK18xC6mayyfDDfoLjaVFqmb
MMPmo0MHE35qeXAA/a9FPUVMS8i3w7ialrhLgG5UFOp8ELPYXMSLpC+ynshJMkvO/6Har/IW
uaBDKQFIMc/33q5p</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1491580134</vt:lpwstr>
  </property>
</Properties>
</file>