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D09E3">
      <w:pPr>
        <w:pStyle w:val="82"/>
        <w:tabs>
          <w:tab w:val="right" w:pos="9639"/>
        </w:tabs>
        <w:spacing w:after="0"/>
        <w:rPr>
          <w:rFonts w:eastAsia="宋体"/>
          <w:b/>
          <w:i/>
          <w:sz w:val="24"/>
          <w:szCs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  <w:lang w:val="en-US"/>
        </w:rPr>
        <w:t>9</w:t>
      </w:r>
      <w:r>
        <w:rPr>
          <w:b/>
          <w:sz w:val="24"/>
          <w:lang w:val="en-US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DOCPROPERTY  Tdoc#  \* MERGEFORMAT </w:instrText>
      </w:r>
      <w:r>
        <w:rPr>
          <w:rFonts w:hint="eastAsia"/>
          <w:sz w:val="24"/>
          <w:szCs w:val="24"/>
        </w:rPr>
        <w:fldChar w:fldCharType="separate"/>
      </w:r>
      <w:r>
        <w:rPr>
          <w:b/>
          <w:sz w:val="24"/>
          <w:szCs w:val="24"/>
        </w:rPr>
        <w:t>R3-</w:t>
      </w:r>
      <w:r>
        <w:rPr>
          <w:rFonts w:hint="eastAsia"/>
          <w:b/>
          <w:sz w:val="24"/>
          <w:szCs w:val="24"/>
        </w:rPr>
        <w:t>255987</w:t>
      </w:r>
      <w:r>
        <w:rPr>
          <w:rFonts w:hint="eastAsia" w:eastAsia="宋体"/>
          <w:b/>
          <w:sz w:val="24"/>
          <w:szCs w:val="24"/>
          <w:lang w:val="en-US" w:eastAsia="zh-CN"/>
        </w:rPr>
        <w:fldChar w:fldCharType="end"/>
      </w:r>
    </w:p>
    <w:p w14:paraId="7AC125D9">
      <w:pPr>
        <w:pStyle w:val="82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Bengaluru</w:t>
      </w:r>
      <w:r>
        <w:rPr>
          <w:b/>
          <w:sz w:val="24"/>
        </w:rPr>
        <w:t xml:space="preserve">, </w:t>
      </w:r>
      <w:r>
        <w:rPr>
          <w:b/>
          <w:sz w:val="24"/>
          <w:lang w:val="en-US" w:eastAsia="zh-CN"/>
        </w:rPr>
        <w:t>IN</w:t>
      </w:r>
      <w:r>
        <w:rPr>
          <w:b/>
          <w:sz w:val="24"/>
          <w:lang w:eastAsia="zh-CN"/>
        </w:rPr>
        <w:t>,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</w:rPr>
        <w:t xml:space="preserve">25-29 Aug, </w:t>
      </w:r>
      <w:r>
        <w:rPr>
          <w:rFonts w:hint="eastAsia"/>
          <w:b/>
          <w:sz w:val="24"/>
          <w:lang w:eastAsia="zh-CN"/>
        </w:rPr>
        <w:t>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115EB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ED5F49C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4F531D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0F48304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6DA660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2AFCF09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2683FE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22C21C31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BC04DC2">
            <w:pPr>
              <w:pStyle w:val="8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B73C9AA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0C75D1">
            <w:pPr>
              <w:pStyle w:val="82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0470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10C4E3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5E433C"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 w14:paraId="4646178F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029CB9"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6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21431B88">
            <w:pPr>
              <w:pStyle w:val="82"/>
              <w:spacing w:after="0"/>
            </w:pPr>
          </w:p>
        </w:tc>
      </w:tr>
      <w:tr w14:paraId="715656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0C0D91F">
            <w:pPr>
              <w:pStyle w:val="82"/>
              <w:spacing w:after="0"/>
            </w:pPr>
          </w:p>
        </w:tc>
      </w:tr>
      <w:tr w14:paraId="63BA41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1849D698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3A2949B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B71071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5CFE5F14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435D4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25925B6F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ACA6AA4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26A140F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A904E4D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D18CB6C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B40B3FF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C45F53C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DDD018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28505A2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01F17AB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787E4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3DBEFB6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1887C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43640AF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066CCA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Introduction of Evolution of NR duplex operation</w:t>
            </w:r>
            <w:r>
              <w:fldChar w:fldCharType="end"/>
            </w:r>
          </w:p>
        </w:tc>
      </w:tr>
      <w:tr w14:paraId="2F8CB52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C141259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910AB6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9E44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0DB8F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D7D8683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Ericsson, Samsung, Qualcomm, Huawei, CATT, Nokia, CMCC, LGE</w:t>
            </w:r>
            <w:r>
              <w:fldChar w:fldCharType="end"/>
            </w:r>
          </w:p>
        </w:tc>
      </w:tr>
      <w:tr w14:paraId="70B2F52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9C7232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479D181D">
            <w:pPr>
              <w:pStyle w:val="82"/>
              <w:spacing w:after="0"/>
              <w:ind w:left="100"/>
            </w:pPr>
            <w: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58D9AC6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C7423ED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E9302A8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6C8623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1B83FF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7BB2D1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NR_duplex_evo-Core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887B09A"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8ED206"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A1BEE00"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</w:t>
            </w:r>
            <w:r>
              <w:rPr>
                <w:rFonts w:hint="eastAsia" w:eastAsia="宋体"/>
                <w:lang w:val="en-US" w:eastAsia="zh-CN"/>
              </w:rPr>
              <w:t>9</w:t>
            </w:r>
            <w:r>
              <w:t>-</w:t>
            </w:r>
            <w:r>
              <w:rPr>
                <w:lang w:val="en-US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 w14:paraId="05DB11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11A68B0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2F29F1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8BBB9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67264"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28F130F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A2112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402DAB7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177A60"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BE8AAB"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DA9B22"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B7E5F76"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065257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C7E50B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4CAAC584"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E682FB8"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DFB8CB9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1B957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1FFCF94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F2F54D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7F2030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E6927B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3264B36">
            <w:pPr>
              <w:pStyle w:val="82"/>
              <w:spacing w:after="0"/>
              <w:ind w:left="200"/>
            </w:pPr>
            <w:r>
              <w:rPr>
                <w:lang w:eastAsia="zh-CN"/>
              </w:rPr>
              <w:t xml:space="preserve">Introduce the function of </w:t>
            </w:r>
            <w:r>
              <w:t>Evolution of NR duplex operation, as the outcome of the corresponding Rel-19 WI.</w:t>
            </w:r>
          </w:p>
        </w:tc>
      </w:tr>
      <w:tr w14:paraId="641E55A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0EFCA2E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A2BF9E3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3361826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AC7C4F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CDD5DBA">
            <w:pPr>
              <w:pStyle w:val="82"/>
              <w:spacing w:after="0"/>
              <w:ind w:left="200" w:leftChars="100"/>
            </w:pPr>
            <w:r>
              <w:rPr>
                <w:rFonts w:hint="eastAsia"/>
                <w:lang w:eastAsia="zh-CN"/>
              </w:rPr>
              <w:t xml:space="preserve">This CR introduces stage-2 specification for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Cross-Link Interference Management</w:t>
            </w:r>
            <w:r>
              <w:rPr>
                <w:rFonts w:hint="eastAsia"/>
                <w:lang w:val="en-US" w:eastAsia="zh-CN"/>
              </w:rPr>
              <w:t xml:space="preserve"> for Sub-band full duplex (SBFD)</w:t>
            </w:r>
          </w:p>
        </w:tc>
      </w:tr>
      <w:tr w14:paraId="6D81CFA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ED4C7D1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02765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6DDF45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808056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6C4CC49">
            <w:pPr>
              <w:pStyle w:val="82"/>
              <w:spacing w:after="0"/>
              <w:ind w:left="200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new function of </w:t>
            </w:r>
            <w:r>
              <w:t>Evolution of NR duplex operation will not be supported.</w:t>
            </w:r>
          </w:p>
        </w:tc>
      </w:tr>
      <w:tr w14:paraId="7B0D31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BF4B0EA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33B0AA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A363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4429B5C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F30A7D6">
            <w:pPr>
              <w:pStyle w:val="82"/>
              <w:spacing w:after="0"/>
              <w:ind w:left="100"/>
            </w:pPr>
            <w:r>
              <w:t>7.3</w:t>
            </w:r>
          </w:p>
        </w:tc>
      </w:tr>
      <w:tr w14:paraId="3F027B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F3A9B5C"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666C0E2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584A959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D3EA488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73AD949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7AEA43B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DF35B0"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B1B7B01">
            <w:pPr>
              <w:pStyle w:val="82"/>
              <w:spacing w:after="0"/>
              <w:ind w:left="99"/>
            </w:pPr>
          </w:p>
        </w:tc>
      </w:tr>
      <w:tr w14:paraId="4F4D13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0591BC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58C0A19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86C2245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476B8BF4"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E4F626"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38.300 CR -</w:t>
            </w:r>
          </w:p>
          <w:p w14:paraId="01C3AF81">
            <w:pPr>
              <w:pStyle w:val="82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t>38.4</w:t>
            </w:r>
            <w:r>
              <w:rPr>
                <w:rFonts w:hint="eastAsia"/>
                <w:lang w:val="en-US" w:eastAsia="zh-CN"/>
              </w:rPr>
              <w:t>23</w:t>
            </w:r>
            <w:r>
              <w:t xml:space="preserve"> CR </w:t>
            </w:r>
            <w:r>
              <w:rPr>
                <w:rFonts w:hint="eastAsia"/>
                <w:lang w:val="en-US" w:eastAsia="zh-CN"/>
              </w:rPr>
              <w:t>1486</w:t>
            </w:r>
          </w:p>
          <w:p w14:paraId="4B3094F8">
            <w:pPr>
              <w:pStyle w:val="82"/>
              <w:spacing w:after="0"/>
              <w:ind w:left="99"/>
              <w:rPr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38.420 CR 0048</w:t>
            </w:r>
          </w:p>
          <w:p w14:paraId="21CFD546">
            <w:pPr>
              <w:pStyle w:val="82"/>
              <w:spacing w:after="0"/>
              <w:ind w:left="99"/>
            </w:pPr>
            <w:r>
              <w:rPr>
                <w:rFonts w:hint="eastAsia" w:eastAsia="宋体"/>
                <w:lang w:val="en-US" w:eastAsia="zh-CN"/>
              </w:rPr>
              <w:t xml:space="preserve">TS </w:t>
            </w:r>
            <w:r>
              <w:t>38.473 CR 1566</w:t>
            </w:r>
          </w:p>
          <w:p w14:paraId="3D35AD7B">
            <w:pPr>
              <w:pStyle w:val="82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38.470 CR 0163</w:t>
            </w:r>
          </w:p>
        </w:tc>
      </w:tr>
      <w:tr w14:paraId="69E451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EC9BCB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2219FC0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EFA5CE6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CA965C"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7F700BE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26FF0CA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7099CEE"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D641E8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AB4D68"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C54660"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D29C889"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 w14:paraId="1B7723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96520B"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ED639E1">
            <w:pPr>
              <w:pStyle w:val="82"/>
              <w:spacing w:after="0"/>
            </w:pPr>
          </w:p>
        </w:tc>
      </w:tr>
      <w:tr w14:paraId="36E87E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4AB693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EEF2196">
            <w:pPr>
              <w:pStyle w:val="82"/>
              <w:spacing w:after="0"/>
              <w:ind w:left="100"/>
            </w:pPr>
          </w:p>
        </w:tc>
      </w:tr>
      <w:tr w14:paraId="1BCF3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055CD3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46ADFCFC"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35B0D0C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7CF317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2A9FFA4">
            <w:pPr>
              <w:spacing w:after="0"/>
              <w:ind w:left="100"/>
              <w:rPr>
                <w:rFonts w:ascii="Arial" w:hAnsi="Arial" w:eastAsia="宋体"/>
                <w:lang w:eastAsia="zh-CN"/>
              </w:rPr>
            </w:pPr>
            <w:r>
              <w:rPr>
                <w:rFonts w:ascii="Arial" w:hAnsi="Arial" w:eastAsia="宋体"/>
                <w:lang w:eastAsia="zh-CN"/>
              </w:rPr>
              <w:t>Rev</w:t>
            </w:r>
            <w:r>
              <w:rPr>
                <w:rFonts w:hint="eastAsia" w:ascii="Arial" w:hAnsi="Arial" w:eastAsia="宋体"/>
                <w:lang w:eastAsia="zh-CN"/>
              </w:rPr>
              <w:t>0</w:t>
            </w:r>
            <w:r>
              <w:rPr>
                <w:rFonts w:ascii="Arial" w:hAnsi="Arial" w:eastAsia="宋体"/>
                <w:lang w:eastAsia="zh-CN"/>
              </w:rPr>
              <w:t>: Include R3-25247</w:t>
            </w:r>
            <w:r>
              <w:rPr>
                <w:rFonts w:hint="eastAsia" w:ascii="Arial" w:hAnsi="Arial" w:eastAsia="宋体"/>
                <w:lang w:val="en-US" w:eastAsia="zh-CN"/>
              </w:rPr>
              <w:t>5</w:t>
            </w:r>
            <w:r>
              <w:rPr>
                <w:rFonts w:ascii="Arial" w:hAnsi="Arial" w:eastAsia="宋体"/>
                <w:lang w:eastAsia="zh-CN"/>
              </w:rPr>
              <w:t>.</w:t>
            </w:r>
          </w:p>
          <w:p w14:paraId="2EC12D31"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Rev1</w:t>
            </w:r>
            <w:r>
              <w:rPr>
                <w:rFonts w:hint="eastAsia" w:eastAsia="宋体"/>
                <w:lang w:val="en-US" w:eastAsia="zh-CN"/>
              </w:rPr>
              <w:t>:</w:t>
            </w:r>
            <w:r>
              <w:rPr>
                <w:rFonts w:hint="eastAsia" w:eastAsia="宋体"/>
                <w:lang w:eastAsia="zh-CN"/>
              </w:rPr>
              <w:t xml:space="preserve"> Submit to RAN3#128</w:t>
            </w:r>
          </w:p>
          <w:p w14:paraId="43EF78E2"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Rev2: </w:t>
            </w:r>
            <w:r>
              <w:rPr>
                <w:lang w:eastAsia="zh-CN"/>
              </w:rPr>
              <w:t>Include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R3</w:t>
            </w:r>
            <w:r>
              <w:rPr>
                <w:rFonts w:hint="eastAsia"/>
                <w:lang w:eastAsia="zh-CN"/>
              </w:rPr>
              <w:t>-2538</w:t>
            </w:r>
            <w:r>
              <w:rPr>
                <w:rFonts w:hint="eastAsia"/>
                <w:lang w:val="en-US" w:eastAsia="zh-CN"/>
              </w:rPr>
              <w:t>80</w:t>
            </w:r>
            <w:r>
              <w:rPr>
                <w:lang w:val="en-US" w:eastAsia="zh-CN"/>
              </w:rPr>
              <w:t>.</w:t>
            </w:r>
          </w:p>
          <w:p w14:paraId="54FD45E6"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Rev3: 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ubmit to RAN3#129.</w:t>
            </w:r>
          </w:p>
          <w:p w14:paraId="136F738E"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Rev4: </w:t>
            </w:r>
            <w:r>
              <w:rPr>
                <w:lang w:val="en-US" w:eastAsia="zh-CN"/>
              </w:rPr>
              <w:t>Include</w:t>
            </w:r>
            <w:r>
              <w:rPr>
                <w:rFonts w:hint="eastAsia"/>
                <w:lang w:val="en-US" w:eastAsia="zh-CN"/>
              </w:rPr>
              <w:t xml:space="preserve"> R3-255956.</w:t>
            </w:r>
          </w:p>
        </w:tc>
      </w:tr>
    </w:tbl>
    <w:p w14:paraId="5B451823">
      <w:pPr>
        <w:pStyle w:val="82"/>
        <w:spacing w:after="0"/>
        <w:rPr>
          <w:sz w:val="8"/>
          <w:szCs w:val="8"/>
        </w:rPr>
      </w:pPr>
    </w:p>
    <w:p w14:paraId="30426F59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33DAEDA8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bookmarkStart w:id="1" w:name="_Toc97903946"/>
      <w:bookmarkStart w:id="2" w:name="_Toc105174243"/>
      <w:bookmarkStart w:id="3" w:name="_Toc74151118"/>
      <w:bookmarkStart w:id="4" w:name="_Toc45901304"/>
      <w:bookmarkStart w:id="5" w:name="_Toc98867959"/>
      <w:bookmarkStart w:id="6" w:name="_Toc29991233"/>
      <w:bookmarkStart w:id="7" w:name="_Toc56693386"/>
      <w:bookmarkStart w:id="8" w:name="_Toc51850383"/>
      <w:bookmarkStart w:id="9" w:name="_Toc64446929"/>
      <w:bookmarkStart w:id="10" w:name="_Toc106109080"/>
      <w:bookmarkStart w:id="11" w:name="_Toc113824901"/>
      <w:bookmarkStart w:id="12" w:name="_Toc45107684"/>
      <w:bookmarkStart w:id="13" w:name="_Toc36555633"/>
      <w:bookmarkStart w:id="14" w:name="_Toc175587240"/>
      <w:bookmarkStart w:id="15" w:name="_Toc20955046"/>
      <w:bookmarkStart w:id="16" w:name="_Toc66286423"/>
      <w:bookmarkStart w:id="17" w:name="_Toc88653590"/>
      <w:bookmarkStart w:id="18" w:name="_Toc44497296"/>
      <w:r>
        <w:rPr>
          <w:b/>
          <w:color w:val="C00000"/>
          <w:lang w:eastAsia="zh-CN"/>
        </w:rPr>
        <w:t>=============================Start of change==============================</w:t>
      </w:r>
    </w:p>
    <w:p w14:paraId="70DC1215">
      <w:pPr>
        <w:pStyle w:val="5"/>
        <w:numPr>
          <w:ilvl w:val="255"/>
          <w:numId w:val="0"/>
        </w:numPr>
        <w:ind w:right="200"/>
        <w:rPr>
          <w:rFonts w:eastAsia="Batang"/>
        </w:rPr>
      </w:pPr>
      <w:r>
        <w:rPr>
          <w:rFonts w:eastAsia="Batang"/>
        </w:rPr>
        <w:t>7.3</w:t>
      </w:r>
      <w:r>
        <w:rPr>
          <w:rFonts w:eastAsia="Batang"/>
        </w:rPr>
        <w:tab/>
      </w:r>
      <w:bookmarkStart w:id="19" w:name="OLE_LINK44"/>
      <w:r>
        <w:rPr>
          <w:rFonts w:eastAsia="Batang"/>
          <w:lang w:val="en-US" w:eastAsia="zh-CN"/>
        </w:rPr>
        <w:t xml:space="preserve">Cross-Link Interference </w:t>
      </w:r>
      <w:bookmarkEnd w:id="19"/>
      <w:r>
        <w:rPr>
          <w:rFonts w:eastAsia="Batang"/>
          <w:lang w:val="en-US" w:eastAsia="zh-CN"/>
        </w:rPr>
        <w:t>Management</w:t>
      </w:r>
    </w:p>
    <w:p w14:paraId="45AE977B">
      <w:pPr>
        <w:overflowPunct w:val="0"/>
        <w:autoSpaceDE w:val="0"/>
        <w:autoSpaceDN w:val="0"/>
        <w:adjustRightInd w:val="0"/>
        <w:rPr>
          <w:lang w:val="en-US" w:eastAsia="zh-CN"/>
        </w:rPr>
      </w:pPr>
      <w:r>
        <w:rPr>
          <w:lang w:val="en-US" w:eastAsia="zh-CN" w:bidi="ar"/>
        </w:rPr>
        <w:t>The Cross-Link Interference Management function in non-split gNB case is specified in TS 38.300 [2].</w:t>
      </w:r>
    </w:p>
    <w:p w14:paraId="55F61A3B">
      <w:pPr>
        <w:overflowPunct w:val="0"/>
        <w:autoSpaceDE w:val="0"/>
        <w:autoSpaceDN w:val="0"/>
        <w:adjustRightInd w:val="0"/>
        <w:rPr>
          <w:lang w:val="en-US"/>
        </w:rPr>
      </w:pPr>
      <w:r>
        <w:rPr>
          <w:lang w:val="en-US" w:eastAsia="zh-CN" w:bidi="ar"/>
        </w:rPr>
        <w:t>In case of split gNB architecture, the gNB-CU forwards the TDD DL/UL patterns received from neighboring nodes to each concerned gNB-DU. The gNB-DU reports the TDD DL/UL patterns of its serving cells to the gNB-CU if Cross-Link Interference is detected.</w:t>
      </w:r>
    </w:p>
    <w:p w14:paraId="2E0C8C60">
      <w:pPr>
        <w:overflowPunct w:val="0"/>
        <w:autoSpaceDE w:val="0"/>
        <w:autoSpaceDN w:val="0"/>
        <w:adjustRightInd w:val="0"/>
        <w:rPr>
          <w:ins w:id="0" w:author="author" w:date="2025-09-05T17:38:23Z"/>
        </w:rPr>
      </w:pPr>
      <w:ins w:id="1" w:author="author" w:date="2025-09-05T17:38:23Z">
        <w:r>
          <w:rPr>
            <w:lang w:val="en-US" w:eastAsia="zh-CN" w:bidi="ar"/>
          </w:rPr>
          <w:t>In Sub-band full duplex (SBFD) operation</w:t>
        </w:r>
      </w:ins>
      <w:ins w:id="2" w:author="author" w:date="2025-09-05T17:38:23Z">
        <w:r>
          <w:rPr>
            <w:rFonts w:hint="eastAsia"/>
            <w:lang w:val="en-US" w:eastAsia="zh-CN" w:bidi="ar"/>
          </w:rPr>
          <w:t>,</w:t>
        </w:r>
      </w:ins>
      <w:ins w:id="3" w:author="author" w:date="2025-09-05T17:38:23Z">
        <w:r>
          <w:rPr>
            <w:lang w:val="en-US" w:eastAsia="zh-CN" w:bidi="ar"/>
          </w:rPr>
          <w:t xml:space="preserve"> gNB-to-gNB</w:t>
        </w:r>
      </w:ins>
      <w:ins w:id="4" w:author="author" w:date="2025-09-05T17:38:23Z">
        <w:r>
          <w:rPr>
            <w:rFonts w:hint="eastAsia"/>
            <w:lang w:val="en-US" w:eastAsia="zh-CN" w:bidi="ar"/>
          </w:rPr>
          <w:t xml:space="preserve"> </w:t>
        </w:r>
      </w:ins>
      <w:ins w:id="5" w:author="author" w:date="2025-09-05T17:38:23Z">
        <w:r>
          <w:rPr>
            <w:lang w:val="en-US" w:eastAsia="zh-CN" w:bidi="ar"/>
          </w:rPr>
          <w:t xml:space="preserve">CLI </w:t>
        </w:r>
      </w:ins>
      <w:ins w:id="6" w:author="author" w:date="2025-09-05T17:38:23Z">
        <w:r>
          <w:rPr/>
          <w:t xml:space="preserve">and/or UE-to-UE CLI </w:t>
        </w:r>
      </w:ins>
      <w:ins w:id="7" w:author="author" w:date="2025-09-05T17:38:23Z">
        <w:r>
          <w:rPr>
            <w:lang w:val="en-US" w:eastAsia="zh-CN" w:bidi="ar"/>
          </w:rPr>
          <w:t>may also be present. In case of split gNB architecture, the gNB-DU reports gNB-to-gNB</w:t>
        </w:r>
      </w:ins>
      <w:ins w:id="8" w:author="author" w:date="2025-09-05T17:38:23Z">
        <w:r>
          <w:rPr>
            <w:rFonts w:hint="eastAsia"/>
            <w:lang w:val="en-US" w:eastAsia="zh-CN" w:bidi="ar"/>
          </w:rPr>
          <w:t xml:space="preserve"> </w:t>
        </w:r>
      </w:ins>
      <w:ins w:id="9" w:author="author" w:date="2025-09-05T17:38:23Z">
        <w:r>
          <w:rPr>
            <w:color w:val="000000"/>
          </w:rPr>
          <w:t>CLI related information</w:t>
        </w:r>
      </w:ins>
      <w:ins w:id="10" w:author="author" w:date="2025-09-05T17:38:23Z">
        <w:r>
          <w:rPr>
            <w:lang w:val="en-US" w:eastAsia="zh-CN" w:bidi="ar"/>
          </w:rPr>
          <w:t xml:space="preserve"> of its serving cells to the gNB-CU if CLI is detected. The gNB-CU forwards gNB-to-gNB</w:t>
        </w:r>
      </w:ins>
      <w:ins w:id="11" w:author="author" w:date="2025-09-05T17:38:23Z">
        <w:r>
          <w:rPr>
            <w:rFonts w:hint="eastAsia"/>
            <w:lang w:val="en-US" w:eastAsia="zh-CN" w:bidi="ar"/>
          </w:rPr>
          <w:t xml:space="preserve"> </w:t>
        </w:r>
      </w:ins>
      <w:ins w:id="12" w:author="author" w:date="2025-09-05T17:38:23Z">
        <w:r>
          <w:rPr>
            <w:color w:val="000000"/>
          </w:rPr>
          <w:t>CLI related information</w:t>
        </w:r>
      </w:ins>
      <w:ins w:id="13" w:author="author" w:date="2025-09-05T17:38:23Z">
        <w:r>
          <w:rPr>
            <w:lang w:val="en-US" w:eastAsia="zh-CN" w:bidi="ar"/>
          </w:rPr>
          <w:t xml:space="preserve"> received from served gNB-DUs and from neighboring gNBs to each concerned gNB-DU</w:t>
        </w:r>
      </w:ins>
      <w:ins w:id="14" w:author="author" w:date="2025-09-05T17:38:23Z">
        <w:r>
          <w:rPr>
            <w:rFonts w:hint="eastAsia"/>
            <w:lang w:val="en-US" w:eastAsia="zh-CN" w:bidi="ar"/>
          </w:rPr>
          <w:t>.</w:t>
        </w:r>
      </w:ins>
      <w:ins w:id="15" w:author="author" w:date="2025-09-05T17:38:23Z">
        <w:r>
          <w:rPr>
            <w:lang w:val="en-US" w:eastAsia="zh-CN" w:bidi="ar"/>
          </w:rPr>
          <w:t xml:space="preserve"> </w:t>
        </w:r>
      </w:ins>
      <w:ins w:id="16" w:author="author" w:date="2025-09-05T17:38:23Z">
        <w:r>
          <w:rPr>
            <w:rFonts w:hint="eastAsia"/>
            <w:lang w:val="en-US" w:eastAsia="zh-CN" w:bidi="ar"/>
          </w:rPr>
          <w:t>The gNB-DU should evaluate the received information and may mitigate interference if necessary.</w:t>
        </w:r>
      </w:ins>
      <w:bookmarkStart w:id="20" w:name="_GoBack"/>
      <w:bookmarkEnd w:id="20"/>
    </w:p>
    <w:p w14:paraId="01F1C85C">
      <w:pPr>
        <w:overflowPunct w:val="0"/>
        <w:autoSpaceDE w:val="0"/>
        <w:autoSpaceDN w:val="0"/>
        <w:adjustRightInd w:val="0"/>
        <w:rPr>
          <w:ins w:id="17" w:author="author" w:date="2025-09-05T17:38:23Z"/>
          <w:b/>
          <w:color w:val="C00000"/>
          <w:lang w:eastAsia="zh-CN"/>
        </w:rPr>
      </w:pPr>
      <w:ins w:id="18" w:author="author" w:date="2025-09-05T17:38:23Z">
        <w:r>
          <w:rPr/>
          <w:t xml:space="preserve">For the case of </w:t>
        </w:r>
      </w:ins>
      <w:ins w:id="19" w:author="author" w:date="2025-09-05T17:38:23Z">
        <w:r>
          <w:rPr>
            <w:lang w:val="en-US"/>
          </w:rPr>
          <w:t xml:space="preserve">detection of </w:t>
        </w:r>
      </w:ins>
      <w:ins w:id="20" w:author="author" w:date="2025-09-05T17:38:23Z">
        <w:r>
          <w:rPr/>
          <w:t xml:space="preserve">UE-to-UE CLI, a gNB-DU </w:t>
        </w:r>
      </w:ins>
      <w:ins w:id="21" w:author="author" w:date="2025-09-05T17:38:23Z">
        <w:r>
          <w:rPr>
            <w:lang w:val="en-US"/>
          </w:rPr>
          <w:t xml:space="preserve">that has activated SBFD operation may provide SRS resource configuration to the gNB-CU. A gNB-DU </w:t>
        </w:r>
      </w:ins>
      <w:ins w:id="22" w:author="author" w:date="2025-09-05T17:38:23Z">
        <w:r>
          <w:rPr/>
          <w:t xml:space="preserve">serving </w:t>
        </w:r>
      </w:ins>
      <w:ins w:id="23" w:author="author" w:date="2025-09-05T17:38:23Z">
        <w:r>
          <w:rPr>
            <w:lang w:val="en-US"/>
          </w:rPr>
          <w:t xml:space="preserve">potential </w:t>
        </w:r>
      </w:ins>
      <w:ins w:id="24" w:author="author" w:date="2025-09-05T17:38:23Z">
        <w:r>
          <w:rPr/>
          <w:t xml:space="preserve">victim UEs may indicate to a gNB-CU that SRS resource ocnfigurations of neighbour </w:t>
        </w:r>
      </w:ins>
      <w:ins w:id="25" w:author="author" w:date="2025-09-05T17:38:23Z">
        <w:r>
          <w:rPr>
            <w:lang w:val="en-US"/>
          </w:rPr>
          <w:t xml:space="preserve">cells </w:t>
        </w:r>
      </w:ins>
      <w:ins w:id="26" w:author="author" w:date="2025-09-05T17:38:23Z">
        <w:r>
          <w:rPr/>
          <w:t xml:space="preserve">are needed. The gNB-CU may signal to the gNB-DU information concerning SRS resources potentially causing UE-to-UE CLI. </w:t>
        </w:r>
      </w:ins>
      <w:ins w:id="27" w:author="author" w:date="2025-09-05T17:38:23Z">
        <w:r>
          <w:rPr>
            <w:lang w:val="en-US" w:eastAsia="zh-CN" w:bidi="ar"/>
          </w:rPr>
          <w:t>For inter-UE CLI for SBFD operation in split architecture, simultaneous configuration of L1 and L3 measurements shall be avoided.</w:t>
        </w:r>
      </w:ins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4637C413">
      <w:pPr>
        <w:widowControl w:val="0"/>
        <w:spacing w:line="480" w:lineRule="auto"/>
        <w:jc w:val="center"/>
        <w:rPr>
          <w:b/>
          <w:color w:val="C00000"/>
          <w:lang w:eastAsia="zh-CN"/>
        </w:rPr>
      </w:pPr>
      <w:r>
        <w:rPr>
          <w:b/>
          <w:color w:val="C00000"/>
          <w:lang w:eastAsia="zh-CN"/>
        </w:rPr>
        <w:t>=============================End of change==============================</w:t>
      </w:r>
    </w:p>
    <w:p w14:paraId="6469E757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42442C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65FBA7"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F6048E"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1964AF"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6B03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5EA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D7B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68A1"/>
    <w:rsid w:val="00DE34CF"/>
    <w:rsid w:val="00DE7D26"/>
    <w:rsid w:val="00E13F3D"/>
    <w:rsid w:val="00E34898"/>
    <w:rsid w:val="00EB09B7"/>
    <w:rsid w:val="00ED5D4A"/>
    <w:rsid w:val="00EE7D7C"/>
    <w:rsid w:val="00F25D98"/>
    <w:rsid w:val="00F300FB"/>
    <w:rsid w:val="00F370D2"/>
    <w:rsid w:val="00F65DA3"/>
    <w:rsid w:val="00F97119"/>
    <w:rsid w:val="00FB6386"/>
    <w:rsid w:val="097A7FD3"/>
    <w:rsid w:val="158D1636"/>
    <w:rsid w:val="19921AB6"/>
    <w:rsid w:val="1B2C164F"/>
    <w:rsid w:val="1B430B6D"/>
    <w:rsid w:val="2C74067E"/>
    <w:rsid w:val="2F971937"/>
    <w:rsid w:val="31901DBB"/>
    <w:rsid w:val="31BF11D5"/>
    <w:rsid w:val="32E422DE"/>
    <w:rsid w:val="34535CDA"/>
    <w:rsid w:val="40CA493E"/>
    <w:rsid w:val="42756FAE"/>
    <w:rsid w:val="46B307F9"/>
    <w:rsid w:val="49383FEA"/>
    <w:rsid w:val="49D10A9D"/>
    <w:rsid w:val="4AC4371A"/>
    <w:rsid w:val="4C074185"/>
    <w:rsid w:val="4E5557FB"/>
    <w:rsid w:val="5921524A"/>
    <w:rsid w:val="59AE3965"/>
    <w:rsid w:val="65C46C2B"/>
    <w:rsid w:val="66EF003F"/>
    <w:rsid w:val="6D100E7E"/>
    <w:rsid w:val="6DF1130D"/>
    <w:rsid w:val="713B7E68"/>
    <w:rsid w:val="77AC7A31"/>
    <w:rsid w:val="795D1D89"/>
    <w:rsid w:val="7F941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5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660</Words>
  <Characters>3768</Characters>
  <Lines>31</Lines>
  <Paragraphs>8</Paragraphs>
  <TotalTime>1</TotalTime>
  <ScaleCrop>false</ScaleCrop>
  <LinksUpToDate>false</LinksUpToDate>
  <CharactersWithSpaces>4420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Author</cp:lastModifiedBy>
  <cp:lastPrinted>2411-12-31T22:59:00Z</cp:lastPrinted>
  <dcterms:modified xsi:type="dcterms:W3CDTF">2025-09-05T09:39:11Z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R3-253111</vt:lpwstr>
  </property>
  <property fmtid="{D5CDD505-2E9C-101B-9397-08002B2CF9AE}" pid="10" name="Spec#">
    <vt:lpwstr>38.401</vt:lpwstr>
  </property>
  <property fmtid="{D5CDD505-2E9C-101B-9397-08002B2CF9AE}" pid="11" name="Cr#">
    <vt:lpwstr>0470</vt:lpwstr>
  </property>
  <property fmtid="{D5CDD505-2E9C-101B-9397-08002B2CF9AE}" pid="12" name="Revision">
    <vt:lpwstr>1</vt:lpwstr>
  </property>
  <property fmtid="{D5CDD505-2E9C-101B-9397-08002B2CF9AE}" pid="13" name="Version">
    <vt:lpwstr>18.5.0</vt:lpwstr>
  </property>
  <property fmtid="{D5CDD505-2E9C-101B-9397-08002B2CF9AE}" pid="14" name="CrTitle">
    <vt:lpwstr>(BL CR to 38.401) introduction of Evolution of NR duplex operation</vt:lpwstr>
  </property>
  <property fmtid="{D5CDD505-2E9C-101B-9397-08002B2CF9AE}" pid="15" name="SourceIfWg">
    <vt:lpwstr>ZTE Corporation, Ericsson, Samsung, Qualcomm, Huawei, CATT,  Nokia, CMCC, LGE</vt:lpwstr>
  </property>
  <property fmtid="{D5CDD505-2E9C-101B-9397-08002B2CF9AE}" pid="16" name="SourceIfTsg">
    <vt:lpwstr/>
  </property>
  <property fmtid="{D5CDD505-2E9C-101B-9397-08002B2CF9AE}" pid="17" name="RelatedWis">
    <vt:lpwstr>NR_duplex_evo-Core</vt:lpwstr>
  </property>
  <property fmtid="{D5CDD505-2E9C-101B-9397-08002B2CF9AE}" pid="18" name="Cat">
    <vt:lpwstr>B</vt:lpwstr>
  </property>
  <property fmtid="{D5CDD505-2E9C-101B-9397-08002B2CF9AE}" pid="19" name="ResDate">
    <vt:lpwstr>2025-04-27</vt:lpwstr>
  </property>
  <property fmtid="{D5CDD505-2E9C-101B-9397-08002B2CF9AE}" pid="20" name="Release">
    <vt:lpwstr>Rel-19</vt:lpwstr>
  </property>
  <property fmtid="{D5CDD505-2E9C-101B-9397-08002B2CF9AE}" pid="21" name="KSOProductBuildVer">
    <vt:lpwstr>2052-12.8.2.19830</vt:lpwstr>
  </property>
  <property fmtid="{D5CDD505-2E9C-101B-9397-08002B2CF9AE}" pid="22" name="ICV">
    <vt:lpwstr>FFAC3007A5F74127B9E9554E15E273D4_13</vt:lpwstr>
  </property>
</Properties>
</file>