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BC82B" w14:textId="77777777"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 xml:space="preserve">Source: </w:t>
      </w:r>
      <w:r w:rsidRPr="00621F18">
        <w:rPr>
          <w:rFonts w:ascii="Calibri" w:hAnsi="Calibri" w:cs="Calibri"/>
          <w:b/>
        </w:rPr>
        <w:tab/>
      </w:r>
      <w:r w:rsidRPr="00621F18">
        <w:rPr>
          <w:rFonts w:ascii="Calibri" w:hAnsi="Calibri" w:cs="Calibri"/>
          <w:bCs/>
        </w:rPr>
        <w:t>RAN3 Chair</w:t>
      </w:r>
    </w:p>
    <w:p w14:paraId="5D4DF0BF" w14:textId="77777777"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 xml:space="preserve"> </w:t>
      </w:r>
      <w:r w:rsidRPr="00621F18">
        <w:rPr>
          <w:rFonts w:ascii="Calibri" w:hAnsi="Calibri" w:cs="Calibri"/>
        </w:rPr>
        <w:tab/>
        <w:t>Agenda</w:t>
      </w:r>
    </w:p>
    <w:p w14:paraId="1219B91D" w14:textId="77777777" w:rsidR="00A42A3F" w:rsidRPr="00621F18"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136383" w:rsidP="000C755C">
            <w:pPr>
              <w:pStyle w:val="Heading2"/>
              <w:spacing w:line="276" w:lineRule="auto"/>
              <w:rPr>
                <w:rFonts w:ascii="Calibri" w:hAnsi="Calibri" w:cs="Calibri"/>
                <w:lang w:eastAsia="en-US"/>
              </w:rPr>
            </w:pPr>
            <w:hyperlink r:id="rId5" w:history="1">
              <w:r w:rsidR="00933247" w:rsidRPr="00621F18">
                <w:rPr>
                  <w:rStyle w:val="Hyperlink"/>
                  <w:rFonts w:ascii="Calibri" w:eastAsia="SimSun" w:hAnsi="Calibri" w:cs="Calibri"/>
                  <w:b w:val="0"/>
                  <w:bCs w:val="0"/>
                  <w:i/>
                  <w:iCs w:val="0"/>
                  <w:sz w:val="16"/>
                  <w:szCs w:val="16"/>
                  <w:lang w:eastAsia="en-US"/>
                </w:rPr>
                <w:t>https://www.3gpp.org/about-us/legal-matters/call-for-ipr</w:t>
              </w:r>
            </w:hyperlink>
            <w:r w:rsidR="00933247"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136383" w:rsidP="000C755C">
            <w:pPr>
              <w:spacing w:before="0" w:beforeAutospacing="0" w:after="60" w:line="276" w:lineRule="auto"/>
              <w:rPr>
                <w:rFonts w:ascii="Calibri" w:hAnsi="Calibri" w:cs="Calibri"/>
                <w:lang w:eastAsia="en-US"/>
              </w:rPr>
            </w:pPr>
            <w:hyperlink r:id="rId7" w:history="1">
              <w:r w:rsidR="006E7B88" w:rsidRPr="00621F18">
                <w:rPr>
                  <w:rStyle w:val="Hyperlink"/>
                  <w:rFonts w:ascii="Calibri" w:hAnsi="Calibri" w:cs="Calibri"/>
                  <w:i/>
                  <w:sz w:val="16"/>
                  <w:szCs w:val="16"/>
                  <w:lang w:eastAsia="en-US"/>
                </w:rPr>
                <w:t>https://www.3gpp.org/about-us/legal-matters/statement-regarding-competition-law</w:t>
              </w:r>
            </w:hyperlink>
            <w:r w:rsidR="006E7B88"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136383" w:rsidP="000C755C">
            <w:pPr>
              <w:spacing w:before="0" w:beforeAutospacing="0" w:after="60" w:line="276" w:lineRule="auto"/>
              <w:rPr>
                <w:rFonts w:ascii="Calibri" w:hAnsi="Calibri" w:cs="Calibri"/>
                <w:lang w:eastAsia="en-US"/>
              </w:rPr>
            </w:pPr>
            <w:hyperlink r:id="rId8" w:history="1">
              <w:r w:rsidR="00A42A3F"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lastRenderedPageBreak/>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shall not use the network to engage in illegal activities. This includes activities such as copyright violation, hacking, </w:t>
            </w:r>
            <w:proofErr w:type="gramStart"/>
            <w:r w:rsidRPr="00621F18">
              <w:rPr>
                <w:rFonts w:ascii="Calibri" w:hAnsi="Calibri" w:cs="Calibri"/>
                <w:sz w:val="18"/>
                <w:szCs w:val="18"/>
                <w:lang w:eastAsia="en-US"/>
              </w:rPr>
              <w:t>espionage</w:t>
            </w:r>
            <w:proofErr w:type="gramEnd"/>
            <w:r w:rsidRPr="00621F18">
              <w:rPr>
                <w:rFonts w:ascii="Calibri" w:hAnsi="Calibri" w:cs="Calibri"/>
                <w:sz w:val="18"/>
                <w:szCs w:val="18"/>
                <w:lang w:eastAsia="en-US"/>
              </w:rPr>
              <w:t xml:space="preserv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hotspot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video,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xml:space="preserve">, and should </w:t>
            </w:r>
            <w:r w:rsidR="00A8397F" w:rsidRPr="00136383">
              <w:rPr>
                <w:rFonts w:ascii="Calibri" w:hAnsi="Calibri" w:cs="Calibri"/>
                <w:sz w:val="18"/>
                <w:szCs w:val="18"/>
                <w:lang w:eastAsia="en-US"/>
              </w:rPr>
              <w:lastRenderedPageBreak/>
              <w:t>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A42A3F" w:rsidRPr="00621F18" w14:paraId="083CF02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67DF94CE" w:rsidR="00DF2011" w:rsidRPr="00621F18" w:rsidRDefault="001A5646" w:rsidP="000C755C">
            <w:pPr>
              <w:spacing w:before="0" w:beforeAutospacing="0" w:after="60" w:line="276" w:lineRule="auto"/>
              <w:rPr>
                <w:rFonts w:ascii="Calibri" w:hAnsi="Calibri" w:cs="Calibri"/>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 Further information can be found </w:t>
            </w:r>
            <w:hyperlink r:id="rId12"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A42A3F" w:rsidRPr="00621F18" w14:paraId="11448F5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3"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4"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15"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lastRenderedPageBreak/>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17"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lastRenderedPageBreak/>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18" w:history="1">
              <w:r w:rsidRPr="00621F18">
                <w:rPr>
                  <w:rStyle w:val="Hyperlink"/>
                  <w:rFonts w:ascii="Calibri" w:hAnsi="Calibri" w:cs="Calibri"/>
                  <w:kern w:val="2"/>
                  <w:sz w:val="18"/>
                  <w:szCs w:val="18"/>
                  <w:lang w:eastAsia="en-US"/>
                </w:rPr>
                <w:t>RP-2</w:t>
              </w:r>
              <w:bookmarkStart w:id="20" w:name="_Hlt137715306"/>
              <w:r w:rsidRPr="00621F18">
                <w:rPr>
                  <w:rStyle w:val="Hyperlink"/>
                  <w:rFonts w:ascii="Calibri" w:hAnsi="Calibri" w:cs="Calibri"/>
                  <w:kern w:val="2"/>
                  <w:sz w:val="18"/>
                  <w:szCs w:val="18"/>
                  <w:lang w:eastAsia="en-US"/>
                </w:rPr>
                <w:t>4</w:t>
              </w:r>
              <w:bookmarkEnd w:id="20"/>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19"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w:t>
            </w:r>
            <w:r w:rsidRPr="00621F18">
              <w:rPr>
                <w:rFonts w:ascii="Calibri" w:eastAsia="MS Mincho" w:hAnsi="Calibri" w:cs="Calibri"/>
                <w:i/>
                <w:iCs/>
                <w:color w:val="00B050"/>
                <w:kern w:val="2"/>
                <w:sz w:val="16"/>
                <w:szCs w:val="16"/>
              </w:rPr>
              <w:lastRenderedPageBreak/>
              <w:t xml:space="preserve">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generate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including a list of pair of {security key,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20" w:history="1">
              <w:r w:rsidRPr="00621F18">
                <w:rPr>
                  <w:rStyle w:val="Hyperlink"/>
                  <w:rFonts w:ascii="Calibri" w:hAnsi="Calibri" w:cs="Calibri"/>
                  <w:sz w:val="18"/>
                  <w:szCs w:val="18"/>
                  <w:lang w:eastAsia="en-US"/>
                </w:rPr>
                <w:t>RP</w:t>
              </w:r>
              <w:bookmarkStart w:id="21" w:name="_Hlt51753062"/>
              <w:r w:rsidRPr="00621F18">
                <w:rPr>
                  <w:rStyle w:val="Hyperlink"/>
                  <w:rFonts w:ascii="Calibri" w:hAnsi="Calibri" w:cs="Calibri"/>
                  <w:sz w:val="18"/>
                  <w:szCs w:val="18"/>
                  <w:lang w:eastAsia="en-US"/>
                </w:rPr>
                <w:t>-</w:t>
              </w:r>
              <w:bookmarkEnd w:id="21"/>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lastRenderedPageBreak/>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2" w:name="_Hlk3366589"/>
            <w:r w:rsidRPr="00621F18">
              <w:rPr>
                <w:rFonts w:ascii="Calibri" w:hAnsi="Calibri" w:cs="Calibri"/>
                <w:lang w:eastAsia="en-US"/>
              </w:rPr>
              <w:lastRenderedPageBreak/>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21"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22"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readers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class2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23"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24"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w:t>
            </w:r>
            <w:proofErr w:type="gramStart"/>
            <w:r w:rsidRPr="00621F18">
              <w:rPr>
                <w:rFonts w:ascii="Calibri" w:hAnsi="Calibri" w:cs="Calibri"/>
                <w:i/>
                <w:color w:val="FF0000"/>
                <w:sz w:val="16"/>
                <w:szCs w:val="16"/>
                <w:lang w:eastAsia="en-US"/>
              </w:rPr>
              <w:t>grouping</w:t>
            </w:r>
            <w:proofErr w:type="gramEnd"/>
            <w:r w:rsidRPr="00621F18">
              <w:rPr>
                <w:rFonts w:ascii="Calibri" w:hAnsi="Calibri" w:cs="Calibri"/>
                <w:i/>
                <w:color w:val="FF0000"/>
                <w:sz w:val="16"/>
                <w:szCs w:val="16"/>
                <w:lang w:eastAsia="en-US"/>
              </w:rPr>
              <w:t xml:space="preserve">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proofErr w:type="gramStart"/>
            <w:r w:rsidRPr="00621F18">
              <w:rPr>
                <w:rFonts w:ascii="Calibri" w:eastAsia="MS Mincho" w:hAnsi="Calibri" w:cs="Calibri"/>
                <w:i/>
                <w:iCs/>
                <w:color w:val="0070C0"/>
                <w:kern w:val="2"/>
                <w:sz w:val="16"/>
                <w:szCs w:val="16"/>
              </w:rPr>
              <w:t>To</w:t>
            </w:r>
            <w:proofErr w:type="gramEnd"/>
            <w:r w:rsidRPr="00621F18">
              <w:rPr>
                <w:rFonts w:ascii="Calibri" w:eastAsia="MS Mincho" w:hAnsi="Calibri" w:cs="Calibri"/>
                <w:i/>
                <w:iCs/>
                <w:color w:val="0070C0"/>
                <w:kern w:val="2"/>
                <w:sz w:val="16"/>
                <w:szCs w:val="16"/>
              </w:rPr>
              <w:t xml:space="preserve">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bookmarkEnd w:id="22"/>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25"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w:t>
            </w:r>
            <w:proofErr w:type="gramStart"/>
            <w:r w:rsidRPr="00621F18">
              <w:rPr>
                <w:rFonts w:ascii="Calibri" w:hAnsi="Calibri" w:cs="Calibri"/>
                <w:i/>
                <w:color w:val="FF0000"/>
                <w:sz w:val="16"/>
                <w:szCs w:val="16"/>
                <w:lang w:eastAsia="en-US"/>
              </w:rPr>
              <w:t>cell-specific</w:t>
            </w:r>
            <w:proofErr w:type="gramEnd"/>
            <w:r w:rsidRPr="00621F18">
              <w:rPr>
                <w:rFonts w:ascii="Calibri" w:hAnsi="Calibri" w:cs="Calibri"/>
                <w:i/>
                <w:color w:val="FF0000"/>
                <w:sz w:val="16"/>
                <w:szCs w:val="16"/>
                <w:lang w:eastAsia="en-US"/>
              </w:rPr>
              <w:t xml:space="preserve">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26"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27"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lastRenderedPageBreak/>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2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29"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31. Corrections and Enhancements to Rel-19</w:t>
            </w:r>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23" w:name="_Hlk516525052"/>
            <w:bookmarkStart w:id="24" w:name="_Hlk516525030"/>
            <w:bookmarkEnd w:id="23"/>
            <w:bookmarkEnd w:id="24"/>
            <w:r w:rsidRPr="00621F18">
              <w:rPr>
                <w:rFonts w:ascii="Calibri" w:hAnsi="Calibri" w:cs="Calibri"/>
                <w:lang w:eastAsia="en-US"/>
              </w:rPr>
              <w:t>32. Any other business</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25" w:name="_Hlk511294021"/>
            <w:bookmarkEnd w:id="25"/>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77777777"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Corrections: AI 9/31</w:t>
            </w:r>
            <w:r w:rsidR="00FB46F7" w:rsidRPr="00621F18">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77777777" w:rsidR="00A42A3F" w:rsidRPr="00621F18" w:rsidRDefault="00A42A3F" w:rsidP="000C755C">
            <w:pPr>
              <w:pStyle w:val="20"/>
              <w:spacing w:after="0"/>
              <w:rPr>
                <w:rFonts w:ascii="Calibri" w:hAnsi="Calibri" w:cs="Calibri"/>
                <w:i/>
                <w:iCs/>
              </w:rPr>
            </w:pPr>
            <w:r w:rsidRPr="00621F18">
              <w:rPr>
                <w:rFonts w:ascii="Calibri" w:hAnsi="Calibri" w:cs="Calibri"/>
                <w:i/>
                <w:iCs/>
                <w:lang w:eastAsia="zh-CN"/>
              </w:rPr>
              <w:t>1300~14</w:t>
            </w:r>
            <w:r w:rsidR="00920A43" w:rsidRPr="00621F18">
              <w:rPr>
                <w:rFonts w:ascii="Calibri" w:hAnsi="Calibri" w:cs="Calibri"/>
                <w:i/>
                <w:iCs/>
                <w:lang w:eastAsia="zh-CN"/>
              </w:rPr>
              <w:t>3</w:t>
            </w:r>
            <w:r w:rsidRPr="00621F18">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77777777" w:rsidR="00652F0D" w:rsidRPr="00621F18" w:rsidRDefault="00652F0D" w:rsidP="000C755C">
            <w:pPr>
              <w:pStyle w:val="20"/>
              <w:spacing w:after="0"/>
              <w:rPr>
                <w:rFonts w:ascii="Calibri" w:hAnsi="Calibri" w:cs="Calibri"/>
                <w:i/>
                <w:iCs/>
              </w:rPr>
            </w:pPr>
            <w:r w:rsidRPr="00621F18">
              <w:rPr>
                <w:rFonts w:ascii="Calibri" w:hAnsi="Calibri" w:cs="Calibri"/>
                <w:i/>
                <w:iCs/>
              </w:rPr>
              <w:t>1</w:t>
            </w:r>
            <w:r w:rsidRPr="00621F18">
              <w:rPr>
                <w:rFonts w:ascii="Calibri" w:hAnsi="Calibri" w:cs="Calibri"/>
                <w:i/>
                <w:iCs/>
                <w:lang w:eastAsia="zh-CN"/>
              </w:rPr>
              <w:t>6</w:t>
            </w:r>
            <w:r w:rsidRPr="00621F18">
              <w:rPr>
                <w:rFonts w:ascii="Calibri" w:hAnsi="Calibri" w:cs="Calibri"/>
                <w:i/>
                <w:iCs/>
              </w:rPr>
              <w:t>30~1</w:t>
            </w:r>
            <w:r w:rsidRPr="00621F18">
              <w:rPr>
                <w:rFonts w:ascii="Calibri" w:hAnsi="Calibri" w:cs="Calibri"/>
                <w:i/>
                <w:iCs/>
                <w:lang w:eastAsia="zh-CN"/>
              </w:rPr>
              <w:t>7</w:t>
            </w:r>
            <w:r w:rsidRPr="00621F18">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567A362D" w14:textId="77777777" w:rsidR="00BD349A"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CB88257" w14:textId="77777777" w:rsidR="001558C6" w:rsidRPr="00621F18" w:rsidRDefault="001558C6" w:rsidP="000C755C">
            <w:pPr>
              <w:pStyle w:val="20"/>
              <w:spacing w:after="0"/>
              <w:jc w:val="center"/>
              <w:rPr>
                <w:rFonts w:ascii="Calibri" w:hAnsi="Calibri" w:cs="Calibri"/>
                <w:strike/>
                <w:color w:val="FF0000"/>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621F18"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26"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26"/>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24"/>
  </w:num>
  <w:num w:numId="9">
    <w:abstractNumId w:val="8"/>
  </w:num>
  <w:num w:numId="10">
    <w:abstractNumId w:val="32"/>
  </w:num>
  <w:num w:numId="11">
    <w:abstractNumId w:val="31"/>
  </w:num>
  <w:num w:numId="12">
    <w:abstractNumId w:val="4"/>
  </w:num>
  <w:num w:numId="13">
    <w:abstractNumId w:val="35"/>
  </w:num>
  <w:num w:numId="14">
    <w:abstractNumId w:val="17"/>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1"/>
  </w:num>
  <w:num w:numId="21">
    <w:abstractNumId w:val="5"/>
  </w:num>
  <w:num w:numId="22">
    <w:abstractNumId w:val="38"/>
  </w:num>
  <w:num w:numId="23">
    <w:abstractNumId w:val="20"/>
  </w:num>
  <w:num w:numId="24">
    <w:abstractNumId w:val="14"/>
  </w:num>
  <w:num w:numId="25">
    <w:abstractNumId w:val="21"/>
  </w:num>
  <w:num w:numId="26">
    <w:abstractNumId w:val="15"/>
  </w:num>
  <w:num w:numId="27">
    <w:abstractNumId w:val="26"/>
  </w:num>
  <w:num w:numId="28">
    <w:abstractNumId w:val="36"/>
  </w:num>
  <w:num w:numId="29">
    <w:abstractNumId w:val="12"/>
  </w:num>
  <w:num w:numId="30">
    <w:abstractNumId w:val="27"/>
  </w:num>
  <w:num w:numId="31">
    <w:abstractNumId w:val="33"/>
  </w:num>
  <w:num w:numId="32">
    <w:abstractNumId w:val="37"/>
  </w:num>
  <w:num w:numId="33">
    <w:abstractNumId w:val="18"/>
  </w:num>
  <w:num w:numId="34">
    <w:abstractNumId w:val="6"/>
  </w:num>
  <w:num w:numId="35">
    <w:abstractNumId w:val="7"/>
  </w:num>
  <w:num w:numId="36">
    <w:abstractNumId w:val="13"/>
  </w:num>
  <w:num w:numId="37">
    <w:abstractNumId w:val="34"/>
  </w:num>
  <w:num w:numId="38">
    <w:abstractNumId w:val="16"/>
  </w:num>
  <w:num w:numId="39">
    <w:abstractNumId w:val="40"/>
  </w:num>
  <w:num w:numId="40">
    <w:abstractNumId w:val="25"/>
  </w:num>
  <w:num w:numId="41">
    <w:abstractNumId w:val="28"/>
  </w:num>
  <w:num w:numId="42">
    <w:abstractNumId w:val="30"/>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D3"/>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500F"/>
    <w:rsid w:val="006251AC"/>
    <w:rsid w:val="0062581C"/>
    <w:rsid w:val="00625A53"/>
    <w:rsid w:val="00625EB8"/>
    <w:rsid w:val="0062626A"/>
    <w:rsid w:val="00626549"/>
    <w:rsid w:val="0062678B"/>
    <w:rsid w:val="00626CC3"/>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C"/>
    <w:rsid w:val="00696E16"/>
    <w:rsid w:val="006973E6"/>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FF3458FB-346A-4D92-97E3-D96C15C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PCG/PCG_27/DOCS/PCG27_13r1.zip" TargetMode="External"/><Relationship Id="rId13" Type="http://schemas.openxmlformats.org/officeDocument/2006/relationships/hyperlink" Target="http://www.3gpp.org/DynaReport/30531.htm" TargetMode="External"/><Relationship Id="rId18" Type="http://schemas.openxmlformats.org/officeDocument/2006/relationships/hyperlink" Target="https://www.3gpp.org/ftp/tsg_ran/TSG_RAN/TSGR_106/Docs/RP-243009.zip" TargetMode="External"/><Relationship Id="rId26" Type="http://schemas.openxmlformats.org/officeDocument/2006/relationships/hyperlink" Target="https://www.3gpp.org/ftp/tsg_ran/TSG_RAN/TSGR_108/Docs/" TargetMode="External"/><Relationship Id="rId3" Type="http://schemas.openxmlformats.org/officeDocument/2006/relationships/settings" Target="settings.xml"/><Relationship Id="rId21" Type="http://schemas.openxmlformats.org/officeDocument/2006/relationships/hyperlink" Target="https://www.3gpp.org/ftp/tsg_ran/TSG_RAN/TSGR_107/Docs" TargetMode="External"/><Relationship Id="rId7" Type="http://schemas.openxmlformats.org/officeDocument/2006/relationships/hyperlink" Target="https://www.3gpp.org/about-us/legal-matters/statement-regarding-competition-law" TargetMode="External"/><Relationship Id="rId12" Type="http://schemas.openxmlformats.org/officeDocument/2006/relationships/hyperlink" Target="https://www.3gpp.org/ftp/TSG_RAN/WG3_Iu/TSGR3_129/Inbox/Chairs_Notes/RAN3%23129_election_guidance_v2.docx" TargetMode="External"/><Relationship Id="rId17" Type="http://schemas.openxmlformats.org/officeDocument/2006/relationships/hyperlink" Target="https://www.3gpp.org/ftp/tsg_ran/TSG_RAN/TSGR_108/Docs" TargetMode="External"/><Relationship Id="rId25" Type="http://schemas.openxmlformats.org/officeDocument/2006/relationships/hyperlink" Target="https://www.3gpp.org/ftp/tsg_ran/TSG_RAN/TSGR_108/Docs/" TargetMode="External"/><Relationship Id="rId2" Type="http://schemas.openxmlformats.org/officeDocument/2006/relationships/styles" Target="styles.xml"/><Relationship Id="rId16" Type="http://schemas.openxmlformats.org/officeDocument/2006/relationships/hyperlink" Target="https://www.3gpp.org/ftp/tsg_ran/TSG_RAN/TSGR_102/Docs/RP-234038.zip" TargetMode="External"/><Relationship Id="rId20" Type="http://schemas.openxmlformats.org/officeDocument/2006/relationships/hyperlink" Target="https://www.3gpp.org/ftp/tsg_ran/TSG_RAN/TSGR_106/Docs/RP-243300.zip" TargetMode="External"/><Relationship Id="rId29" Type="http://schemas.openxmlformats.org/officeDocument/2006/relationships/hyperlink" Target="https://www.3gpp.org/ftp/tsg_ran/TSG_RAN/TSGR_107/Docs" TargetMode="External"/><Relationship Id="rId1" Type="http://schemas.openxmlformats.org/officeDocument/2006/relationships/numbering" Target="numbering.xml"/><Relationship Id="rId6" Type="http://schemas.openxmlformats.org/officeDocument/2006/relationships/hyperlink" Target="http://ipr.etsi.org/" TargetMode="External"/><Relationship Id="rId11" Type="http://schemas.openxmlformats.org/officeDocument/2006/relationships/hyperlink" Target="http://www.3gpp.org/ftp/tsg_ran/WG3_Iu/TSGR3_AHGs/R3_AH_NR_1706/Docs/R3-172219.zip" TargetMode="External"/><Relationship Id="rId24" Type="http://schemas.openxmlformats.org/officeDocument/2006/relationships/hyperlink" Target="https://www.3gpp.org/ftp/tsg_ran/TSG_RAN/TSGR_108/Docs/" TargetMode="External"/><Relationship Id="rId5" Type="http://schemas.openxmlformats.org/officeDocument/2006/relationships/hyperlink" Target="https://www.3gpp.org/about-us/legal-matters/call-for-ipr" TargetMode="External"/><Relationship Id="rId15" Type="http://schemas.openxmlformats.org/officeDocument/2006/relationships/hyperlink" Target="https://www.3gpp.org/ftp/tsg_ran/WG3_Iu/TSGR3_119/Inbox/R3-230802.zip" TargetMode="External"/><Relationship Id="rId23" Type="http://schemas.openxmlformats.org/officeDocument/2006/relationships/hyperlink" Target="https://www.3gpp.org/ftp/tsg_ran/TSG_RAN/TSGR_108/Docs" TargetMode="External"/><Relationship Id="rId28" Type="http://schemas.openxmlformats.org/officeDocument/2006/relationships/hyperlink" Target="https://www.3gpp.org/ftp/tsg_ran/TSG_RAN/TSGR_107/Docs" TargetMode="External"/><Relationship Id="rId10" Type="http://schemas.openxmlformats.org/officeDocument/2006/relationships/hyperlink" Target="https://www.3gpp.org/ftp/tsg_ran/WG3_Iu/TSGR3_107_e/Docs" TargetMode="External"/><Relationship Id="rId19" Type="http://schemas.openxmlformats.org/officeDocument/2006/relationships/hyperlink" Target="https://www.3gpp.org/ftp/tsg_ran/TSG_RAN/TSGR_107/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3_Iu/TSGR3_114bis-e/Inbox" TargetMode="External"/><Relationship Id="rId14" Type="http://schemas.openxmlformats.org/officeDocument/2006/relationships/hyperlink" Target="https://www.3gpp.org/ftp/tsg_ran/WG3_Iu/TSGR3_112-e/Docs/R3-212800.zip" TargetMode="External"/><Relationship Id="rId22" Type="http://schemas.openxmlformats.org/officeDocument/2006/relationships/hyperlink" Target="https://www.3gpp.org/ftp/tsg_ran/TSG_RAN/TSGR_107/Docs" TargetMode="External"/><Relationship Id="rId27" Type="http://schemas.openxmlformats.org/officeDocument/2006/relationships/hyperlink" Target="https://www.3gpp.org/ftp/tsg_ran/TSG_RAN/TSGR_107/Doc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20</Pages>
  <Words>7855</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39</cp:revision>
  <dcterms:created xsi:type="dcterms:W3CDTF">2025-06-24T21:48:00Z</dcterms:created>
  <dcterms:modified xsi:type="dcterms:W3CDTF">2025-08-07T18:31:00Z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