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5D33329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E7151F" w:rsidRPr="00E7151F">
        <w:rPr>
          <w:rFonts w:cs="Arial"/>
          <w:bCs/>
          <w:noProof w:val="0"/>
          <w:sz w:val="24"/>
        </w:rPr>
        <w:t>R3-255625</w:t>
      </w:r>
    </w:p>
    <w:p w14:paraId="1D986196" w14:textId="77777777" w:rsidR="0072058F" w:rsidRPr="004C6888" w:rsidRDefault="0072058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41B1F970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551A8" w:rsidRPr="000551A8">
        <w:t xml:space="preserve">Fetching reference configuration from candidate </w:t>
      </w:r>
      <w:proofErr w:type="spellStart"/>
      <w:r w:rsidR="000551A8" w:rsidRPr="000551A8">
        <w:t>gNB</w:t>
      </w:r>
      <w:proofErr w:type="spellEnd"/>
      <w:r w:rsidR="000551A8" w:rsidRPr="000551A8">
        <w:t xml:space="preserve"> in inter-CU LTM</w:t>
      </w:r>
    </w:p>
    <w:p w14:paraId="1703601B" w14:textId="43C4785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445B18">
        <w:rPr>
          <w:lang w:eastAsia="zh-CN"/>
        </w:rPr>
        <w:t>13.2</w:t>
      </w:r>
    </w:p>
    <w:p w14:paraId="778AB5AF" w14:textId="25F9F4FF" w:rsidR="005F436C" w:rsidRDefault="005F436C" w:rsidP="00640E3E">
      <w:pPr>
        <w:pStyle w:val="af8"/>
        <w:ind w:left="1985" w:hanging="1985"/>
        <w:rPr>
          <w:lang w:eastAsia="ja-JP"/>
        </w:rPr>
      </w:pPr>
      <w:r>
        <w:t>Source:</w:t>
      </w:r>
      <w:r>
        <w:tab/>
      </w:r>
      <w:r w:rsidR="006137D5">
        <w:t>Huawei</w:t>
      </w:r>
      <w:r w:rsidR="000F7899">
        <w:t xml:space="preserve">, </w:t>
      </w:r>
      <w:r w:rsidR="00B43575">
        <w:t xml:space="preserve">Google, </w:t>
      </w:r>
      <w:r w:rsidR="0060388F">
        <w:t>Nokia,</w:t>
      </w:r>
      <w:r w:rsidR="003B749E">
        <w:t xml:space="preserve"> </w:t>
      </w:r>
      <w:r w:rsidR="003B749E" w:rsidRPr="003B749E">
        <w:t>Jio Platforms</w:t>
      </w:r>
      <w:r w:rsidR="000207FE">
        <w:t>, CATT</w:t>
      </w:r>
      <w:r w:rsidR="00322E15">
        <w:rPr>
          <w:lang w:eastAsia="zh-CN"/>
        </w:rPr>
        <w:t>, CMCC</w:t>
      </w:r>
      <w:r w:rsidR="008313F3">
        <w:rPr>
          <w:lang w:eastAsia="zh-CN"/>
        </w:rPr>
        <w:t xml:space="preserve">, </w:t>
      </w:r>
      <w:r w:rsidR="008313F3" w:rsidRPr="008313F3">
        <w:rPr>
          <w:lang w:eastAsia="zh-CN"/>
        </w:rPr>
        <w:t>NTT Docomo</w:t>
      </w:r>
      <w:r w:rsidR="002A3EF0">
        <w:rPr>
          <w:lang w:eastAsia="zh-CN"/>
        </w:rPr>
        <w:t xml:space="preserve">, </w:t>
      </w:r>
      <w:r w:rsidR="002A3EF0" w:rsidRPr="002A3EF0">
        <w:rPr>
          <w:lang w:eastAsia="zh-CN"/>
        </w:rPr>
        <w:t>Lenovo</w:t>
      </w:r>
      <w:r w:rsidR="009C166E">
        <w:rPr>
          <w:lang w:eastAsia="zh-CN"/>
        </w:rPr>
        <w:t>, China Telecom</w:t>
      </w:r>
      <w:r w:rsidR="00E7151F">
        <w:rPr>
          <w:lang w:eastAsia="zh-CN"/>
        </w:rPr>
        <w:t>, Samsung</w:t>
      </w:r>
    </w:p>
    <w:p w14:paraId="19F92F93" w14:textId="5A42D574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45B18">
        <w:t>Discussion</w:t>
      </w:r>
    </w:p>
    <w:p w14:paraId="3702CEA5" w14:textId="4E6CACF9" w:rsidR="00773339" w:rsidRDefault="00EE0733" w:rsidP="00445B18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3" w:name="_Hlk48630882"/>
    </w:p>
    <w:p w14:paraId="56F2EBC8" w14:textId="6885A24F" w:rsidR="00445B18" w:rsidRDefault="002D0C2B" w:rsidP="00445B18">
      <w:r>
        <w:t xml:space="preserve">At RAN3 #127 meeting, the following progress </w:t>
      </w:r>
      <w:r w:rsidR="00C62EAB">
        <w:t>was</w:t>
      </w:r>
      <w:r>
        <w:t xml:space="preserve"> made related to reference configuration generation.</w:t>
      </w:r>
    </w:p>
    <w:p w14:paraId="1CC2A812" w14:textId="77777777" w:rsidR="002D0C2B" w:rsidRPr="00A53B5B" w:rsidRDefault="002D0C2B" w:rsidP="002D0C2B">
      <w:pPr>
        <w:widowControl w:val="0"/>
        <w:ind w:leftChars="100" w:left="200"/>
        <w:rPr>
          <w:rFonts w:cs="Calibri"/>
          <w:i/>
          <w:iCs/>
          <w:color w:val="00B050"/>
          <w:kern w:val="2"/>
        </w:rPr>
      </w:pPr>
      <w:r w:rsidRPr="00A53B5B">
        <w:rPr>
          <w:rFonts w:cs="Calibri"/>
          <w:i/>
          <w:iCs/>
          <w:color w:val="00B050"/>
          <w:kern w:val="2"/>
        </w:rPr>
        <w:t xml:space="preserve">The source gNB can </w:t>
      </w:r>
      <w:r w:rsidRPr="00A53B5B">
        <w:rPr>
          <w:rFonts w:cs="Calibri" w:hint="eastAsia"/>
          <w:i/>
          <w:iCs/>
          <w:color w:val="00B050"/>
          <w:kern w:val="2"/>
        </w:rPr>
        <w:t>generate</w:t>
      </w:r>
      <w:r w:rsidRPr="00A53B5B">
        <w:rPr>
          <w:rFonts w:cs="Calibri"/>
          <w:i/>
          <w:iCs/>
          <w:color w:val="00B050"/>
          <w:kern w:val="2"/>
        </w:rPr>
        <w:t xml:space="preserve"> reference configuration </w:t>
      </w:r>
      <w:r w:rsidRPr="00A53B5B">
        <w:rPr>
          <w:rFonts w:cs="Calibri" w:hint="eastAsia"/>
          <w:i/>
          <w:iCs/>
          <w:color w:val="00B050"/>
          <w:kern w:val="2"/>
        </w:rPr>
        <w:t xml:space="preserve">and </w:t>
      </w:r>
      <w:r w:rsidRPr="00A53B5B">
        <w:rPr>
          <w:rFonts w:cs="Calibri"/>
          <w:i/>
          <w:iCs/>
          <w:color w:val="00B050"/>
          <w:kern w:val="2"/>
        </w:rPr>
        <w:t xml:space="preserve">provide a reference configuration for LTM in a Handover Request </w:t>
      </w:r>
      <w:r w:rsidRPr="00A53B5B">
        <w:rPr>
          <w:rFonts w:cs="Calibri" w:hint="eastAsia"/>
          <w:i/>
          <w:iCs/>
          <w:color w:val="00B050"/>
          <w:kern w:val="2"/>
        </w:rPr>
        <w:t xml:space="preserve">and LTM configuration update </w:t>
      </w:r>
      <w:r w:rsidRPr="00A53B5B">
        <w:rPr>
          <w:rFonts w:cs="Calibri"/>
          <w:i/>
          <w:iCs/>
          <w:color w:val="00B050"/>
          <w:kern w:val="2"/>
        </w:rPr>
        <w:t>message.</w:t>
      </w:r>
    </w:p>
    <w:p w14:paraId="72B68EFB" w14:textId="77777777" w:rsidR="002D0C2B" w:rsidRPr="00A53B5B" w:rsidRDefault="002D0C2B" w:rsidP="002D0C2B">
      <w:pPr>
        <w:widowControl w:val="0"/>
        <w:ind w:leftChars="100" w:left="200"/>
        <w:rPr>
          <w:rFonts w:cs="Calibri"/>
          <w:i/>
          <w:iCs/>
          <w:color w:val="00B050"/>
          <w:kern w:val="2"/>
        </w:rPr>
      </w:pPr>
      <w:r w:rsidRPr="00A53B5B">
        <w:rPr>
          <w:rFonts w:cs="Calibri"/>
          <w:i/>
          <w:iCs/>
          <w:color w:val="00B050"/>
          <w:kern w:val="2"/>
        </w:rPr>
        <w:t>The candidate gNB indicates whether a LTM candidate configuration is a complete candidate configuration in the Handover Request Acknowledge</w:t>
      </w:r>
      <w:r w:rsidRPr="00A53B5B">
        <w:rPr>
          <w:rFonts w:cs="Calibri" w:hint="eastAsia"/>
          <w:i/>
          <w:iCs/>
          <w:color w:val="00B050"/>
          <w:kern w:val="2"/>
        </w:rPr>
        <w:t xml:space="preserve"> and LTM configuration update acknowledge</w:t>
      </w:r>
      <w:r w:rsidRPr="00A53B5B">
        <w:rPr>
          <w:rFonts w:cs="Calibri"/>
          <w:i/>
          <w:iCs/>
          <w:color w:val="00B050"/>
          <w:kern w:val="2"/>
        </w:rPr>
        <w:t xml:space="preserve"> message.</w:t>
      </w:r>
    </w:p>
    <w:p w14:paraId="2D33FF56" w14:textId="484BE20E" w:rsidR="002D0C2B" w:rsidRDefault="002D0C2B" w:rsidP="002D0C2B">
      <w:pPr>
        <w:ind w:leftChars="100" w:left="200"/>
      </w:pPr>
      <w:r w:rsidRPr="00A53B5B">
        <w:rPr>
          <w:rFonts w:cs="Calibri" w:hint="eastAsia"/>
          <w:i/>
          <w:iCs/>
          <w:color w:val="0070C0"/>
          <w:kern w:val="2"/>
        </w:rPr>
        <w:t>FFS on whether the source gNB</w:t>
      </w:r>
      <w:bookmarkStart w:id="4" w:name="OLE_LINK6"/>
      <w:r w:rsidRPr="00A53B5B">
        <w:rPr>
          <w:rFonts w:cs="Calibri" w:hint="eastAsia"/>
          <w:i/>
          <w:iCs/>
          <w:color w:val="0070C0"/>
          <w:kern w:val="2"/>
        </w:rPr>
        <w:t xml:space="preserve"> can request a candidate gNB to provide a reference configuration.</w:t>
      </w:r>
      <w:bookmarkEnd w:id="4"/>
    </w:p>
    <w:p w14:paraId="724D1AEA" w14:textId="0645DA07" w:rsidR="003F6210" w:rsidRPr="003F6210" w:rsidRDefault="002D0C2B" w:rsidP="00445B18">
      <w:pPr>
        <w:rPr>
          <w:lang w:val="en-US"/>
        </w:rPr>
      </w:pPr>
      <w:r>
        <w:rPr>
          <w:rFonts w:hint="eastAsia"/>
        </w:rPr>
        <w:t>T</w:t>
      </w:r>
      <w:r>
        <w:t xml:space="preserve">he open issue was discussed for two meetings, </w:t>
      </w:r>
      <w:r w:rsidR="00D73CE8">
        <w:t>but</w:t>
      </w:r>
      <w:r>
        <w:t xml:space="preserve"> are still not </w:t>
      </w:r>
      <w:bookmarkStart w:id="5" w:name="OLE_LINK163"/>
      <w:r>
        <w:t>converged</w:t>
      </w:r>
      <w:bookmarkEnd w:id="5"/>
      <w:r>
        <w:t xml:space="preserve">. </w:t>
      </w:r>
      <w:r w:rsidR="003F6210">
        <w:rPr>
          <w:rFonts w:hint="eastAsia"/>
          <w:lang w:eastAsia="zh-CN"/>
        </w:rPr>
        <w:t>The</w:t>
      </w:r>
      <w:r w:rsidR="003F6210">
        <w:rPr>
          <w:lang w:val="en-US"/>
        </w:rPr>
        <w:t xml:space="preserve"> three approaches are listed here for reference.</w:t>
      </w:r>
    </w:p>
    <w:p w14:paraId="2A24C2F7" w14:textId="459836AB" w:rsidR="003F6210" w:rsidRPr="006E3F4A" w:rsidRDefault="003F6210" w:rsidP="003F6210">
      <w:pPr>
        <w:pStyle w:val="afa"/>
        <w:numPr>
          <w:ilvl w:val="0"/>
          <w:numId w:val="18"/>
        </w:numPr>
        <w:snapToGrid w:val="0"/>
        <w:rPr>
          <w:rFonts w:eastAsiaTheme="minorEastAsia"/>
          <w:i/>
          <w:iCs/>
          <w:lang w:eastAsia="zh-CN"/>
        </w:rPr>
      </w:pPr>
      <w:r w:rsidRPr="006E3F4A">
        <w:rPr>
          <w:rFonts w:eastAsiaTheme="minorEastAsia" w:hint="eastAsia"/>
          <w:i/>
          <w:iCs/>
          <w:lang w:eastAsia="zh-CN"/>
        </w:rPr>
        <w:t>Approach 1: S</w:t>
      </w:r>
      <w:r w:rsidRPr="006E3F4A">
        <w:rPr>
          <w:rFonts w:eastAsiaTheme="minorEastAsia"/>
          <w:i/>
          <w:iCs/>
          <w:lang w:eastAsia="zh-CN"/>
        </w:rPr>
        <w:t>imilar</w:t>
      </w:r>
      <w:r w:rsidRPr="006E3F4A">
        <w:rPr>
          <w:rFonts w:eastAsiaTheme="minorEastAsia" w:hint="eastAsia"/>
          <w:i/>
          <w:iCs/>
          <w:lang w:eastAsia="zh-CN"/>
        </w:rPr>
        <w:t xml:space="preserve"> as F1AP, the source gNB can request </w:t>
      </w:r>
      <w:r w:rsidRPr="006E3F4A">
        <w:rPr>
          <w:rFonts w:eastAsiaTheme="minorEastAsia"/>
          <w:i/>
          <w:iCs/>
          <w:lang w:eastAsia="zh-CN"/>
        </w:rPr>
        <w:t xml:space="preserve">a </w:t>
      </w:r>
      <w:r w:rsidRPr="006E3F4A">
        <w:rPr>
          <w:rFonts w:eastAsiaTheme="minorEastAsia" w:hint="eastAsia"/>
          <w:i/>
          <w:iCs/>
          <w:lang w:eastAsia="zh-CN"/>
        </w:rPr>
        <w:t>c</w:t>
      </w:r>
      <w:r w:rsidRPr="006E3F4A">
        <w:rPr>
          <w:rFonts w:eastAsiaTheme="minorEastAsia"/>
          <w:i/>
          <w:iCs/>
          <w:lang w:eastAsia="zh-CN"/>
        </w:rPr>
        <w:t>andidate-gNB to provide a reference configuration.</w:t>
      </w:r>
    </w:p>
    <w:p w14:paraId="5F584F07" w14:textId="04565374" w:rsidR="003F6210" w:rsidRPr="006E3F4A" w:rsidRDefault="003F6210" w:rsidP="003F6210">
      <w:pPr>
        <w:pStyle w:val="afa"/>
        <w:numPr>
          <w:ilvl w:val="0"/>
          <w:numId w:val="18"/>
        </w:numPr>
        <w:snapToGrid w:val="0"/>
        <w:rPr>
          <w:rFonts w:eastAsiaTheme="minorEastAsia"/>
          <w:i/>
          <w:iCs/>
          <w:lang w:eastAsia="zh-CN"/>
        </w:rPr>
      </w:pPr>
      <w:r w:rsidRPr="006E3F4A">
        <w:rPr>
          <w:rFonts w:eastAsiaTheme="minorEastAsia" w:hint="eastAsia"/>
          <w:i/>
          <w:iCs/>
          <w:lang w:eastAsia="zh-CN"/>
        </w:rPr>
        <w:t xml:space="preserve">Approach 2: For inter-CU LTM, only the source gNB can provide the reference </w:t>
      </w:r>
      <w:r w:rsidRPr="006E3F4A">
        <w:rPr>
          <w:rFonts w:eastAsiaTheme="minorEastAsia"/>
          <w:i/>
          <w:iCs/>
          <w:lang w:eastAsia="zh-CN"/>
        </w:rPr>
        <w:t>configuration</w:t>
      </w:r>
      <w:r w:rsidRPr="006E3F4A">
        <w:rPr>
          <w:rFonts w:eastAsiaTheme="minorEastAsia" w:hint="eastAsia"/>
          <w:i/>
          <w:iCs/>
          <w:lang w:eastAsia="zh-CN"/>
        </w:rPr>
        <w:t xml:space="preserve">. </w:t>
      </w:r>
    </w:p>
    <w:p w14:paraId="59DC9C74" w14:textId="44B2398B" w:rsidR="003F6210" w:rsidRPr="006E3F4A" w:rsidRDefault="003F6210" w:rsidP="003F6210">
      <w:pPr>
        <w:pStyle w:val="afa"/>
        <w:numPr>
          <w:ilvl w:val="0"/>
          <w:numId w:val="18"/>
        </w:numPr>
        <w:snapToGrid w:val="0"/>
        <w:rPr>
          <w:rFonts w:eastAsiaTheme="minorEastAsia"/>
          <w:i/>
          <w:iCs/>
          <w:lang w:eastAsia="zh-CN"/>
        </w:rPr>
      </w:pPr>
      <w:r w:rsidRPr="006E3F4A">
        <w:rPr>
          <w:rFonts w:eastAsiaTheme="minorEastAsia" w:hint="eastAsia"/>
          <w:i/>
          <w:iCs/>
          <w:lang w:eastAsia="zh-CN"/>
        </w:rPr>
        <w:t xml:space="preserve">Approach 3: If the source CU does not provide the reference configuration, it is up to the candidate DU to provide the reference configuration to the source CU and the </w:t>
      </w:r>
      <w:r w:rsidRPr="006E3F4A">
        <w:rPr>
          <w:rFonts w:eastAsiaTheme="minorEastAsia"/>
          <w:i/>
          <w:iCs/>
          <w:lang w:eastAsia="zh-CN"/>
        </w:rPr>
        <w:t>sour</w:t>
      </w:r>
      <w:r w:rsidRPr="006E3F4A">
        <w:rPr>
          <w:rFonts w:eastAsiaTheme="minorEastAsia" w:hint="eastAsia"/>
          <w:i/>
          <w:iCs/>
          <w:lang w:eastAsia="zh-CN"/>
        </w:rPr>
        <w:t xml:space="preserve">ce DU can decide which one to adopt as a reference </w:t>
      </w:r>
      <w:r w:rsidRPr="006E3F4A">
        <w:rPr>
          <w:rFonts w:eastAsiaTheme="minorEastAsia"/>
          <w:i/>
          <w:iCs/>
          <w:lang w:eastAsia="zh-CN"/>
        </w:rPr>
        <w:t>configuration</w:t>
      </w:r>
      <w:r w:rsidRPr="006E3F4A">
        <w:rPr>
          <w:rFonts w:eastAsiaTheme="minorEastAsia" w:hint="eastAsia"/>
          <w:i/>
          <w:iCs/>
          <w:lang w:eastAsia="zh-CN"/>
        </w:rPr>
        <w:t>.</w:t>
      </w:r>
    </w:p>
    <w:p w14:paraId="3C835E4E" w14:textId="013C5ECA" w:rsidR="00445B18" w:rsidRPr="00445B18" w:rsidRDefault="002D0C2B" w:rsidP="00445B18">
      <w:r>
        <w:t>The proponents of this contribution propose RAN3 to conclude this issue</w:t>
      </w:r>
      <w:r w:rsidR="003F6210">
        <w:t xml:space="preserve"> with approach 1</w:t>
      </w:r>
      <w:r>
        <w:t xml:space="preserve"> at the last meeting of Rel-19. </w:t>
      </w:r>
    </w:p>
    <w:bookmarkEnd w:id="3"/>
    <w:p w14:paraId="58FED0C3" w14:textId="69ABB538" w:rsidR="005C0A63" w:rsidRDefault="005C0A63" w:rsidP="003F6210">
      <w:pPr>
        <w:pStyle w:val="1"/>
        <w:numPr>
          <w:ilvl w:val="0"/>
          <w:numId w:val="17"/>
        </w:numPr>
      </w:pPr>
      <w:r>
        <w:t>Discussion</w:t>
      </w:r>
    </w:p>
    <w:p w14:paraId="466AF511" w14:textId="12B02A1B" w:rsidR="00660A9E" w:rsidRPr="00541F35" w:rsidRDefault="00424B4D" w:rsidP="00A45189">
      <w:r>
        <w:rPr>
          <w:rFonts w:hint="eastAsia"/>
        </w:rPr>
        <w:t>D</w:t>
      </w:r>
      <w:r>
        <w:t>uring the last few meetings, the majority companies</w:t>
      </w:r>
      <w:r>
        <w:rPr>
          <w:lang w:val="en-US" w:eastAsia="zh-CN"/>
        </w:rPr>
        <w:t xml:space="preserve"> think that it is beneficial to allow the source gNB to request a</w:t>
      </w:r>
      <w:r w:rsidR="002120E5">
        <w:rPr>
          <w:lang w:val="en-US" w:eastAsia="zh-CN"/>
        </w:rPr>
        <w:t xml:space="preserve"> </w:t>
      </w:r>
      <w:r w:rsidR="00C62EAB">
        <w:rPr>
          <w:lang w:val="en-US" w:eastAsia="zh-CN"/>
        </w:rPr>
        <w:t>candidate</w:t>
      </w:r>
      <w:r>
        <w:rPr>
          <w:lang w:val="en-US" w:eastAsia="zh-CN"/>
        </w:rPr>
        <w:t xml:space="preserve"> gNB to provide a reference configuration.</w:t>
      </w:r>
      <w:r w:rsidR="00A45189">
        <w:rPr>
          <w:lang w:val="en-US" w:eastAsia="zh-CN"/>
        </w:rPr>
        <w:t xml:space="preserve"> Because the RR</w:t>
      </w:r>
      <w:r w:rsidR="00660A9E" w:rsidRPr="00541F35">
        <w:rPr>
          <w:lang w:eastAsia="zh-CN"/>
        </w:rPr>
        <w:t xml:space="preserve">C </w:t>
      </w:r>
      <w:r w:rsidR="00C62EAB" w:rsidRPr="00541F35">
        <w:rPr>
          <w:lang w:eastAsia="zh-CN"/>
        </w:rPr>
        <w:t>signalling</w:t>
      </w:r>
      <w:r w:rsidR="00660A9E" w:rsidRPr="00541F35">
        <w:rPr>
          <w:lang w:eastAsia="zh-CN"/>
        </w:rPr>
        <w:t xml:space="preserve"> </w:t>
      </w:r>
      <w:r w:rsidR="00660A9E" w:rsidRPr="00541F35">
        <w:rPr>
          <w:rFonts w:hint="eastAsia"/>
          <w:lang w:eastAsia="zh-CN"/>
        </w:rPr>
        <w:t>overhead</w:t>
      </w:r>
      <w:r w:rsidR="00660A9E" w:rsidRPr="00541F35">
        <w:rPr>
          <w:lang w:eastAsia="zh-CN"/>
        </w:rPr>
        <w:t xml:space="preserve"> </w:t>
      </w:r>
      <w:r w:rsidR="00660A9E" w:rsidRPr="00541F35">
        <w:rPr>
          <w:rFonts w:hint="eastAsia"/>
          <w:lang w:eastAsia="zh-CN"/>
        </w:rPr>
        <w:t>can</w:t>
      </w:r>
      <w:r w:rsidR="00660A9E" w:rsidRPr="00541F35">
        <w:rPr>
          <w:lang w:eastAsia="zh-CN"/>
        </w:rPr>
        <w:t xml:space="preserve"> </w:t>
      </w:r>
      <w:r w:rsidR="00660A9E">
        <w:rPr>
          <w:rFonts w:hint="eastAsia"/>
          <w:lang w:eastAsia="zh-CN"/>
        </w:rPr>
        <w:t>be</w:t>
      </w:r>
      <w:r w:rsidR="00660A9E" w:rsidRPr="00541F35">
        <w:t xml:space="preserve"> </w:t>
      </w:r>
      <w:r w:rsidR="00C62EAB" w:rsidRPr="00541F35">
        <w:t>reduced</w:t>
      </w:r>
      <w:r w:rsidR="00660A9E" w:rsidRPr="00541F35">
        <w:t xml:space="preserve"> in some cases</w:t>
      </w:r>
      <w:r w:rsidR="00541F35" w:rsidRPr="00541F35">
        <w:t>. For example,</w:t>
      </w:r>
      <w:r w:rsidR="00016A70">
        <w:t xml:space="preserve"> one of</w:t>
      </w:r>
      <w:r w:rsidR="00541F35" w:rsidRPr="00541F35">
        <w:t xml:space="preserve"> </w:t>
      </w:r>
      <w:r w:rsidR="00660A9E" w:rsidRPr="00541F35">
        <w:t xml:space="preserve">the </w:t>
      </w:r>
      <w:r w:rsidR="00C62EAB" w:rsidRPr="00541F35">
        <w:t>candidate</w:t>
      </w:r>
      <w:r w:rsidR="00660A9E" w:rsidRPr="00541F35">
        <w:t xml:space="preserve"> </w:t>
      </w:r>
      <w:proofErr w:type="spellStart"/>
      <w:r w:rsidR="00660A9E" w:rsidRPr="00541F35">
        <w:t>gNB</w:t>
      </w:r>
      <w:proofErr w:type="spellEnd"/>
      <w:r w:rsidR="00660A9E" w:rsidRPr="00541F35">
        <w:t xml:space="preserve"> has </w:t>
      </w:r>
      <w:r w:rsidR="00016A70">
        <w:t xml:space="preserve">the </w:t>
      </w:r>
      <w:r w:rsidR="00660A9E" w:rsidRPr="00541F35">
        <w:t xml:space="preserve">most </w:t>
      </w:r>
      <w:r w:rsidR="00016A70">
        <w:t xml:space="preserve">number of </w:t>
      </w:r>
      <w:r w:rsidR="00C62EAB" w:rsidRPr="00541F35">
        <w:t>candidate</w:t>
      </w:r>
      <w:r w:rsidR="00660A9E" w:rsidRPr="00541F35">
        <w:t xml:space="preserve"> cells</w:t>
      </w:r>
      <w:r w:rsidR="00BF6B24">
        <w:t xml:space="preserve">, or the candidate gNBs </w:t>
      </w:r>
      <w:r w:rsidR="00DE78E5">
        <w:t>coming</w:t>
      </w:r>
      <w:r w:rsidR="00BF6B24">
        <w:t xml:space="preserve"> from a common vendor</w:t>
      </w:r>
      <w:r w:rsidR="00016A70">
        <w:t xml:space="preserve"> but</w:t>
      </w:r>
      <w:r w:rsidR="00804B70">
        <w:t xml:space="preserve"> different from the source gNB</w:t>
      </w:r>
      <w:r w:rsidR="00660A9E" w:rsidRPr="00541F35">
        <w:t>.</w:t>
      </w:r>
      <w:r w:rsidR="00541F35" w:rsidRPr="00541F35">
        <w:t xml:space="preserve"> </w:t>
      </w:r>
      <w:r w:rsidR="00016A70">
        <w:t>T</w:t>
      </w:r>
      <w:r w:rsidR="00541F35" w:rsidRPr="00541F35">
        <w:t xml:space="preserve">he commonalities of the cell configurations </w:t>
      </w:r>
      <w:r w:rsidR="00016A70">
        <w:t xml:space="preserve">for those candidate cells </w:t>
      </w:r>
      <w:r w:rsidR="00541F35" w:rsidRPr="00541F35">
        <w:t>are maximized</w:t>
      </w:r>
      <w:r w:rsidR="00BF6B24">
        <w:t xml:space="preserve"> in this </w:t>
      </w:r>
      <w:r w:rsidR="00DE78E5">
        <w:t xml:space="preserve">two </w:t>
      </w:r>
      <w:r w:rsidR="00BF6B24">
        <w:t>case</w:t>
      </w:r>
      <w:r w:rsidR="00DE78E5">
        <w:t>s</w:t>
      </w:r>
      <w:r w:rsidR="00541F35" w:rsidRPr="00541F35">
        <w:t xml:space="preserve">. And also, if </w:t>
      </w:r>
      <w:r w:rsidR="00541F35">
        <w:t>there is no candidate cell in the source gNB, it seems not reasonable for the source gNB to generate the reference configuration.</w:t>
      </w:r>
    </w:p>
    <w:p w14:paraId="4C3F1C95" w14:textId="05139500" w:rsidR="00541F35" w:rsidRDefault="009B2013" w:rsidP="005C0A63">
      <w:pPr>
        <w:rPr>
          <w:lang w:val="en-US"/>
        </w:rPr>
      </w:pPr>
      <w:r>
        <w:rPr>
          <w:rFonts w:hint="eastAsia"/>
        </w:rPr>
        <w:t>W</w:t>
      </w:r>
      <w:r>
        <w:t xml:space="preserve">hile, the </w:t>
      </w:r>
      <w:r w:rsidRPr="009B2013">
        <w:t>opponent</w:t>
      </w:r>
      <w:r w:rsidRPr="009B2013">
        <w:rPr>
          <w:rFonts w:hint="eastAsia"/>
        </w:rPr>
        <w:t>s</w:t>
      </w:r>
      <w:r w:rsidRPr="009B2013">
        <w:t xml:space="preserve"> </w:t>
      </w:r>
      <w:r>
        <w:rPr>
          <w:rFonts w:hint="eastAsia"/>
          <w:lang w:eastAsia="zh-CN"/>
        </w:rPr>
        <w:t>think</w:t>
      </w:r>
      <w:r>
        <w:rPr>
          <w:lang w:val="en-US"/>
        </w:rPr>
        <w:t xml:space="preserve"> that it will incur much more complexity and </w:t>
      </w:r>
      <w:r w:rsidR="00C62EAB">
        <w:rPr>
          <w:lang w:val="en-US"/>
        </w:rPr>
        <w:t>signaling</w:t>
      </w:r>
      <w:r>
        <w:rPr>
          <w:lang w:val="en-US"/>
        </w:rPr>
        <w:t xml:space="preserve"> overhead. And it may even don’t work in multi-vendor scenario. </w:t>
      </w:r>
    </w:p>
    <w:p w14:paraId="5EC8D5C0" w14:textId="2FEF3756" w:rsidR="00660A9E" w:rsidRDefault="002120E5" w:rsidP="005C0A63">
      <w:pPr>
        <w:rPr>
          <w:lang w:val="en-US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general, the </w:t>
      </w:r>
      <w:r>
        <w:rPr>
          <w:rFonts w:hint="eastAsia"/>
          <w:lang w:eastAsia="zh-CN"/>
        </w:rPr>
        <w:t>above</w:t>
      </w:r>
      <w:r>
        <w:rPr>
          <w:lang w:val="en-US"/>
        </w:rPr>
        <w:t xml:space="preserve"> reasons for opposition are not technically correct. First of all, allowing the source gNB to fetch a reference configuration will not bring any additional </w:t>
      </w:r>
      <w:r w:rsidR="00C62EAB">
        <w:rPr>
          <w:lang w:val="en-US"/>
        </w:rPr>
        <w:t>signaling</w:t>
      </w:r>
      <w:r>
        <w:rPr>
          <w:lang w:val="en-US"/>
        </w:rPr>
        <w:t xml:space="preserve"> overhead and complexity. As the source gNB may </w:t>
      </w:r>
      <w:r w:rsidR="00C62EAB">
        <w:rPr>
          <w:lang w:val="en-US"/>
        </w:rPr>
        <w:t>utilize</w:t>
      </w:r>
      <w:r>
        <w:rPr>
          <w:lang w:val="en-US"/>
        </w:rPr>
        <w:t xml:space="preserve"> the handover request procedure to fetch a reference configuration and send it to the candidate gNBs in the LTM </w:t>
      </w:r>
      <w:r w:rsidR="00C62EAB">
        <w:rPr>
          <w:lang w:val="en-US"/>
        </w:rPr>
        <w:t>configuration</w:t>
      </w:r>
      <w:r>
        <w:rPr>
          <w:lang w:val="en-US"/>
        </w:rPr>
        <w:t xml:space="preserve"> update request message to get the delta configuration. And one should know that the LTM configuration procedure is mandatory for subsequent LTM.</w:t>
      </w:r>
      <w:r w:rsidR="00FC6EF0">
        <w:rPr>
          <w:lang w:val="en-US"/>
        </w:rPr>
        <w:t xml:space="preserve"> According to the latest LTM BLCR for TS 38.423 in [1], the </w:t>
      </w:r>
      <w:r w:rsidR="00FC6EF0" w:rsidRPr="00FC6EF0">
        <w:rPr>
          <w:i/>
          <w:iCs/>
          <w:lang w:val="en-US"/>
        </w:rPr>
        <w:t xml:space="preserve">Reference Configuration </w:t>
      </w:r>
      <w:r w:rsidR="00FC6EF0" w:rsidRPr="00FC6EF0">
        <w:rPr>
          <w:lang w:val="en-US"/>
        </w:rPr>
        <w:t>IE</w:t>
      </w:r>
      <w:r w:rsidR="00FC6EF0">
        <w:rPr>
          <w:lang w:val="en-US"/>
        </w:rPr>
        <w:t xml:space="preserve"> is already included into the LTM configuration update procedure.</w:t>
      </w:r>
      <w:r w:rsidR="00DD542D">
        <w:rPr>
          <w:lang w:val="en-US"/>
        </w:rPr>
        <w:t xml:space="preserve"> </w:t>
      </w:r>
    </w:p>
    <w:p w14:paraId="072AB2D7" w14:textId="7CBC3223" w:rsidR="00DD542D" w:rsidRDefault="00DD542D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/>
        </w:rPr>
        <w:t xml:space="preserve">urthermore, allowing request of reference configuration from a candidate gNB does not mean that all candidate gNBs need to be queried. One query is sufficient usually in which case no extra </w:t>
      </w:r>
      <w:proofErr w:type="spellStart"/>
      <w:r>
        <w:rPr>
          <w:lang w:val="en-US"/>
        </w:rPr>
        <w:t>sinanaling</w:t>
      </w:r>
      <w:proofErr w:type="spellEnd"/>
      <w:r>
        <w:rPr>
          <w:lang w:val="en-US"/>
        </w:rPr>
        <w:t xml:space="preserve"> overhead is introduced.</w:t>
      </w:r>
    </w:p>
    <w:p w14:paraId="1A5B3A7C" w14:textId="6D365274" w:rsidR="002120E5" w:rsidRPr="002120E5" w:rsidRDefault="002120E5" w:rsidP="005C0A63">
      <w:pPr>
        <w:rPr>
          <w:lang w:val="en-US"/>
        </w:rPr>
      </w:pPr>
      <w:r>
        <w:rPr>
          <w:rFonts w:hint="eastAsia"/>
          <w:lang w:val="en-US"/>
        </w:rPr>
        <w:lastRenderedPageBreak/>
        <w:t>F</w:t>
      </w:r>
      <w:r>
        <w:rPr>
          <w:lang w:val="en-US"/>
        </w:rPr>
        <w:t xml:space="preserve">or the interoperability issue in multi-vendor scenario, fetching reference configuration from a candidate gNB does not worsen the interoperability issue if it indeed exists. Even the source gNB </w:t>
      </w:r>
      <w:r w:rsidR="00C62EAB">
        <w:rPr>
          <w:lang w:val="en-US"/>
        </w:rPr>
        <w:t>itself</w:t>
      </w:r>
      <w:r>
        <w:rPr>
          <w:lang w:val="en-US"/>
        </w:rPr>
        <w:t xml:space="preserve"> generating the reference configuration still may have the interoperability issue if the </w:t>
      </w:r>
      <w:r w:rsidR="00C62EAB">
        <w:rPr>
          <w:lang w:val="en-US"/>
        </w:rPr>
        <w:t>candidate</w:t>
      </w:r>
      <w:r>
        <w:rPr>
          <w:lang w:val="en-US"/>
        </w:rPr>
        <w:t xml:space="preserve"> gNB is from a different vendor.</w:t>
      </w:r>
    </w:p>
    <w:p w14:paraId="117A2EB4" w14:textId="7A64DC8E" w:rsidR="009B2013" w:rsidRDefault="002120E5" w:rsidP="005C0A63">
      <w:pPr>
        <w:rPr>
          <w:b/>
          <w:bCs/>
          <w:lang w:val="en-US"/>
        </w:rPr>
      </w:pPr>
      <w:r w:rsidRPr="00666B91">
        <w:rPr>
          <w:rFonts w:hint="eastAsia"/>
          <w:b/>
          <w:bCs/>
          <w:lang w:val="en-US" w:eastAsia="zh-CN"/>
        </w:rPr>
        <w:t>O</w:t>
      </w:r>
      <w:r w:rsidRPr="00666B91">
        <w:rPr>
          <w:b/>
          <w:bCs/>
          <w:lang w:val="en-US" w:eastAsia="zh-CN"/>
        </w:rPr>
        <w:t>bservation</w:t>
      </w:r>
      <w:r w:rsidR="00A02E8A">
        <w:rPr>
          <w:b/>
          <w:bCs/>
          <w:lang w:val="en-US" w:eastAsia="zh-CN"/>
        </w:rPr>
        <w:t xml:space="preserve"> 1</w:t>
      </w:r>
      <w:r w:rsidRPr="00666B91">
        <w:rPr>
          <w:b/>
          <w:bCs/>
          <w:lang w:val="en-US" w:eastAsia="zh-CN"/>
        </w:rPr>
        <w:t xml:space="preserve">: Allowing the source </w:t>
      </w:r>
      <w:proofErr w:type="spellStart"/>
      <w:r w:rsidRPr="00666B91">
        <w:rPr>
          <w:b/>
          <w:bCs/>
          <w:lang w:val="en-US" w:eastAsia="zh-CN"/>
        </w:rPr>
        <w:t>gNB</w:t>
      </w:r>
      <w:proofErr w:type="spellEnd"/>
      <w:r w:rsidRPr="00666B91">
        <w:rPr>
          <w:b/>
          <w:bCs/>
          <w:lang w:val="en-US" w:eastAsia="zh-CN"/>
        </w:rPr>
        <w:t xml:space="preserve"> to request a </w:t>
      </w:r>
      <w:r w:rsidR="00C62EAB" w:rsidRPr="00666B91">
        <w:rPr>
          <w:b/>
          <w:bCs/>
          <w:lang w:val="en-US" w:eastAsia="zh-CN"/>
        </w:rPr>
        <w:t>candidate</w:t>
      </w:r>
      <w:r w:rsidRPr="00666B91">
        <w:rPr>
          <w:b/>
          <w:bCs/>
          <w:lang w:val="en-US" w:eastAsia="zh-CN"/>
        </w:rPr>
        <w:t xml:space="preserve"> </w:t>
      </w:r>
      <w:proofErr w:type="spellStart"/>
      <w:r w:rsidRPr="00666B91">
        <w:rPr>
          <w:b/>
          <w:bCs/>
          <w:lang w:val="en-US" w:eastAsia="zh-CN"/>
        </w:rPr>
        <w:t>gNB</w:t>
      </w:r>
      <w:proofErr w:type="spellEnd"/>
      <w:r w:rsidRPr="00666B91">
        <w:rPr>
          <w:b/>
          <w:bCs/>
          <w:lang w:val="en-US" w:eastAsia="zh-CN"/>
        </w:rPr>
        <w:t xml:space="preserve"> to provide a reference configuration neither incurs </w:t>
      </w:r>
      <w:r w:rsidR="00666B91" w:rsidRPr="00666B91">
        <w:rPr>
          <w:b/>
          <w:bCs/>
          <w:lang w:val="en-US" w:eastAsia="zh-CN"/>
        </w:rPr>
        <w:t>extra</w:t>
      </w:r>
      <w:r w:rsidRPr="00666B91">
        <w:rPr>
          <w:b/>
          <w:bCs/>
          <w:lang w:val="en-US" w:eastAsia="zh-CN"/>
        </w:rPr>
        <w:t xml:space="preserve"> signaling overhead and complexity, nor </w:t>
      </w:r>
      <w:r w:rsidR="00C62EAB" w:rsidRPr="00666B91">
        <w:rPr>
          <w:b/>
          <w:bCs/>
          <w:lang w:val="en-US" w:eastAsia="zh-CN"/>
        </w:rPr>
        <w:t>worsens</w:t>
      </w:r>
      <w:r w:rsidRPr="00666B91">
        <w:rPr>
          <w:b/>
          <w:bCs/>
          <w:lang w:val="en-US" w:eastAsia="zh-CN"/>
        </w:rPr>
        <w:t xml:space="preserve"> the </w:t>
      </w:r>
      <w:proofErr w:type="spellStart"/>
      <w:r w:rsidRPr="00666B91">
        <w:rPr>
          <w:rFonts w:hint="eastAsia"/>
          <w:b/>
          <w:bCs/>
          <w:lang w:eastAsia="zh-CN"/>
        </w:rPr>
        <w:t>spe</w:t>
      </w:r>
      <w:r w:rsidRPr="00666B91">
        <w:rPr>
          <w:b/>
          <w:bCs/>
          <w:lang w:val="en-US"/>
        </w:rPr>
        <w:t>cious</w:t>
      </w:r>
      <w:proofErr w:type="spellEnd"/>
      <w:r w:rsidRPr="00666B91">
        <w:rPr>
          <w:b/>
          <w:bCs/>
          <w:lang w:val="en-US"/>
        </w:rPr>
        <w:t xml:space="preserve"> intero</w:t>
      </w:r>
      <w:r w:rsidR="00666B91" w:rsidRPr="00666B91">
        <w:rPr>
          <w:b/>
          <w:bCs/>
          <w:lang w:val="en-US"/>
        </w:rPr>
        <w:t>perability issue.</w:t>
      </w:r>
    </w:p>
    <w:p w14:paraId="75CBF43A" w14:textId="42911AB9" w:rsidR="001943A9" w:rsidRDefault="009F7D22" w:rsidP="009F7D22">
      <w:r>
        <w:rPr>
          <w:rFonts w:hint="eastAsia"/>
          <w:lang w:val="en-US"/>
        </w:rPr>
        <w:t>O</w:t>
      </w:r>
      <w:r>
        <w:rPr>
          <w:lang w:val="en-US"/>
        </w:rPr>
        <w:t xml:space="preserve">n the other hand, </w:t>
      </w:r>
      <w:r>
        <w:t xml:space="preserve">as captured in TS 38.331, it can be learned that when the </w:t>
      </w:r>
      <w:r w:rsidRPr="009F7D22">
        <w:t xml:space="preserve">LTM cell switch is triggered, the UE first and applies either the </w:t>
      </w:r>
      <w:proofErr w:type="spellStart"/>
      <w:r w:rsidRPr="009F7D22">
        <w:t>ltm-CandidateConfig</w:t>
      </w:r>
      <w:proofErr w:type="spellEnd"/>
      <w:r w:rsidRPr="009F7D22">
        <w:t xml:space="preserve"> (if the </w:t>
      </w:r>
      <w:proofErr w:type="spellStart"/>
      <w:r w:rsidRPr="009F7D22">
        <w:t>ltm-ConfigComplete</w:t>
      </w:r>
      <w:proofErr w:type="spellEnd"/>
      <w:r w:rsidRPr="009F7D22">
        <w:t xml:space="preserve"> is included in the </w:t>
      </w:r>
      <w:proofErr w:type="spellStart"/>
      <w:r w:rsidRPr="009F7D22">
        <w:t>ltm</w:t>
      </w:r>
      <w:proofErr w:type="spellEnd"/>
      <w:r w:rsidRPr="009F7D22">
        <w:t xml:space="preserve">-Candidate) or the </w:t>
      </w:r>
      <w:proofErr w:type="spellStart"/>
      <w:r w:rsidRPr="009F7D22">
        <w:t>ltm-CandidateConfig</w:t>
      </w:r>
      <w:proofErr w:type="spellEnd"/>
      <w:r w:rsidRPr="009F7D22">
        <w:t xml:space="preserve"> on top of the </w:t>
      </w:r>
      <w:proofErr w:type="spellStart"/>
      <w:r w:rsidRPr="009F7D22">
        <w:t>ltm-ReferenceConfiguration</w:t>
      </w:r>
      <w:proofErr w:type="spellEnd"/>
      <w:r w:rsidRPr="009F7D22">
        <w:t>.</w:t>
      </w:r>
      <w:r>
        <w:t xml:space="preserve"> </w:t>
      </w:r>
      <w:r w:rsidR="001943A9" w:rsidRPr="001943A9">
        <w:t xml:space="preserve">This is actually similar to the actions of when full configuration is performed. Therefore, there may not be much difference if the reference configuration comes from </w:t>
      </w:r>
      <w:r w:rsidR="001943A9">
        <w:t xml:space="preserve">the current serving cell or </w:t>
      </w:r>
      <w:r w:rsidR="001943A9" w:rsidRPr="001943A9">
        <w:t>one of the candidate gNB(s) which is likely to become a (temporary) serving gNB in the subsequent mobility.</w:t>
      </w:r>
      <w:r w:rsidR="001943A9">
        <w:t xml:space="preserve"> Not allowing the reference configuration to be acquired from the candidate gNBs only creates the inconsistency of the Inter-CU MCG LTM scenario and the other scenarios (i.e., Intra-CU LTM or Inter-CU SCG LTM).</w:t>
      </w:r>
    </w:p>
    <w:p w14:paraId="292D7F73" w14:textId="11CF74A8" w:rsidR="009F7D22" w:rsidRDefault="00B3416C" w:rsidP="00FB484C">
      <w:pPr>
        <w:jc w:val="center"/>
      </w:pPr>
      <w:r>
        <w:rPr>
          <w:noProof/>
          <w:lang w:val="en-US" w:eastAsia="zh-TW"/>
        </w:rPr>
        <w:drawing>
          <wp:inline distT="0" distB="0" distL="0" distR="0" wp14:anchorId="5EBB1B22" wp14:editId="5D8BB154">
            <wp:extent cx="4828490" cy="300659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ference configuration in S-CPAC and subsequent LTMv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306" cy="3007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357F3" w14:textId="2D616DDB" w:rsidR="001943A9" w:rsidRDefault="001943A9" w:rsidP="00FB484C">
      <w:pPr>
        <w:jc w:val="center"/>
      </w:pPr>
      <w:r>
        <w:t>Fig. Illustration of how delta configuration works in mobility</w:t>
      </w:r>
      <w:r w:rsidR="00ED6FA4">
        <w:t xml:space="preserve"> scenarios</w:t>
      </w:r>
    </w:p>
    <w:p w14:paraId="64573FAB" w14:textId="72400DA6" w:rsidR="00A02E8A" w:rsidRDefault="00A02E8A" w:rsidP="009F7D22">
      <w:pPr>
        <w:rPr>
          <w:b/>
          <w:bCs/>
          <w:lang w:val="en-US" w:eastAsia="zh-CN"/>
        </w:rPr>
      </w:pPr>
      <w:bookmarkStart w:id="6" w:name="OLE_LINK2"/>
    </w:p>
    <w:p w14:paraId="6BBDE73C" w14:textId="7B79FDA3" w:rsidR="00731E43" w:rsidRPr="003E517E" w:rsidRDefault="00731E43" w:rsidP="009F7D2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="00216E3F">
        <w:rPr>
          <w:b/>
          <w:bCs/>
          <w:lang w:val="en-US" w:eastAsia="zh-CN"/>
        </w:rPr>
        <w:t xml:space="preserve"> 2</w:t>
      </w:r>
      <w:r>
        <w:rPr>
          <w:b/>
          <w:bCs/>
          <w:lang w:val="en-US" w:eastAsia="zh-CN"/>
        </w:rPr>
        <w:t>: There is no clear benefit of mandating the reference configuration to be from the current serving cell configuration when subsequent mobility is allowed.</w:t>
      </w:r>
    </w:p>
    <w:bookmarkEnd w:id="6"/>
    <w:p w14:paraId="5CD8CE71" w14:textId="2EB088F8" w:rsidR="00962237" w:rsidRDefault="009F7D22" w:rsidP="005C0A63">
      <w:pPr>
        <w:rPr>
          <w:lang w:val="en-US"/>
        </w:rPr>
      </w:pPr>
      <w:r>
        <w:rPr>
          <w:lang w:val="en-US"/>
        </w:rPr>
        <w:t>In the end, a</w:t>
      </w:r>
      <w:r w:rsidR="00666B91" w:rsidRPr="00666B91">
        <w:rPr>
          <w:lang w:val="en-US"/>
        </w:rPr>
        <w:t>pproach 3 allowing the candidate gNB</w:t>
      </w:r>
      <w:r w:rsidR="00F15B11">
        <w:rPr>
          <w:lang w:val="en-US"/>
        </w:rPr>
        <w:t>s</w:t>
      </w:r>
      <w:r w:rsidR="00666B91" w:rsidRPr="00666B91">
        <w:rPr>
          <w:lang w:val="en-US"/>
        </w:rPr>
        <w:t xml:space="preserve"> </w:t>
      </w:r>
      <w:r w:rsidR="00666B91">
        <w:rPr>
          <w:lang w:val="en-US"/>
        </w:rPr>
        <w:t xml:space="preserve">to </w:t>
      </w:r>
      <w:r w:rsidR="00666B91" w:rsidRPr="00666B91">
        <w:rPr>
          <w:lang w:val="en-US"/>
        </w:rPr>
        <w:t xml:space="preserve">produce the reference configuration </w:t>
      </w:r>
      <w:r w:rsidR="00666B91">
        <w:rPr>
          <w:lang w:val="en-US"/>
        </w:rPr>
        <w:t xml:space="preserve">autonomously </w:t>
      </w:r>
      <w:r w:rsidR="00666B91" w:rsidRPr="00666B91">
        <w:rPr>
          <w:lang w:val="en-US"/>
        </w:rPr>
        <w:t>seems violat</w:t>
      </w:r>
      <w:r w:rsidR="00F15B11">
        <w:rPr>
          <w:lang w:val="en-US"/>
        </w:rPr>
        <w:t>ing</w:t>
      </w:r>
      <w:r w:rsidR="00666B91" w:rsidRPr="00666B91">
        <w:rPr>
          <w:lang w:val="en-US"/>
        </w:rPr>
        <w:t xml:space="preserve"> the </w:t>
      </w:r>
      <w:r w:rsidR="00C62EAB" w:rsidRPr="00666B91">
        <w:rPr>
          <w:lang w:val="en-US"/>
        </w:rPr>
        <w:t>single</w:t>
      </w:r>
      <w:r w:rsidR="00666B91" w:rsidRPr="00666B91">
        <w:rPr>
          <w:lang w:val="en-US"/>
        </w:rPr>
        <w:t xml:space="preserve"> </w:t>
      </w:r>
      <w:r w:rsidR="00C62EAB" w:rsidRPr="00666B91">
        <w:rPr>
          <w:lang w:val="en-US"/>
        </w:rPr>
        <w:t>reference</w:t>
      </w:r>
      <w:r w:rsidR="00666B91" w:rsidRPr="00666B91">
        <w:rPr>
          <w:lang w:val="en-US"/>
        </w:rPr>
        <w:t xml:space="preserve"> configuration RAN2 agreement</w:t>
      </w:r>
      <w:r w:rsidR="00F15B11">
        <w:rPr>
          <w:lang w:val="en-US"/>
        </w:rPr>
        <w:t>, therefore should not be pursued.</w:t>
      </w:r>
    </w:p>
    <w:p w14:paraId="55EB11CF" w14:textId="77C567B3" w:rsidR="00D73CE8" w:rsidRPr="005C0A63" w:rsidRDefault="003F6DA9" w:rsidP="00A8592F">
      <w:pPr>
        <w:pStyle w:val="Proposal"/>
        <w:numPr>
          <w:ilvl w:val="0"/>
          <w:numId w:val="16"/>
        </w:numPr>
      </w:pPr>
      <w:bookmarkStart w:id="7" w:name="_Toc135998683"/>
      <w:bookmarkStart w:id="8" w:name="_Toc160525628"/>
      <w:bookmarkStart w:id="9" w:name="_Toc163051982"/>
      <w:bookmarkStart w:id="10" w:name="_Toc201135110"/>
      <w:r>
        <w:t xml:space="preserve">RAN3 to allow </w:t>
      </w:r>
      <w:r w:rsidRPr="006E1148">
        <w:rPr>
          <w:lang w:val="en-US" w:eastAsia="zh-CN"/>
        </w:rPr>
        <w:t xml:space="preserve">the source gNB to request a </w:t>
      </w:r>
      <w:r w:rsidR="00C62EAB" w:rsidRPr="006E1148">
        <w:rPr>
          <w:lang w:val="en-US" w:eastAsia="zh-CN"/>
        </w:rPr>
        <w:t>candidate</w:t>
      </w:r>
      <w:r w:rsidRPr="006E1148">
        <w:rPr>
          <w:lang w:val="en-US" w:eastAsia="zh-CN"/>
        </w:rPr>
        <w:t xml:space="preserve"> gNB to provide a reference configuration</w:t>
      </w:r>
      <w:r>
        <w:t xml:space="preserve"> in Rel-19</w:t>
      </w:r>
      <w:r w:rsidR="00C945DB" w:rsidRPr="00185A40">
        <w:t>.</w:t>
      </w:r>
      <w:bookmarkEnd w:id="7"/>
      <w:bookmarkEnd w:id="8"/>
      <w:bookmarkEnd w:id="9"/>
      <w:bookmarkEnd w:id="10"/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26C7474B" w:rsidR="00D61EF1" w:rsidRDefault="005C0A63" w:rsidP="005C0A63">
      <w:r>
        <w:t>This document proposes:</w:t>
      </w:r>
    </w:p>
    <w:p w14:paraId="67160981" w14:textId="434F32F3" w:rsidR="00186E29" w:rsidRDefault="00186E29" w:rsidP="00186E29">
      <w:pPr>
        <w:rPr>
          <w:b/>
          <w:bCs/>
          <w:lang w:val="en-US"/>
        </w:rPr>
      </w:pPr>
      <w:r w:rsidRPr="00666B91">
        <w:rPr>
          <w:rFonts w:hint="eastAsia"/>
          <w:b/>
          <w:bCs/>
          <w:lang w:val="en-US" w:eastAsia="zh-CN"/>
        </w:rPr>
        <w:t>O</w:t>
      </w:r>
      <w:r w:rsidRPr="00666B91">
        <w:rPr>
          <w:b/>
          <w:bCs/>
          <w:lang w:val="en-US" w:eastAsia="zh-CN"/>
        </w:rPr>
        <w:t>bservation</w:t>
      </w:r>
      <w:r w:rsidR="00804B70">
        <w:rPr>
          <w:b/>
          <w:bCs/>
          <w:lang w:val="en-US" w:eastAsia="zh-CN"/>
        </w:rPr>
        <w:t xml:space="preserve"> 1</w:t>
      </w:r>
      <w:r w:rsidRPr="00666B91">
        <w:rPr>
          <w:b/>
          <w:bCs/>
          <w:lang w:val="en-US" w:eastAsia="zh-CN"/>
        </w:rPr>
        <w:t xml:space="preserve">: Allowing the source </w:t>
      </w:r>
      <w:proofErr w:type="spellStart"/>
      <w:r w:rsidRPr="00666B91">
        <w:rPr>
          <w:b/>
          <w:bCs/>
          <w:lang w:val="en-US" w:eastAsia="zh-CN"/>
        </w:rPr>
        <w:t>gNB</w:t>
      </w:r>
      <w:proofErr w:type="spellEnd"/>
      <w:r w:rsidRPr="00666B91">
        <w:rPr>
          <w:b/>
          <w:bCs/>
          <w:lang w:val="en-US" w:eastAsia="zh-CN"/>
        </w:rPr>
        <w:t xml:space="preserve"> to request a </w:t>
      </w:r>
      <w:r w:rsidR="00C62EAB" w:rsidRPr="00666B91">
        <w:rPr>
          <w:b/>
          <w:bCs/>
          <w:lang w:val="en-US" w:eastAsia="zh-CN"/>
        </w:rPr>
        <w:t>candidate</w:t>
      </w:r>
      <w:r w:rsidRPr="00666B91">
        <w:rPr>
          <w:b/>
          <w:bCs/>
          <w:lang w:val="en-US" w:eastAsia="zh-CN"/>
        </w:rPr>
        <w:t xml:space="preserve"> </w:t>
      </w:r>
      <w:proofErr w:type="spellStart"/>
      <w:r w:rsidRPr="00666B91">
        <w:rPr>
          <w:b/>
          <w:bCs/>
          <w:lang w:val="en-US" w:eastAsia="zh-CN"/>
        </w:rPr>
        <w:t>gNB</w:t>
      </w:r>
      <w:proofErr w:type="spellEnd"/>
      <w:r w:rsidRPr="00666B91">
        <w:rPr>
          <w:b/>
          <w:bCs/>
          <w:lang w:val="en-US" w:eastAsia="zh-CN"/>
        </w:rPr>
        <w:t xml:space="preserve"> to provide a reference configuration neither incurs extra signaling overhead and complexity, nor </w:t>
      </w:r>
      <w:r w:rsidR="00C62EAB" w:rsidRPr="00666B91">
        <w:rPr>
          <w:b/>
          <w:bCs/>
          <w:lang w:val="en-US" w:eastAsia="zh-CN"/>
        </w:rPr>
        <w:t>worsens</w:t>
      </w:r>
      <w:r w:rsidRPr="00666B91">
        <w:rPr>
          <w:b/>
          <w:bCs/>
          <w:lang w:val="en-US" w:eastAsia="zh-CN"/>
        </w:rPr>
        <w:t xml:space="preserve"> the </w:t>
      </w:r>
      <w:proofErr w:type="spellStart"/>
      <w:r w:rsidRPr="00666B91">
        <w:rPr>
          <w:rFonts w:hint="eastAsia"/>
          <w:b/>
          <w:bCs/>
          <w:lang w:eastAsia="zh-CN"/>
        </w:rPr>
        <w:t>spe</w:t>
      </w:r>
      <w:r w:rsidRPr="00666B91">
        <w:rPr>
          <w:b/>
          <w:bCs/>
          <w:lang w:val="en-US"/>
        </w:rPr>
        <w:t>cious</w:t>
      </w:r>
      <w:proofErr w:type="spellEnd"/>
      <w:r w:rsidRPr="00666B91">
        <w:rPr>
          <w:b/>
          <w:bCs/>
          <w:lang w:val="en-US"/>
        </w:rPr>
        <w:t xml:space="preserve"> interoperability issue.</w:t>
      </w:r>
    </w:p>
    <w:p w14:paraId="49348A19" w14:textId="028B5A12" w:rsidR="003E517E" w:rsidRDefault="003E517E" w:rsidP="00186E29">
      <w:pPr>
        <w:rPr>
          <w:b/>
          <w:bCs/>
          <w:lang w:val="en-US"/>
        </w:rPr>
      </w:pPr>
      <w:r w:rsidRPr="003E517E">
        <w:rPr>
          <w:rFonts w:hint="eastAsia"/>
          <w:b/>
          <w:bCs/>
          <w:lang w:val="en-US" w:eastAsia="zh-CN"/>
        </w:rPr>
        <w:t>O</w:t>
      </w:r>
      <w:r w:rsidRPr="003E517E">
        <w:rPr>
          <w:b/>
          <w:bCs/>
          <w:lang w:val="en-US" w:eastAsia="zh-CN"/>
        </w:rPr>
        <w:t xml:space="preserve">bservation 2: As specified in RRC protocol, the reference configuration/delta </w:t>
      </w:r>
      <w:r w:rsidR="00016A70" w:rsidRPr="003E517E">
        <w:rPr>
          <w:b/>
          <w:bCs/>
          <w:lang w:val="en-US" w:eastAsia="zh-CN"/>
        </w:rPr>
        <w:t>configuration</w:t>
      </w:r>
      <w:r w:rsidRPr="003E517E">
        <w:rPr>
          <w:b/>
          <w:bCs/>
          <w:lang w:val="en-US" w:eastAsia="zh-CN"/>
        </w:rPr>
        <w:t xml:space="preserve"> </w:t>
      </w:r>
      <w:r w:rsidR="00016A70">
        <w:rPr>
          <w:b/>
          <w:bCs/>
          <w:lang w:val="en-US" w:eastAsia="zh-CN"/>
        </w:rPr>
        <w:t>mechanism</w:t>
      </w:r>
      <w:r w:rsidRPr="003E517E">
        <w:rPr>
          <w:b/>
          <w:bCs/>
          <w:lang w:val="en-US" w:eastAsia="zh-CN"/>
        </w:rPr>
        <w:t xml:space="preserve"> during LTM cell switch works similarly as the full configuration/delta configuration during legacy Xn handover.</w:t>
      </w:r>
      <w:r>
        <w:rPr>
          <w:b/>
          <w:bCs/>
          <w:lang w:val="en-US" w:eastAsia="zh-CN"/>
        </w:rPr>
        <w:t xml:space="preserve"> Which proves no reason to disallow the candidate gNB to provide a </w:t>
      </w:r>
      <w:r w:rsidR="00016A70">
        <w:rPr>
          <w:b/>
          <w:bCs/>
          <w:lang w:val="en-US" w:eastAsia="zh-CN"/>
        </w:rPr>
        <w:t>reference</w:t>
      </w:r>
      <w:r>
        <w:rPr>
          <w:b/>
          <w:bCs/>
          <w:lang w:val="en-US" w:eastAsia="zh-CN"/>
        </w:rPr>
        <w:t xml:space="preserve"> configuration</w:t>
      </w:r>
      <w:r w:rsidR="00D00A44" w:rsidRPr="00D00A44">
        <w:rPr>
          <w:b/>
          <w:bCs/>
          <w:lang w:val="en-US" w:eastAsia="zh-CN"/>
        </w:rPr>
        <w:t xml:space="preserve"> </w:t>
      </w:r>
      <w:r w:rsidR="00D00A44">
        <w:rPr>
          <w:b/>
          <w:bCs/>
          <w:lang w:val="en-US" w:eastAsia="zh-CN"/>
        </w:rPr>
        <w:t>in inter-CU LTM</w:t>
      </w:r>
      <w:r>
        <w:rPr>
          <w:b/>
          <w:bCs/>
          <w:lang w:val="en-US" w:eastAsia="zh-CN"/>
        </w:rPr>
        <w:t>.</w:t>
      </w:r>
    </w:p>
    <w:p w14:paraId="646B018F" w14:textId="1DEEF8DA" w:rsidR="005C0A63" w:rsidRDefault="00546D8E" w:rsidP="00596F01">
      <w:pPr>
        <w:pStyle w:val="TOC1"/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r w:rsidR="00186E29">
        <w:t xml:space="preserve">Proposal 1:RAN3 to allow </w:t>
      </w:r>
      <w:r w:rsidR="00186E29" w:rsidRPr="003D10DD">
        <w:rPr>
          <w:lang w:val="en-US" w:eastAsia="zh-CN"/>
        </w:rPr>
        <w:t>the source gNB to request a canddiate gNB to provide a reference configuration</w:t>
      </w:r>
      <w:r w:rsidR="00186E29">
        <w:t xml:space="preserve"> in Rel-19.</w:t>
      </w:r>
      <w:r>
        <w:rPr>
          <w:lang w:eastAsia="zh-CN"/>
        </w:rPr>
        <w:fldChar w:fldCharType="end"/>
      </w:r>
    </w:p>
    <w:p w14:paraId="73CD7DB6" w14:textId="5294C6D4" w:rsidR="00C353AB" w:rsidRPr="00C65CD6" w:rsidRDefault="00C353AB" w:rsidP="00C65CD6">
      <w:pPr>
        <w:rPr>
          <w:lang w:val="en-US"/>
        </w:rPr>
      </w:pPr>
      <w:r w:rsidRPr="00C65CD6">
        <w:rPr>
          <w:rFonts w:hint="eastAsia"/>
          <w:lang w:val="en-US"/>
        </w:rPr>
        <w:t>T</w:t>
      </w:r>
      <w:r w:rsidRPr="00C65CD6">
        <w:rPr>
          <w:lang w:val="en-US"/>
        </w:rPr>
        <w:t>he corresponding TPs are provided in the [1] and [2].</w:t>
      </w:r>
    </w:p>
    <w:p w14:paraId="57C83A3D" w14:textId="4B5DE872" w:rsidR="00477891" w:rsidRDefault="00596F01" w:rsidP="00596F01">
      <w:pPr>
        <w:pStyle w:val="1"/>
      </w:pPr>
      <w:r>
        <w:t>Reference</w:t>
      </w:r>
    </w:p>
    <w:p w14:paraId="41E900DB" w14:textId="293E1E97" w:rsidR="00C353AB" w:rsidRPr="00C65CD6" w:rsidRDefault="00C353AB" w:rsidP="00C65CD6">
      <w:pPr>
        <w:rPr>
          <w:lang w:val="en-US"/>
        </w:rPr>
      </w:pPr>
      <w:r w:rsidRPr="00C65CD6">
        <w:rPr>
          <w:lang w:val="en-US"/>
        </w:rPr>
        <w:t>[1] R3-255626</w:t>
      </w:r>
      <w:r w:rsidRPr="00C65CD6">
        <w:rPr>
          <w:lang w:val="en-US"/>
        </w:rPr>
        <w:tab/>
        <w:t>(TP for LTM BLCR for TS38.423): Reference configuration in inter-CU LTM</w:t>
      </w:r>
    </w:p>
    <w:p w14:paraId="6CAB299D" w14:textId="4030746B" w:rsidR="00596F01" w:rsidRPr="00C65CD6" w:rsidRDefault="00C353AB" w:rsidP="00C65CD6">
      <w:pPr>
        <w:rPr>
          <w:lang w:val="en-US"/>
        </w:rPr>
      </w:pPr>
      <w:r w:rsidRPr="00C65CD6">
        <w:rPr>
          <w:lang w:val="en-US"/>
        </w:rPr>
        <w:t>[2] R3-255627</w:t>
      </w:r>
      <w:r w:rsidRPr="00C65CD6">
        <w:rPr>
          <w:lang w:val="en-US"/>
        </w:rPr>
        <w:tab/>
        <w:t>(TP for LTM BLCR for TS38.473): Reference configuration in inter-CU LTM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03CCA" w14:textId="77777777" w:rsidR="00FE1431" w:rsidRDefault="00FE1431">
      <w:r>
        <w:separator/>
      </w:r>
    </w:p>
  </w:endnote>
  <w:endnote w:type="continuationSeparator" w:id="0">
    <w:p w14:paraId="0D1858EF" w14:textId="77777777" w:rsidR="00FE1431" w:rsidRDefault="00FE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2E72A" w14:textId="77777777" w:rsidR="00FE1431" w:rsidRDefault="00FE1431">
      <w:r>
        <w:separator/>
      </w:r>
    </w:p>
  </w:footnote>
  <w:footnote w:type="continuationSeparator" w:id="0">
    <w:p w14:paraId="25034E22" w14:textId="77777777" w:rsidR="00FE1431" w:rsidRDefault="00FE1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5873D4B"/>
    <w:multiLevelType w:val="hybridMultilevel"/>
    <w:tmpl w:val="5FF0F7C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16A70"/>
    <w:rsid w:val="000207FE"/>
    <w:rsid w:val="00020D4D"/>
    <w:rsid w:val="00022E4A"/>
    <w:rsid w:val="00024C18"/>
    <w:rsid w:val="000472E8"/>
    <w:rsid w:val="00051FFB"/>
    <w:rsid w:val="000551A8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0F7899"/>
    <w:rsid w:val="00112C4C"/>
    <w:rsid w:val="00145D43"/>
    <w:rsid w:val="001562B4"/>
    <w:rsid w:val="0016286B"/>
    <w:rsid w:val="001670C1"/>
    <w:rsid w:val="001763A1"/>
    <w:rsid w:val="00182E22"/>
    <w:rsid w:val="00186E29"/>
    <w:rsid w:val="00191183"/>
    <w:rsid w:val="00192C46"/>
    <w:rsid w:val="001943A9"/>
    <w:rsid w:val="001A7B60"/>
    <w:rsid w:val="001B6CDC"/>
    <w:rsid w:val="001B7A65"/>
    <w:rsid w:val="001D2CB8"/>
    <w:rsid w:val="001E41F3"/>
    <w:rsid w:val="001E48D4"/>
    <w:rsid w:val="002120E5"/>
    <w:rsid w:val="00216E3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3EF0"/>
    <w:rsid w:val="002A47EF"/>
    <w:rsid w:val="002B23F9"/>
    <w:rsid w:val="002B24C6"/>
    <w:rsid w:val="002B5741"/>
    <w:rsid w:val="002B5B7A"/>
    <w:rsid w:val="002C238A"/>
    <w:rsid w:val="002D0C2B"/>
    <w:rsid w:val="002E595A"/>
    <w:rsid w:val="00305409"/>
    <w:rsid w:val="00311A57"/>
    <w:rsid w:val="00317204"/>
    <w:rsid w:val="00322E15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25D7"/>
    <w:rsid w:val="003B4754"/>
    <w:rsid w:val="003B597F"/>
    <w:rsid w:val="003B749E"/>
    <w:rsid w:val="003B7609"/>
    <w:rsid w:val="003C12C0"/>
    <w:rsid w:val="003D15E8"/>
    <w:rsid w:val="003E17D8"/>
    <w:rsid w:val="003E1A36"/>
    <w:rsid w:val="003E517E"/>
    <w:rsid w:val="003E7DB4"/>
    <w:rsid w:val="003F54CE"/>
    <w:rsid w:val="003F6210"/>
    <w:rsid w:val="003F6DA9"/>
    <w:rsid w:val="00401CFB"/>
    <w:rsid w:val="0040623E"/>
    <w:rsid w:val="004165D0"/>
    <w:rsid w:val="004242F1"/>
    <w:rsid w:val="00424B4D"/>
    <w:rsid w:val="00445B18"/>
    <w:rsid w:val="00447131"/>
    <w:rsid w:val="00467657"/>
    <w:rsid w:val="00477480"/>
    <w:rsid w:val="00477891"/>
    <w:rsid w:val="004839DB"/>
    <w:rsid w:val="004865D4"/>
    <w:rsid w:val="004A1950"/>
    <w:rsid w:val="004A20E3"/>
    <w:rsid w:val="004A5243"/>
    <w:rsid w:val="004B75B7"/>
    <w:rsid w:val="004C1EEF"/>
    <w:rsid w:val="004F242B"/>
    <w:rsid w:val="00501900"/>
    <w:rsid w:val="005124D6"/>
    <w:rsid w:val="0051580D"/>
    <w:rsid w:val="00520062"/>
    <w:rsid w:val="00533072"/>
    <w:rsid w:val="00540E46"/>
    <w:rsid w:val="00541F35"/>
    <w:rsid w:val="00546D8E"/>
    <w:rsid w:val="00564BDC"/>
    <w:rsid w:val="00581960"/>
    <w:rsid w:val="005908FA"/>
    <w:rsid w:val="00592D74"/>
    <w:rsid w:val="00592FB9"/>
    <w:rsid w:val="00593A23"/>
    <w:rsid w:val="00596F01"/>
    <w:rsid w:val="005A0F34"/>
    <w:rsid w:val="005A69EE"/>
    <w:rsid w:val="005C0A63"/>
    <w:rsid w:val="005C4D70"/>
    <w:rsid w:val="005E2C44"/>
    <w:rsid w:val="005E3D2A"/>
    <w:rsid w:val="005E4D8A"/>
    <w:rsid w:val="005F2108"/>
    <w:rsid w:val="005F436C"/>
    <w:rsid w:val="0060388F"/>
    <w:rsid w:val="0060567A"/>
    <w:rsid w:val="006137D5"/>
    <w:rsid w:val="0061578A"/>
    <w:rsid w:val="00621188"/>
    <w:rsid w:val="00625052"/>
    <w:rsid w:val="006257ED"/>
    <w:rsid w:val="0062763C"/>
    <w:rsid w:val="006310E9"/>
    <w:rsid w:val="006370F5"/>
    <w:rsid w:val="00640E3E"/>
    <w:rsid w:val="00646C7D"/>
    <w:rsid w:val="00660A9E"/>
    <w:rsid w:val="00666B91"/>
    <w:rsid w:val="006760A7"/>
    <w:rsid w:val="006804C7"/>
    <w:rsid w:val="00682C84"/>
    <w:rsid w:val="006848B8"/>
    <w:rsid w:val="00695808"/>
    <w:rsid w:val="006A5614"/>
    <w:rsid w:val="006B46FB"/>
    <w:rsid w:val="006D56BC"/>
    <w:rsid w:val="006D728B"/>
    <w:rsid w:val="006E1148"/>
    <w:rsid w:val="006E21FB"/>
    <w:rsid w:val="006E3F4A"/>
    <w:rsid w:val="006E74F4"/>
    <w:rsid w:val="006F5D71"/>
    <w:rsid w:val="00710330"/>
    <w:rsid w:val="0071052A"/>
    <w:rsid w:val="00711130"/>
    <w:rsid w:val="00714D0D"/>
    <w:rsid w:val="0072058F"/>
    <w:rsid w:val="00731E43"/>
    <w:rsid w:val="007342B2"/>
    <w:rsid w:val="00742578"/>
    <w:rsid w:val="00765952"/>
    <w:rsid w:val="00766C72"/>
    <w:rsid w:val="00770711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4B70"/>
    <w:rsid w:val="00805D95"/>
    <w:rsid w:val="00814F59"/>
    <w:rsid w:val="008227DB"/>
    <w:rsid w:val="008279FA"/>
    <w:rsid w:val="008313F3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62237"/>
    <w:rsid w:val="00972525"/>
    <w:rsid w:val="00973506"/>
    <w:rsid w:val="009777D9"/>
    <w:rsid w:val="009824D9"/>
    <w:rsid w:val="009854A4"/>
    <w:rsid w:val="00991B88"/>
    <w:rsid w:val="00995252"/>
    <w:rsid w:val="00996397"/>
    <w:rsid w:val="009A1081"/>
    <w:rsid w:val="009A579D"/>
    <w:rsid w:val="009B2013"/>
    <w:rsid w:val="009B73B7"/>
    <w:rsid w:val="009C166E"/>
    <w:rsid w:val="009E0762"/>
    <w:rsid w:val="009E3297"/>
    <w:rsid w:val="009E4A27"/>
    <w:rsid w:val="009F251D"/>
    <w:rsid w:val="009F734F"/>
    <w:rsid w:val="009F7D22"/>
    <w:rsid w:val="00A02E8A"/>
    <w:rsid w:val="00A04081"/>
    <w:rsid w:val="00A07158"/>
    <w:rsid w:val="00A134E6"/>
    <w:rsid w:val="00A20AB3"/>
    <w:rsid w:val="00A21256"/>
    <w:rsid w:val="00A246B6"/>
    <w:rsid w:val="00A3732B"/>
    <w:rsid w:val="00A45189"/>
    <w:rsid w:val="00A47E70"/>
    <w:rsid w:val="00A53AEF"/>
    <w:rsid w:val="00A7671C"/>
    <w:rsid w:val="00A957CD"/>
    <w:rsid w:val="00AB00C3"/>
    <w:rsid w:val="00AB1244"/>
    <w:rsid w:val="00AB533B"/>
    <w:rsid w:val="00AB5389"/>
    <w:rsid w:val="00AB5661"/>
    <w:rsid w:val="00AB7D1C"/>
    <w:rsid w:val="00AC13F3"/>
    <w:rsid w:val="00AD1CD8"/>
    <w:rsid w:val="00AE5A38"/>
    <w:rsid w:val="00AE6E2C"/>
    <w:rsid w:val="00AF43A8"/>
    <w:rsid w:val="00B0502B"/>
    <w:rsid w:val="00B24807"/>
    <w:rsid w:val="00B258BB"/>
    <w:rsid w:val="00B3416C"/>
    <w:rsid w:val="00B43575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6B24"/>
    <w:rsid w:val="00C12DBC"/>
    <w:rsid w:val="00C31B69"/>
    <w:rsid w:val="00C353AB"/>
    <w:rsid w:val="00C51E6C"/>
    <w:rsid w:val="00C5481B"/>
    <w:rsid w:val="00C573F0"/>
    <w:rsid w:val="00C62EAB"/>
    <w:rsid w:val="00C65CD6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0A44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3CE8"/>
    <w:rsid w:val="00D95B9C"/>
    <w:rsid w:val="00D96016"/>
    <w:rsid w:val="00DB66FE"/>
    <w:rsid w:val="00DD542D"/>
    <w:rsid w:val="00DD5724"/>
    <w:rsid w:val="00DE34CF"/>
    <w:rsid w:val="00DE6E1D"/>
    <w:rsid w:val="00DE78E5"/>
    <w:rsid w:val="00E02866"/>
    <w:rsid w:val="00E15BA1"/>
    <w:rsid w:val="00E27E18"/>
    <w:rsid w:val="00E64117"/>
    <w:rsid w:val="00E7151F"/>
    <w:rsid w:val="00E7392D"/>
    <w:rsid w:val="00E9743C"/>
    <w:rsid w:val="00EA32CF"/>
    <w:rsid w:val="00EB2397"/>
    <w:rsid w:val="00EB3F46"/>
    <w:rsid w:val="00ED6FA4"/>
    <w:rsid w:val="00EE0733"/>
    <w:rsid w:val="00EE7D7C"/>
    <w:rsid w:val="00EF246E"/>
    <w:rsid w:val="00EF376B"/>
    <w:rsid w:val="00EF3A19"/>
    <w:rsid w:val="00EF4143"/>
    <w:rsid w:val="00F03AED"/>
    <w:rsid w:val="00F03C76"/>
    <w:rsid w:val="00F10B0F"/>
    <w:rsid w:val="00F11694"/>
    <w:rsid w:val="00F14C46"/>
    <w:rsid w:val="00F15B11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484C"/>
    <w:rsid w:val="00FB6386"/>
    <w:rsid w:val="00FB7DE3"/>
    <w:rsid w:val="00FC6EF0"/>
    <w:rsid w:val="00FE006E"/>
    <w:rsid w:val="00FE1431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"/>
    <w:basedOn w:val="a"/>
    <w:link w:val="afb"/>
    <w:uiPriority w:val="34"/>
    <w:qFormat/>
    <w:rsid w:val="006E3F4A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customStyle="1" w:styleId="afb">
    <w:name w:val="列表段落 字符"/>
    <w:aliases w:val="- Bullets 字符,목록 단락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fa"/>
    <w:uiPriority w:val="34"/>
    <w:qFormat/>
    <w:rsid w:val="006E3F4A"/>
    <w:rPr>
      <w:rFonts w:ascii="Times New Roman" w:eastAsia="MS Mincho" w:hAnsi="Times New Roman"/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B6440-667C-4A2C-9EC8-50880BFC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17</cp:revision>
  <cp:lastPrinted>1899-12-31T23:00:00Z</cp:lastPrinted>
  <dcterms:created xsi:type="dcterms:W3CDTF">2025-07-25T00:30:00Z</dcterms:created>
  <dcterms:modified xsi:type="dcterms:W3CDTF">2025-08-15T04:07:00Z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