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E39778D"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3A7684" w:rsidRPr="003A7684">
        <w:rPr>
          <w:rFonts w:cs="Arial"/>
          <w:bCs/>
          <w:noProof w:val="0"/>
          <w:sz w:val="24"/>
        </w:rPr>
        <w:t>R3-250752</w:t>
      </w:r>
    </w:p>
    <w:p w14:paraId="33EDC931" w14:textId="0A098102" w:rsidR="00EE0733" w:rsidRDefault="005908FA" w:rsidP="002A37C8">
      <w:pPr>
        <w:pStyle w:val="CRCoverPage"/>
        <w:rPr>
          <w:b/>
          <w:noProof/>
          <w:sz w:val="24"/>
        </w:rPr>
      </w:pPr>
      <w:bookmarkStart w:id="2" w:name="_Hlk19781143"/>
      <w:r w:rsidRPr="005908FA">
        <w:rPr>
          <w:b/>
          <w:noProof/>
          <w:sz w:val="24"/>
        </w:rPr>
        <w:t>Athens, GR, 17-21 Feb, 2025</w:t>
      </w:r>
    </w:p>
    <w:p w14:paraId="444C2E19" w14:textId="77777777" w:rsidR="00EE0733" w:rsidRDefault="00EE0733" w:rsidP="00B70BDD">
      <w:pPr>
        <w:pStyle w:val="a4"/>
        <w:rPr>
          <w:rFonts w:cs="Arial"/>
          <w:bCs/>
          <w:noProof w:val="0"/>
          <w:sz w:val="24"/>
          <w:lang w:eastAsia="ja-JP"/>
        </w:rPr>
      </w:pPr>
      <w:bookmarkStart w:id="3" w:name="_GoBack"/>
      <w:bookmarkEnd w:id="0"/>
      <w:bookmarkEnd w:id="2"/>
      <w:bookmarkEnd w:id="3"/>
    </w:p>
    <w:p w14:paraId="399151FE" w14:textId="77777777" w:rsidR="00EE0733" w:rsidRDefault="00EE0733" w:rsidP="00B70BDD">
      <w:pPr>
        <w:pStyle w:val="a4"/>
        <w:rPr>
          <w:rFonts w:cs="Arial"/>
          <w:bCs/>
          <w:noProof w:val="0"/>
          <w:sz w:val="24"/>
          <w:lang w:eastAsia="ja-JP"/>
        </w:rPr>
      </w:pPr>
    </w:p>
    <w:p w14:paraId="19B9B8F7" w14:textId="6F14FEE2" w:rsidR="00C76DDA" w:rsidRPr="00B50379" w:rsidRDefault="00C76DDA" w:rsidP="00C76DDA">
      <w:pPr>
        <w:pStyle w:val="af8"/>
        <w:ind w:left="1985" w:hanging="1985"/>
        <w:rPr>
          <w:lang w:eastAsia="ja-JP"/>
        </w:rPr>
      </w:pPr>
      <w:r>
        <w:t>T</w:t>
      </w:r>
      <w:r w:rsidRPr="00B50379">
        <w:t>itle:</w:t>
      </w:r>
      <w:r w:rsidRPr="00B50379">
        <w:tab/>
      </w:r>
      <w:bookmarkStart w:id="4" w:name="OLE_LINK40"/>
      <w:r w:rsidR="007860D0">
        <w:t xml:space="preserve">Response to </w:t>
      </w:r>
      <w:r w:rsidR="007860D0">
        <w:rPr>
          <w:lang w:eastAsia="ja-JP"/>
        </w:rPr>
        <w:t>R3-250190</w:t>
      </w:r>
      <w:bookmarkEnd w:id="4"/>
    </w:p>
    <w:p w14:paraId="1703601B" w14:textId="4ADAB262" w:rsidR="005F436C" w:rsidRDefault="005F436C" w:rsidP="005F436C">
      <w:pPr>
        <w:pStyle w:val="af8"/>
        <w:rPr>
          <w:lang w:eastAsia="ja-JP"/>
        </w:rPr>
      </w:pPr>
      <w:r>
        <w:t>Agenda Item:</w:t>
      </w:r>
      <w:r>
        <w:tab/>
      </w:r>
      <w:r w:rsidR="007860D0">
        <w:rPr>
          <w:lang w:eastAsia="zh-CN"/>
        </w:rPr>
        <w:t>31.1</w:t>
      </w:r>
    </w:p>
    <w:p w14:paraId="778AB5AF" w14:textId="22F42BF2" w:rsidR="005F436C" w:rsidRDefault="005F436C" w:rsidP="005F436C">
      <w:pPr>
        <w:pStyle w:val="af8"/>
        <w:rPr>
          <w:lang w:eastAsia="ja-JP"/>
        </w:rPr>
      </w:pPr>
      <w:r>
        <w:t>Source:</w:t>
      </w:r>
      <w:r>
        <w:tab/>
      </w:r>
      <w:r w:rsidR="006137D5">
        <w:t>Huawei</w:t>
      </w:r>
    </w:p>
    <w:p w14:paraId="19F92F93" w14:textId="0DFA90AA" w:rsidR="005F436C" w:rsidRDefault="005F436C" w:rsidP="005F436C">
      <w:pPr>
        <w:pStyle w:val="af8"/>
        <w:rPr>
          <w:lang w:eastAsia="ja-JP"/>
        </w:rPr>
      </w:pPr>
      <w:r>
        <w:t>Document for:</w:t>
      </w:r>
      <w:r>
        <w:tab/>
      </w:r>
      <w:r w:rsidR="003A7684">
        <w:t>R</w:t>
      </w:r>
      <w:r w:rsidR="007860D0">
        <w:t>esponse</w:t>
      </w:r>
    </w:p>
    <w:p w14:paraId="07A2EC87" w14:textId="77777777" w:rsidR="00EE0733" w:rsidRDefault="00EE0733" w:rsidP="00EE0733">
      <w:pPr>
        <w:pStyle w:val="1"/>
        <w:rPr>
          <w:rFonts w:cs="Arial"/>
        </w:rPr>
      </w:pPr>
      <w:r>
        <w:rPr>
          <w:rFonts w:cs="Arial"/>
        </w:rPr>
        <w:t>1</w:t>
      </w:r>
      <w:r>
        <w:rPr>
          <w:rFonts w:cs="Arial"/>
        </w:rPr>
        <w:tab/>
        <w:t>Introduction</w:t>
      </w:r>
    </w:p>
    <w:p w14:paraId="3702CEA5" w14:textId="20341B29" w:rsidR="00773339" w:rsidRDefault="005F436C" w:rsidP="0033051A">
      <w:r>
        <w:t xml:space="preserve">This </w:t>
      </w:r>
      <w:r w:rsidR="007860D0">
        <w:t xml:space="preserve">is a response paper to </w:t>
      </w:r>
      <w:r w:rsidR="007860D0" w:rsidRPr="007860D0">
        <w:t>R3-250190</w:t>
      </w:r>
      <w:r w:rsidR="007860D0">
        <w:t xml:space="preserve">. This document does not challenge the proposals in the original paper but </w:t>
      </w:r>
      <w:r w:rsidR="006A0F06">
        <w:t>intends</w:t>
      </w:r>
      <w:r w:rsidR="007860D0">
        <w:t xml:space="preserve"> to further clarify potential scenarios and also discuss comments received offline. </w:t>
      </w:r>
      <w:bookmarkStart w:id="5" w:name="_Hlk48630882"/>
    </w:p>
    <w:bookmarkEnd w:id="5"/>
    <w:p w14:paraId="58FED0C3" w14:textId="52EB65C6" w:rsidR="005C0A63" w:rsidRDefault="005C0A63" w:rsidP="00EE0733">
      <w:pPr>
        <w:pStyle w:val="1"/>
      </w:pPr>
      <w:r>
        <w:t>2</w:t>
      </w:r>
      <w:r>
        <w:tab/>
        <w:t>Discussion</w:t>
      </w:r>
    </w:p>
    <w:p w14:paraId="08F492C9" w14:textId="29DA3A95" w:rsidR="00A168E2" w:rsidRDefault="00A168E2" w:rsidP="00A168E2">
      <w:r>
        <w:t>The sequence starts with an initiating node, currently serving a UE, receives information about a neighbour cells served by a candidate UE. As part of ANR, the UE will report all served PLMNs in the candidate node. In addition to this, the in</w:t>
      </w:r>
      <w:r w:rsidR="006A0F06">
        <w:t>iti</w:t>
      </w:r>
      <w:r>
        <w:t xml:space="preserve">ating node has all information for the specific UE, e.g. handover restriction list etc. The initiating node will therefore be able to determine which node it is reasonable to setup an X2 interface towards and which PLMN that would be possible to use. In the following discussion we use similar </w:t>
      </w:r>
      <w:r w:rsidR="006A0F06">
        <w:t>definitions</w:t>
      </w:r>
      <w:r>
        <w:t xml:space="preserve"> as in </w:t>
      </w:r>
      <w:r w:rsidRPr="007860D0">
        <w:t>R3-250190</w:t>
      </w:r>
      <w:r>
        <w:t>.</w:t>
      </w:r>
    </w:p>
    <w:p w14:paraId="76FA9471" w14:textId="1C60D27A" w:rsidR="00A168E2" w:rsidRPr="007860D0" w:rsidRDefault="00A168E2" w:rsidP="00A168E2">
      <w:r>
        <w:object w:dxaOrig="12409" w:dyaOrig="6853" w14:anchorId="0B677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274.5pt" o:ole="">
            <v:imagedata r:id="rId9" o:title=""/>
          </v:shape>
          <o:OLEObject Type="Embed" ProgID="Visio.Drawing.15" ShapeID="_x0000_i1025" DrawAspect="Content" ObjectID="_1800879974" r:id="rId10"/>
        </w:object>
      </w:r>
    </w:p>
    <w:p w14:paraId="773B7803" w14:textId="5149B44D" w:rsidR="000E16D9" w:rsidRDefault="007860D0" w:rsidP="007860D0">
      <w:pPr>
        <w:pStyle w:val="2"/>
      </w:pPr>
      <w:r>
        <w:t xml:space="preserve">2.1 </w:t>
      </w:r>
      <w:r>
        <w:tab/>
      </w:r>
      <w:r w:rsidR="000E16D9">
        <w:t>Re-use existing or define a new IE</w:t>
      </w:r>
    </w:p>
    <w:p w14:paraId="31828EDE" w14:textId="2B9CDC0A" w:rsidR="000E16D9" w:rsidRPr="000E16D9" w:rsidRDefault="000E16D9" w:rsidP="000E16D9">
      <w:r>
        <w:t xml:space="preserve">It </w:t>
      </w:r>
      <w:r w:rsidR="00A168E2">
        <w:t xml:space="preserve">may </w:t>
      </w:r>
      <w:r>
        <w:t>be possible to re-</w:t>
      </w:r>
      <w:r w:rsidR="006A0F06">
        <w:t>use</w:t>
      </w:r>
      <w:r>
        <w:t xml:space="preserve"> existing IEs. There are currently four IEs which includes the PLMN. But enabling the feature by re-using the existing IEs </w:t>
      </w:r>
      <w:r w:rsidR="00A168E2">
        <w:t>may</w:t>
      </w:r>
      <w:r>
        <w:t xml:space="preserve"> im</w:t>
      </w:r>
      <w:r w:rsidR="00A168E2">
        <w:t>p</w:t>
      </w:r>
      <w:r>
        <w:t xml:space="preserve">act already existing functionality and may lead to backward </w:t>
      </w:r>
      <w:r w:rsidR="006A0F06">
        <w:t>capability</w:t>
      </w:r>
      <w:r>
        <w:t xml:space="preserve"> issues. A new IE enables the possibility to use criticality (if desired) and also to define abnormal conditions (if needed). Hence</w:t>
      </w:r>
      <w:r w:rsidR="00A168E2">
        <w:t>,</w:t>
      </w:r>
      <w:r>
        <w:t xml:space="preserve"> we see benefits of defining a new IE.</w:t>
      </w:r>
      <w:r w:rsidR="00A168E2">
        <w:t xml:space="preserve"> This could also be useful in failure scenarios (see below).</w:t>
      </w:r>
    </w:p>
    <w:p w14:paraId="5697B3C3" w14:textId="0D182F9C" w:rsidR="007860D0" w:rsidRDefault="007860D0" w:rsidP="007860D0">
      <w:pPr>
        <w:pStyle w:val="2"/>
      </w:pPr>
      <w:r>
        <w:lastRenderedPageBreak/>
        <w:t>2.</w:t>
      </w:r>
      <w:r w:rsidR="005D3D62">
        <w:t>2</w:t>
      </w:r>
      <w:r>
        <w:tab/>
      </w:r>
      <w:r w:rsidR="00A168E2">
        <w:t>Non-o</w:t>
      </w:r>
      <w:r>
        <w:t>verlapping PLMNs</w:t>
      </w:r>
    </w:p>
    <w:p w14:paraId="1DCD13BA" w14:textId="2FAB6491" w:rsidR="007860D0" w:rsidRDefault="007860D0" w:rsidP="007860D0">
      <w:r>
        <w:t>In most cases (MOCN)</w:t>
      </w:r>
      <w:r w:rsidR="0033051A">
        <w:t xml:space="preserve">, the PLMN that is currently serving the UE will also be supported in a valid candidate cell. Hence it would not matter whether the PLMN we provide is the PLMN that is currently serving the UE, or the PLMN that will be serving the UE after </w:t>
      </w:r>
      <w:r w:rsidR="000E16D9">
        <w:t xml:space="preserve">the potential </w:t>
      </w:r>
      <w:r w:rsidR="0033051A">
        <w:t>mobility event.</w:t>
      </w:r>
      <w:r w:rsidR="00A168E2">
        <w:t xml:space="preserve"> It is however clear htat the PLMN IDs associated with the node ID cannot be used since there are rules </w:t>
      </w:r>
      <w:r w:rsidR="006A0F06">
        <w:t>on how</w:t>
      </w:r>
      <w:r w:rsidR="00A168E2">
        <w:t xml:space="preserve"> to assign them. </w:t>
      </w:r>
    </w:p>
    <w:p w14:paraId="035AB4B6" w14:textId="54878F5E" w:rsidR="000E16D9" w:rsidRDefault="0033051A" w:rsidP="007860D0">
      <w:r>
        <w:t>In some cases (GWCN</w:t>
      </w:r>
      <w:r w:rsidR="00BC4F4B">
        <w:t xml:space="preserve"> in LTE</w:t>
      </w:r>
      <w:r>
        <w:t xml:space="preserve">) however, we may have non-overlapping PLMNs configured in two nodes, but where inter-PLMN handovers are allowed between these two PLMN and hence an X2 may be beneficial. </w:t>
      </w:r>
      <w:r w:rsidR="000E16D9">
        <w:t xml:space="preserve">In this case, we would have to </w:t>
      </w:r>
      <w:r w:rsidR="00A168E2">
        <w:t>c</w:t>
      </w:r>
      <w:r w:rsidR="000E16D9">
        <w:t xml:space="preserve">hoose </w:t>
      </w:r>
      <w:r w:rsidR="00A168E2">
        <w:t xml:space="preserve">whether the IE indicating the PLMN refers to the </w:t>
      </w:r>
      <w:r w:rsidR="000E16D9">
        <w:t xml:space="preserve">PLMN used in the initiating node, or the PLMN to be used in the candidate node. </w:t>
      </w:r>
      <w:r w:rsidR="005D3D62">
        <w:t>See a detailed example in the annex below.</w:t>
      </w:r>
    </w:p>
    <w:p w14:paraId="38A5FC7F" w14:textId="627444E6" w:rsidR="0033051A" w:rsidRPr="007860D0" w:rsidRDefault="000E16D9" w:rsidP="007860D0">
      <w:r>
        <w:t xml:space="preserve">We believe </w:t>
      </w:r>
      <w:r w:rsidR="0033051A">
        <w:t>it would simplify for the configuration in case the PLMN that is</w:t>
      </w:r>
      <w:r w:rsidR="00A168E2">
        <w:t xml:space="preserve"> </w:t>
      </w:r>
      <w:r w:rsidR="0033051A">
        <w:t xml:space="preserve">used to indicate the TNL is indicated form the </w:t>
      </w:r>
      <w:r w:rsidR="006A0F06">
        <w:t>candidate’s</w:t>
      </w:r>
      <w:r w:rsidR="0033051A">
        <w:t xml:space="preserve"> point of view. Otherwise, the candidate would have to be configured for mapping from PLMN to TNL info not only for the PLMN supported by this node, but for all PLMNs that would potentially send the TNL request.</w:t>
      </w:r>
    </w:p>
    <w:p w14:paraId="036685AE" w14:textId="0814949D" w:rsidR="007860D0" w:rsidRDefault="007860D0" w:rsidP="007860D0">
      <w:pPr>
        <w:pStyle w:val="2"/>
      </w:pPr>
      <w:r>
        <w:t>2.</w:t>
      </w:r>
      <w:r w:rsidR="005D3D62">
        <w:t>3</w:t>
      </w:r>
      <w:r>
        <w:tab/>
      </w:r>
      <w:r w:rsidR="000E16D9">
        <w:t>Behaviour in failure cases</w:t>
      </w:r>
    </w:p>
    <w:p w14:paraId="73C9C207" w14:textId="56325318" w:rsidR="007860D0" w:rsidRDefault="000E16D9" w:rsidP="007860D0">
      <w:r>
        <w:t xml:space="preserve">One important discussion to have would be to </w:t>
      </w:r>
      <w:r w:rsidR="006A0F06">
        <w:t>discuss</w:t>
      </w:r>
      <w:r>
        <w:t xml:space="preserve"> the behaviour in case the candidate node is not able to provide a TNL matching the desired PLMN. What is the behaviour in this case?</w:t>
      </w:r>
    </w:p>
    <w:p w14:paraId="08295070" w14:textId="159418A6" w:rsidR="000E16D9" w:rsidRDefault="000E16D9" w:rsidP="007860D0">
      <w:r>
        <w:t xml:space="preserve">One solution would be to fail the procedure, but since the exchange </w:t>
      </w:r>
      <w:r w:rsidR="006A0F06">
        <w:t>consists</w:t>
      </w:r>
      <w:r>
        <w:t xml:space="preserve"> of four different class </w:t>
      </w:r>
      <w:r w:rsidR="00A168E2">
        <w:t>2 procedures, the specification of this failure reporting may be tricky.</w:t>
      </w:r>
    </w:p>
    <w:p w14:paraId="1E879717" w14:textId="7F02B156" w:rsidR="000E16D9" w:rsidRDefault="00A168E2" w:rsidP="007860D0">
      <w:r>
        <w:t xml:space="preserve">Another </w:t>
      </w:r>
      <w:r w:rsidR="000E16D9">
        <w:t xml:space="preserve">solution to this is to allow the procedure to continue but to </w:t>
      </w:r>
      <w:r>
        <w:t xml:space="preserve">also </w:t>
      </w:r>
      <w:r w:rsidR="000E16D9">
        <w:t xml:space="preserve">indicate </w:t>
      </w:r>
      <w:r>
        <w:t xml:space="preserve">to the initiating node </w:t>
      </w:r>
      <w:r w:rsidR="000E16D9">
        <w:t>which PLMN was used when selecting the TNL</w:t>
      </w:r>
      <w:r>
        <w:t xml:space="preserve"> in the candidate node</w:t>
      </w:r>
      <w:r w:rsidR="000E16D9">
        <w:t xml:space="preserve">. </w:t>
      </w:r>
      <w:r>
        <w:t xml:space="preserve">This would enable the initiating node to detect the mismatch and try a different approach (if possible).  </w:t>
      </w:r>
    </w:p>
    <w:p w14:paraId="3A8F3778" w14:textId="00B60D71" w:rsidR="00A168E2" w:rsidRDefault="00A168E2" w:rsidP="007860D0">
      <w:r>
        <w:t xml:space="preserve">If we use a new IE, the presence/absence of this indicator could also serve as information for the </w:t>
      </w:r>
      <w:r w:rsidR="006A0F06">
        <w:t>initiating</w:t>
      </w:r>
      <w:r>
        <w:t xml:space="preserve"> node to understand whether the candidate support the new TNL mapping functionality.</w:t>
      </w:r>
    </w:p>
    <w:p w14:paraId="4BA90BC8" w14:textId="1898D442" w:rsidR="00A168E2" w:rsidRDefault="00A168E2" w:rsidP="00A168E2">
      <w:pPr>
        <w:pStyle w:val="1"/>
      </w:pPr>
      <w:r>
        <w:t>3. Summary</w:t>
      </w:r>
    </w:p>
    <w:p w14:paraId="3A13BA06" w14:textId="55741CD2" w:rsidR="00A168E2" w:rsidRDefault="00A168E2" w:rsidP="00A168E2">
      <w:r>
        <w:t xml:space="preserve">We propose to discuss the </w:t>
      </w:r>
      <w:r w:rsidR="006A0F06">
        <w:t>problem</w:t>
      </w:r>
      <w:r w:rsidR="008A40A8">
        <w:t xml:space="preserve"> and solution in the </w:t>
      </w:r>
      <w:r>
        <w:t>following step</w:t>
      </w:r>
      <w:r w:rsidR="008A40A8">
        <w:t>s</w:t>
      </w:r>
      <w:r>
        <w:t>:</w:t>
      </w:r>
    </w:p>
    <w:p w14:paraId="3A3E414B" w14:textId="455B97A9" w:rsidR="00A168E2" w:rsidRDefault="00A168E2" w:rsidP="00A168E2">
      <w:pPr>
        <w:pStyle w:val="afc"/>
        <w:numPr>
          <w:ilvl w:val="0"/>
          <w:numId w:val="17"/>
        </w:numPr>
      </w:pPr>
      <w:r>
        <w:t xml:space="preserve">Confirm the scenario – is the </w:t>
      </w:r>
      <w:r w:rsidR="008A40A8">
        <w:t xml:space="preserve">support for this </w:t>
      </w:r>
      <w:r>
        <w:t>feature needed</w:t>
      </w:r>
      <w:r w:rsidR="008A40A8">
        <w:t xml:space="preserve"> in specifications</w:t>
      </w:r>
      <w:r>
        <w:t>?</w:t>
      </w:r>
    </w:p>
    <w:p w14:paraId="51A256D0" w14:textId="209CE670" w:rsidR="00A168E2" w:rsidRDefault="00A168E2" w:rsidP="00A168E2">
      <w:pPr>
        <w:pStyle w:val="afc"/>
        <w:numPr>
          <w:ilvl w:val="0"/>
          <w:numId w:val="17"/>
        </w:numPr>
      </w:pPr>
      <w:r>
        <w:t>Decide whether a new or a legacy IE should be used</w:t>
      </w:r>
    </w:p>
    <w:p w14:paraId="27DCC4D6" w14:textId="10EFACDE" w:rsidR="00A168E2" w:rsidRDefault="00A168E2" w:rsidP="00A168E2">
      <w:pPr>
        <w:pStyle w:val="afc"/>
        <w:numPr>
          <w:ilvl w:val="0"/>
          <w:numId w:val="17"/>
        </w:numPr>
      </w:pPr>
      <w:r>
        <w:t>In the initiating request message, decide whether to indicate the PLMN used in initiating node or in the candidate for selecting the TNL</w:t>
      </w:r>
    </w:p>
    <w:p w14:paraId="60CF7B34" w14:textId="45396ED8" w:rsidR="00A168E2" w:rsidRPr="00A168E2" w:rsidRDefault="00A168E2" w:rsidP="00A168E2">
      <w:pPr>
        <w:pStyle w:val="afc"/>
        <w:numPr>
          <w:ilvl w:val="0"/>
          <w:numId w:val="17"/>
        </w:numPr>
      </w:pPr>
      <w:r>
        <w:t xml:space="preserve">Decide on behaviour in failure scenarios </w:t>
      </w:r>
    </w:p>
    <w:p w14:paraId="508D4FC2" w14:textId="77777777" w:rsidR="00BC4F4B" w:rsidRDefault="00BC4F4B" w:rsidP="00BC4F4B">
      <w:pPr>
        <w:pStyle w:val="1"/>
      </w:pPr>
      <w:r>
        <w:rPr>
          <w:rFonts w:hint="eastAsia"/>
        </w:rPr>
        <w:t>A</w:t>
      </w:r>
      <w:r>
        <w:t>nnex- GWCN in LTE</w:t>
      </w:r>
    </w:p>
    <w:p w14:paraId="376F21FC" w14:textId="7D758243" w:rsidR="001E41F3" w:rsidRDefault="00BC4F4B" w:rsidP="0064267E">
      <w:pPr>
        <w:rPr>
          <w:lang w:eastAsia="zh-CN"/>
        </w:rPr>
      </w:pPr>
      <w:r>
        <w:rPr>
          <w:rFonts w:hint="eastAsia"/>
          <w:lang w:eastAsia="zh-CN"/>
        </w:rPr>
        <w:t>A</w:t>
      </w:r>
      <w:r>
        <w:rPr>
          <w:lang w:eastAsia="zh-CN"/>
        </w:rPr>
        <w:t xml:space="preserve"> typical scenario in GWCN which is supported in LTE is depicted in the following Figure.</w:t>
      </w:r>
    </w:p>
    <w:p w14:paraId="2336483B" w14:textId="73F2AB92" w:rsidR="00EF38E8" w:rsidRDefault="00910560" w:rsidP="00EF38E8">
      <w:pPr>
        <w:rPr>
          <w:lang w:eastAsia="zh-CN"/>
        </w:rPr>
      </w:pPr>
      <w:r>
        <w:rPr>
          <w:rFonts w:hint="eastAsia"/>
          <w:lang w:eastAsia="zh-CN"/>
        </w:rPr>
        <w:t>I</w:t>
      </w:r>
      <w:r>
        <w:rPr>
          <w:lang w:eastAsia="zh-CN"/>
        </w:rPr>
        <w:t>nitia</w:t>
      </w:r>
      <w:r w:rsidR="00EF38E8">
        <w:rPr>
          <w:lang w:eastAsia="zh-CN"/>
        </w:rPr>
        <w:t>t</w:t>
      </w:r>
      <w:r>
        <w:rPr>
          <w:lang w:eastAsia="zh-CN"/>
        </w:rPr>
        <w:t xml:space="preserve">ing eNB A’s primary PLMN is p1, and the network is shared to p3. </w:t>
      </w:r>
    </w:p>
    <w:p w14:paraId="0841774D" w14:textId="6BF5CB38" w:rsidR="00EF38E8" w:rsidRDefault="00EF38E8" w:rsidP="00EF38E8">
      <w:pPr>
        <w:rPr>
          <w:lang w:eastAsia="zh-CN"/>
        </w:rPr>
      </w:pPr>
      <w:r>
        <w:rPr>
          <w:lang w:eastAsia="zh-CN"/>
        </w:rPr>
        <w:t xml:space="preserve">Candidate eNB B’s primary PLMN is p2, and the network is shared to p4. </w:t>
      </w:r>
    </w:p>
    <w:p w14:paraId="4F8214C9" w14:textId="165293B7" w:rsidR="00EF38E8" w:rsidRDefault="00EF38E8" w:rsidP="00EF38E8">
      <w:pPr>
        <w:rPr>
          <w:lang w:eastAsia="zh-CN"/>
        </w:rPr>
      </w:pPr>
      <w:r>
        <w:rPr>
          <w:lang w:eastAsia="zh-CN"/>
        </w:rPr>
        <w:t>p3 and p4 have shared MME, called GWCN in LTE.</w:t>
      </w:r>
    </w:p>
    <w:p w14:paraId="54203A0B" w14:textId="451ED349" w:rsidR="00EF38E8" w:rsidRPr="008C2C73" w:rsidRDefault="00EF38E8" w:rsidP="00EF38E8">
      <w:pPr>
        <w:rPr>
          <w:lang w:val="en-US" w:eastAsia="zh-CN"/>
        </w:rPr>
      </w:pPr>
      <w:r>
        <w:rPr>
          <w:rFonts w:hint="eastAsia"/>
          <w:lang w:eastAsia="zh-CN"/>
        </w:rPr>
        <w:t>A</w:t>
      </w:r>
      <w:r>
        <w:rPr>
          <w:lang w:eastAsia="zh-CN"/>
        </w:rPr>
        <w:t xml:space="preserve"> UE in a cell of initiating eNB A </w:t>
      </w:r>
      <w:r w:rsidR="00912F7B">
        <w:rPr>
          <w:lang w:eastAsia="zh-CN"/>
        </w:rPr>
        <w:t xml:space="preserve">is serving by p3. And it </w:t>
      </w:r>
      <w:r>
        <w:rPr>
          <w:lang w:eastAsia="zh-CN"/>
        </w:rPr>
        <w:t xml:space="preserve">reports an unknown CGI with </w:t>
      </w:r>
      <w:r w:rsidR="00FC6B32">
        <w:rPr>
          <w:lang w:eastAsia="zh-CN"/>
        </w:rPr>
        <w:t xml:space="preserve">PLMN </w:t>
      </w:r>
      <w:r>
        <w:rPr>
          <w:lang w:eastAsia="zh-CN"/>
        </w:rPr>
        <w:t xml:space="preserve">p2 and p4 by ANR. The initiating eNB A triggers a X2 TNL </w:t>
      </w:r>
      <w:r w:rsidR="006A0F06">
        <w:rPr>
          <w:lang w:eastAsia="zh-CN"/>
        </w:rPr>
        <w:t>address</w:t>
      </w:r>
      <w:r>
        <w:rPr>
          <w:lang w:eastAsia="zh-CN"/>
        </w:rPr>
        <w:t xml:space="preserve"> discovery procedure towards the candidate eNB B to setup X2 and handover the UE to </w:t>
      </w:r>
      <w:r w:rsidR="00FC6B32">
        <w:rPr>
          <w:lang w:eastAsia="zh-CN"/>
        </w:rPr>
        <w:t xml:space="preserve">the </w:t>
      </w:r>
      <w:r>
        <w:rPr>
          <w:lang w:eastAsia="zh-CN"/>
        </w:rPr>
        <w:t xml:space="preserve">candidate eNB B.  As the </w:t>
      </w:r>
      <w:r>
        <w:rPr>
          <w:lang w:val="en-US" w:eastAsia="zh-CN"/>
        </w:rPr>
        <w:t xml:space="preserve">initiating </w:t>
      </w:r>
      <w:r>
        <w:rPr>
          <w:lang w:eastAsia="zh-CN"/>
        </w:rPr>
        <w:t>eNB A</w:t>
      </w:r>
      <w:r w:rsidRPr="00EF38E8">
        <w:rPr>
          <w:lang w:eastAsia="zh-CN"/>
        </w:rPr>
        <w:t xml:space="preserve"> determine</w:t>
      </w:r>
      <w:r>
        <w:rPr>
          <w:lang w:eastAsia="zh-CN"/>
        </w:rPr>
        <w:t>s</w:t>
      </w:r>
      <w:r w:rsidRPr="00EF38E8">
        <w:rPr>
          <w:lang w:eastAsia="zh-CN"/>
        </w:rPr>
        <w:t xml:space="preserve"> that p4 is the </w:t>
      </w:r>
      <w:r>
        <w:rPr>
          <w:lang w:eastAsia="zh-CN"/>
        </w:rPr>
        <w:t>E</w:t>
      </w:r>
      <w:r w:rsidRPr="00EF38E8">
        <w:rPr>
          <w:lang w:eastAsia="zh-CN"/>
        </w:rPr>
        <w:t xml:space="preserve">PLMN of p3 </w:t>
      </w:r>
      <w:r>
        <w:rPr>
          <w:lang w:eastAsia="zh-CN"/>
        </w:rPr>
        <w:t>based on</w:t>
      </w:r>
      <w:r w:rsidRPr="00EF38E8">
        <w:rPr>
          <w:lang w:eastAsia="zh-CN"/>
        </w:rPr>
        <w:t xml:space="preserve"> the UE handover restriction list.</w:t>
      </w:r>
    </w:p>
    <w:p w14:paraId="1F427AB2" w14:textId="0827146D" w:rsidR="0064267E" w:rsidRPr="0064267E" w:rsidRDefault="0064267E" w:rsidP="0064267E">
      <w:pPr>
        <w:rPr>
          <w:lang w:eastAsia="zh-CN"/>
        </w:rPr>
      </w:pPr>
      <w:r>
        <w:rPr>
          <w:lang w:eastAsia="zh-CN"/>
        </w:rPr>
        <w:t>p4 should be indicated to the candidate eNB B in the new IE.</w:t>
      </w:r>
      <w:r w:rsidR="00F36A7E">
        <w:rPr>
          <w:lang w:eastAsia="zh-CN"/>
        </w:rPr>
        <w:t xml:space="preserve"> Which means that the new IE is to indicate the PLMN used by the candidate eNB B.</w:t>
      </w:r>
    </w:p>
    <w:p w14:paraId="4D3AEE28" w14:textId="4D2C9BF3" w:rsidR="00BC4F4B" w:rsidRDefault="00910560" w:rsidP="0064267E">
      <w:pPr>
        <w:rPr>
          <w:lang w:eastAsia="zh-CN"/>
        </w:rPr>
      </w:pPr>
      <w:r>
        <w:rPr>
          <w:lang w:eastAsia="zh-CN"/>
        </w:rPr>
        <w:lastRenderedPageBreak/>
        <w:t xml:space="preserve"> </w:t>
      </w:r>
    </w:p>
    <w:p w14:paraId="7368EAE8" w14:textId="339689C2" w:rsidR="00BC4F4B" w:rsidRDefault="00BC4F4B" w:rsidP="00BC4F4B">
      <w:pPr>
        <w:pStyle w:val="Proposallist"/>
        <w:jc w:val="center"/>
      </w:pPr>
      <w:r>
        <w:rPr>
          <w:noProof/>
        </w:rPr>
        <w:drawing>
          <wp:inline distT="0" distB="0" distL="0" distR="0" wp14:anchorId="49929B70" wp14:editId="4BDFAC6D">
            <wp:extent cx="4019876" cy="2069365"/>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5063" cy="2138957"/>
                    </a:xfrm>
                    <a:prstGeom prst="rect">
                      <a:avLst/>
                    </a:prstGeom>
                  </pic:spPr>
                </pic:pic>
              </a:graphicData>
            </a:graphic>
          </wp:inline>
        </w:drawing>
      </w:r>
    </w:p>
    <w:p w14:paraId="312FA6FA" w14:textId="6FE1B9E4" w:rsidR="00BC4F4B" w:rsidRDefault="00BC4F4B" w:rsidP="00910560">
      <w:pPr>
        <w:pStyle w:val="Proposallist"/>
        <w:jc w:val="center"/>
        <w:rPr>
          <w:lang w:eastAsia="zh-CN"/>
        </w:rPr>
      </w:pPr>
      <w:r>
        <w:rPr>
          <w:rFonts w:hint="eastAsia"/>
          <w:lang w:eastAsia="zh-CN"/>
        </w:rPr>
        <w:t>F</w:t>
      </w:r>
      <w:r>
        <w:rPr>
          <w:lang w:eastAsia="zh-CN"/>
        </w:rPr>
        <w:t>igure : PLMN selection</w:t>
      </w:r>
      <w:r w:rsidR="00910560">
        <w:rPr>
          <w:lang w:eastAsia="zh-CN"/>
        </w:rPr>
        <w:t xml:space="preserve"> in X2 TNL address discovery</w:t>
      </w:r>
      <w:r>
        <w:rPr>
          <w:lang w:eastAsia="zh-CN"/>
        </w:rPr>
        <w:t xml:space="preserve"> in GWCN</w:t>
      </w:r>
    </w:p>
    <w:sectPr w:rsidR="00BC4F4B"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A0D1" w14:textId="77777777" w:rsidR="00CB4497" w:rsidRDefault="00CB4497">
      <w:r>
        <w:separator/>
      </w:r>
    </w:p>
  </w:endnote>
  <w:endnote w:type="continuationSeparator" w:id="0">
    <w:p w14:paraId="2D67FADA" w14:textId="77777777" w:rsidR="00CB4497" w:rsidRDefault="00CB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60EF0" w14:textId="77777777" w:rsidR="00CB4497" w:rsidRDefault="00CB4497">
      <w:r>
        <w:separator/>
      </w:r>
    </w:p>
  </w:footnote>
  <w:footnote w:type="continuationSeparator" w:id="0">
    <w:p w14:paraId="581D4166" w14:textId="77777777" w:rsidR="00CB4497" w:rsidRDefault="00CB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210863"/>
    <w:multiLevelType w:val="hybridMultilevel"/>
    <w:tmpl w:val="FD8C88F4"/>
    <w:lvl w:ilvl="0" w:tplc="69D48542">
      <w:start w:val="1"/>
      <w:numFmt w:val="bullet"/>
      <w:lvlText w:val="•"/>
      <w:lvlJc w:val="left"/>
      <w:pPr>
        <w:tabs>
          <w:tab w:val="num" w:pos="720"/>
        </w:tabs>
        <w:ind w:left="720" w:hanging="360"/>
      </w:pPr>
      <w:rPr>
        <w:rFonts w:ascii="Arial" w:hAnsi="Arial" w:hint="default"/>
      </w:rPr>
    </w:lvl>
    <w:lvl w:ilvl="1" w:tplc="D5546FC4" w:tentative="1">
      <w:start w:val="1"/>
      <w:numFmt w:val="bullet"/>
      <w:lvlText w:val="•"/>
      <w:lvlJc w:val="left"/>
      <w:pPr>
        <w:tabs>
          <w:tab w:val="num" w:pos="1440"/>
        </w:tabs>
        <w:ind w:left="1440" w:hanging="360"/>
      </w:pPr>
      <w:rPr>
        <w:rFonts w:ascii="Arial" w:hAnsi="Arial" w:hint="default"/>
      </w:rPr>
    </w:lvl>
    <w:lvl w:ilvl="2" w:tplc="3BCEC5B0" w:tentative="1">
      <w:start w:val="1"/>
      <w:numFmt w:val="bullet"/>
      <w:lvlText w:val="•"/>
      <w:lvlJc w:val="left"/>
      <w:pPr>
        <w:tabs>
          <w:tab w:val="num" w:pos="2160"/>
        </w:tabs>
        <w:ind w:left="2160" w:hanging="360"/>
      </w:pPr>
      <w:rPr>
        <w:rFonts w:ascii="Arial" w:hAnsi="Arial" w:hint="default"/>
      </w:rPr>
    </w:lvl>
    <w:lvl w:ilvl="3" w:tplc="6F9893C2" w:tentative="1">
      <w:start w:val="1"/>
      <w:numFmt w:val="bullet"/>
      <w:lvlText w:val="•"/>
      <w:lvlJc w:val="left"/>
      <w:pPr>
        <w:tabs>
          <w:tab w:val="num" w:pos="2880"/>
        </w:tabs>
        <w:ind w:left="2880" w:hanging="360"/>
      </w:pPr>
      <w:rPr>
        <w:rFonts w:ascii="Arial" w:hAnsi="Arial" w:hint="default"/>
      </w:rPr>
    </w:lvl>
    <w:lvl w:ilvl="4" w:tplc="EB34B4C0" w:tentative="1">
      <w:start w:val="1"/>
      <w:numFmt w:val="bullet"/>
      <w:lvlText w:val="•"/>
      <w:lvlJc w:val="left"/>
      <w:pPr>
        <w:tabs>
          <w:tab w:val="num" w:pos="3600"/>
        </w:tabs>
        <w:ind w:left="3600" w:hanging="360"/>
      </w:pPr>
      <w:rPr>
        <w:rFonts w:ascii="Arial" w:hAnsi="Arial" w:hint="default"/>
      </w:rPr>
    </w:lvl>
    <w:lvl w:ilvl="5" w:tplc="DF2EA7EC" w:tentative="1">
      <w:start w:val="1"/>
      <w:numFmt w:val="bullet"/>
      <w:lvlText w:val="•"/>
      <w:lvlJc w:val="left"/>
      <w:pPr>
        <w:tabs>
          <w:tab w:val="num" w:pos="4320"/>
        </w:tabs>
        <w:ind w:left="4320" w:hanging="360"/>
      </w:pPr>
      <w:rPr>
        <w:rFonts w:ascii="Arial" w:hAnsi="Arial" w:hint="default"/>
      </w:rPr>
    </w:lvl>
    <w:lvl w:ilvl="6" w:tplc="772A2216" w:tentative="1">
      <w:start w:val="1"/>
      <w:numFmt w:val="bullet"/>
      <w:lvlText w:val="•"/>
      <w:lvlJc w:val="left"/>
      <w:pPr>
        <w:tabs>
          <w:tab w:val="num" w:pos="5040"/>
        </w:tabs>
        <w:ind w:left="5040" w:hanging="360"/>
      </w:pPr>
      <w:rPr>
        <w:rFonts w:ascii="Arial" w:hAnsi="Arial" w:hint="default"/>
      </w:rPr>
    </w:lvl>
    <w:lvl w:ilvl="7" w:tplc="210059AA" w:tentative="1">
      <w:start w:val="1"/>
      <w:numFmt w:val="bullet"/>
      <w:lvlText w:val="•"/>
      <w:lvlJc w:val="left"/>
      <w:pPr>
        <w:tabs>
          <w:tab w:val="num" w:pos="5760"/>
        </w:tabs>
        <w:ind w:left="5760" w:hanging="360"/>
      </w:pPr>
      <w:rPr>
        <w:rFonts w:ascii="Arial" w:hAnsi="Arial" w:hint="default"/>
      </w:rPr>
    </w:lvl>
    <w:lvl w:ilvl="8" w:tplc="62306B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6EE29DC"/>
    <w:multiLevelType w:val="hybridMultilevel"/>
    <w:tmpl w:val="DA00D2BA"/>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E16D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3051A"/>
    <w:rsid w:val="0035319E"/>
    <w:rsid w:val="00353346"/>
    <w:rsid w:val="003739ED"/>
    <w:rsid w:val="00376EE0"/>
    <w:rsid w:val="00380607"/>
    <w:rsid w:val="00384AE4"/>
    <w:rsid w:val="00386D07"/>
    <w:rsid w:val="00390818"/>
    <w:rsid w:val="00392B19"/>
    <w:rsid w:val="00396631"/>
    <w:rsid w:val="003A4E1D"/>
    <w:rsid w:val="003A5266"/>
    <w:rsid w:val="003A7684"/>
    <w:rsid w:val="003B4754"/>
    <w:rsid w:val="003B597F"/>
    <w:rsid w:val="003B7609"/>
    <w:rsid w:val="003C12C0"/>
    <w:rsid w:val="003D15E8"/>
    <w:rsid w:val="003E1A36"/>
    <w:rsid w:val="003E7DB4"/>
    <w:rsid w:val="003F54CE"/>
    <w:rsid w:val="00401CFB"/>
    <w:rsid w:val="0040623E"/>
    <w:rsid w:val="004165D0"/>
    <w:rsid w:val="004242F1"/>
    <w:rsid w:val="00447131"/>
    <w:rsid w:val="00465A07"/>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D3D62"/>
    <w:rsid w:val="005E2C44"/>
    <w:rsid w:val="005E3D2A"/>
    <w:rsid w:val="005E4D8A"/>
    <w:rsid w:val="005F2108"/>
    <w:rsid w:val="005F436C"/>
    <w:rsid w:val="0060567A"/>
    <w:rsid w:val="006137D5"/>
    <w:rsid w:val="00621188"/>
    <w:rsid w:val="00625052"/>
    <w:rsid w:val="006257ED"/>
    <w:rsid w:val="0062763C"/>
    <w:rsid w:val="006310E9"/>
    <w:rsid w:val="006370F5"/>
    <w:rsid w:val="0064267E"/>
    <w:rsid w:val="00646C7D"/>
    <w:rsid w:val="006760A7"/>
    <w:rsid w:val="006804C7"/>
    <w:rsid w:val="006848B8"/>
    <w:rsid w:val="00695808"/>
    <w:rsid w:val="006A0F06"/>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860D0"/>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A40A8"/>
    <w:rsid w:val="008B1F20"/>
    <w:rsid w:val="008C4751"/>
    <w:rsid w:val="008F686C"/>
    <w:rsid w:val="009017EE"/>
    <w:rsid w:val="00910560"/>
    <w:rsid w:val="00912F7B"/>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168E2"/>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C4F4B"/>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50EA"/>
    <w:rsid w:val="00CA6304"/>
    <w:rsid w:val="00CB4497"/>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348B"/>
    <w:rsid w:val="00DD5724"/>
    <w:rsid w:val="00DE34CF"/>
    <w:rsid w:val="00DE6E1D"/>
    <w:rsid w:val="00E02866"/>
    <w:rsid w:val="00E02FEF"/>
    <w:rsid w:val="00E15BA1"/>
    <w:rsid w:val="00E27E18"/>
    <w:rsid w:val="00E64117"/>
    <w:rsid w:val="00E7392D"/>
    <w:rsid w:val="00E9743C"/>
    <w:rsid w:val="00EA32CF"/>
    <w:rsid w:val="00EB2397"/>
    <w:rsid w:val="00EB3F46"/>
    <w:rsid w:val="00EE0733"/>
    <w:rsid w:val="00EE7D7C"/>
    <w:rsid w:val="00EF376B"/>
    <w:rsid w:val="00EF38E8"/>
    <w:rsid w:val="00EF3A19"/>
    <w:rsid w:val="00F03AED"/>
    <w:rsid w:val="00F03C76"/>
    <w:rsid w:val="00F10B0F"/>
    <w:rsid w:val="00F11694"/>
    <w:rsid w:val="00F2517E"/>
    <w:rsid w:val="00F25D98"/>
    <w:rsid w:val="00F300FB"/>
    <w:rsid w:val="00F3190B"/>
    <w:rsid w:val="00F36A7E"/>
    <w:rsid w:val="00F61596"/>
    <w:rsid w:val="00F75006"/>
    <w:rsid w:val="00F77D84"/>
    <w:rsid w:val="00F9031B"/>
    <w:rsid w:val="00FA55A0"/>
    <w:rsid w:val="00FA6FED"/>
    <w:rsid w:val="00FB6386"/>
    <w:rsid w:val="00FB7DE3"/>
    <w:rsid w:val="00FC6B32"/>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20">
    <w:name w:val="标题 2 字符"/>
    <w:basedOn w:val="a0"/>
    <w:link w:val="2"/>
    <w:rsid w:val="00A168E2"/>
    <w:rPr>
      <w:rFonts w:ascii="Arial" w:hAnsi="Arial"/>
      <w:sz w:val="32"/>
      <w:lang w:eastAsia="en-US"/>
    </w:rPr>
  </w:style>
  <w:style w:type="paragraph" w:styleId="afc">
    <w:name w:val="List Paragraph"/>
    <w:basedOn w:val="a"/>
    <w:uiPriority w:val="34"/>
    <w:qFormat/>
    <w:rsid w:val="00A168E2"/>
    <w:pPr>
      <w:ind w:left="720"/>
      <w:contextualSpacing/>
    </w:pPr>
  </w:style>
  <w:style w:type="paragraph" w:styleId="afd">
    <w:name w:val="Normal (Web)"/>
    <w:basedOn w:val="a"/>
    <w:uiPriority w:val="99"/>
    <w:unhideWhenUsed/>
    <w:rsid w:val="00EF38E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300581">
      <w:bodyDiv w:val="1"/>
      <w:marLeft w:val="0"/>
      <w:marRight w:val="0"/>
      <w:marTop w:val="0"/>
      <w:marBottom w:val="0"/>
      <w:divBdr>
        <w:top w:val="none" w:sz="0" w:space="0" w:color="auto"/>
        <w:left w:val="none" w:sz="0" w:space="0" w:color="auto"/>
        <w:bottom w:val="none" w:sz="0" w:space="0" w:color="auto"/>
        <w:right w:val="none" w:sz="0" w:space="0" w:color="auto"/>
      </w:divBdr>
      <w:divsChild>
        <w:div w:id="318075900">
          <w:marLeft w:val="446"/>
          <w:marRight w:val="0"/>
          <w:marTop w:val="0"/>
          <w:marBottom w:val="120"/>
          <w:divBdr>
            <w:top w:val="none" w:sz="0" w:space="0" w:color="auto"/>
            <w:left w:val="none" w:sz="0" w:space="0" w:color="auto"/>
            <w:bottom w:val="none" w:sz="0" w:space="0" w:color="auto"/>
            <w:right w:val="none" w:sz="0" w:space="0" w:color="auto"/>
          </w:divBdr>
        </w:div>
        <w:div w:id="1230651701">
          <w:marLeft w:val="446"/>
          <w:marRight w:val="0"/>
          <w:marTop w:val="0"/>
          <w:marBottom w:val="120"/>
          <w:divBdr>
            <w:top w:val="none" w:sz="0" w:space="0" w:color="auto"/>
            <w:left w:val="none" w:sz="0" w:space="0" w:color="auto"/>
            <w:bottom w:val="none" w:sz="0" w:space="0" w:color="auto"/>
            <w:right w:val="none" w:sz="0" w:space="0" w:color="auto"/>
          </w:divBdr>
        </w:div>
        <w:div w:id="40248647">
          <w:marLeft w:val="446"/>
          <w:marRight w:val="0"/>
          <w:marTop w:val="0"/>
          <w:marBottom w:val="120"/>
          <w:divBdr>
            <w:top w:val="none" w:sz="0" w:space="0" w:color="auto"/>
            <w:left w:val="none" w:sz="0" w:space="0" w:color="auto"/>
            <w:bottom w:val="none" w:sz="0" w:space="0" w:color="auto"/>
            <w:right w:val="none" w:sz="0" w:space="0" w:color="auto"/>
          </w:divBdr>
        </w:div>
        <w:div w:id="1704208834">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FE9EC-AC0F-4864-9F53-273FF8CF4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2025-02-12T07:34:00Z</dcterms:created>
  <dcterms:modified xsi:type="dcterms:W3CDTF">2025-02-12T07:34:00Z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1738922369</vt:lpwstr>
  </property>
</Properties>
</file>