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035A91C0"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BD2D0A">
        <w:rPr>
          <w:rFonts w:cs="Arial"/>
          <w:noProof w:val="0"/>
          <w:sz w:val="24"/>
          <w:szCs w:val="24"/>
        </w:rPr>
        <w:t>7</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BD2D0A">
        <w:rPr>
          <w:rFonts w:cs="Arial"/>
          <w:bCs/>
          <w:noProof w:val="0"/>
          <w:sz w:val="24"/>
          <w:lang w:eastAsia="ja-JP"/>
        </w:rPr>
        <w:t>5</w:t>
      </w:r>
      <w:r w:rsidR="00E1158E">
        <w:rPr>
          <w:rFonts w:cs="Arial"/>
          <w:bCs/>
          <w:noProof w:val="0"/>
          <w:sz w:val="24"/>
          <w:lang w:eastAsia="ja-JP"/>
        </w:rPr>
        <w:t>0442</w:t>
      </w:r>
    </w:p>
    <w:p w14:paraId="3EA64900" w14:textId="74FFA592" w:rsidR="004F4425" w:rsidRDefault="00BD2D0A" w:rsidP="000D77DB">
      <w:pPr>
        <w:pStyle w:val="CRCoverPage"/>
        <w:rPr>
          <w:b/>
          <w:noProof/>
          <w:sz w:val="24"/>
        </w:rPr>
      </w:pPr>
      <w:r>
        <w:rPr>
          <w:b/>
          <w:noProof/>
          <w:sz w:val="24"/>
        </w:rPr>
        <w:t>Athens, Greece, 17</w:t>
      </w:r>
      <w:r w:rsidRPr="00BD2D0A">
        <w:rPr>
          <w:b/>
          <w:noProof/>
          <w:sz w:val="24"/>
          <w:vertAlign w:val="superscript"/>
        </w:rPr>
        <w:t>th</w:t>
      </w:r>
      <w:r>
        <w:rPr>
          <w:b/>
          <w:noProof/>
          <w:sz w:val="24"/>
        </w:rPr>
        <w:t xml:space="preserve"> – 21</w:t>
      </w:r>
      <w:r w:rsidRPr="00BD2D0A">
        <w:rPr>
          <w:b/>
          <w:noProof/>
          <w:sz w:val="24"/>
          <w:vertAlign w:val="superscript"/>
        </w:rPr>
        <w:t>st</w:t>
      </w:r>
      <w:r>
        <w:rPr>
          <w:b/>
          <w:noProof/>
          <w:sz w:val="24"/>
        </w:rPr>
        <w:t xml:space="preserve"> February 2025</w:t>
      </w:r>
    </w:p>
    <w:p w14:paraId="0C4B67AF" w14:textId="77777777" w:rsidR="00501135" w:rsidRDefault="00501135">
      <w:pPr>
        <w:pStyle w:val="Header"/>
        <w:rPr>
          <w:rFonts w:cs="Arial"/>
          <w:bCs/>
          <w:noProof w:val="0"/>
          <w:sz w:val="24"/>
          <w:lang w:val="en-GB" w:eastAsia="ja-JP"/>
        </w:rPr>
      </w:pPr>
    </w:p>
    <w:p w14:paraId="43D56084" w14:textId="34C59D9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A145C6">
        <w:rPr>
          <w:rFonts w:cs="Arial"/>
          <w:b/>
          <w:bCs/>
          <w:color w:val="000000"/>
          <w:sz w:val="24"/>
          <w:szCs w:val="24"/>
          <w:lang w:val="en-US"/>
        </w:rPr>
        <w:t>8.1</w:t>
      </w:r>
    </w:p>
    <w:p w14:paraId="6BE48DC7" w14:textId="5C647C0F"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21478C">
        <w:rPr>
          <w:rFonts w:cs="Arial"/>
          <w:b/>
          <w:bCs/>
          <w:sz w:val="24"/>
          <w:lang w:val="en-US"/>
        </w:rPr>
        <w:t>Ericsson</w:t>
      </w:r>
    </w:p>
    <w:p w14:paraId="3A2005BA" w14:textId="4D24E6CF"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A145C6">
        <w:rPr>
          <w:rFonts w:cs="Arial"/>
          <w:b/>
          <w:bCs/>
          <w:color w:val="000000"/>
          <w:sz w:val="24"/>
          <w:szCs w:val="24"/>
        </w:rPr>
        <w:t>On the LS from SA2 on Ambient IoT TR conclusion update</w:t>
      </w:r>
    </w:p>
    <w:p w14:paraId="798882EA" w14:textId="241EB1DE"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A145C6">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3AE6F229" w14:textId="77777777" w:rsidR="00A145C6" w:rsidRDefault="00A145C6" w:rsidP="00117327">
      <w:r>
        <w:t>RAN3 received an LS from SA2 in R3-250075(S2-2501343) informing that discussions in SA2 lead to an update of the content of TR 23.700-13 and that following question was raised within SA2:</w:t>
      </w:r>
    </w:p>
    <w:p w14:paraId="3F9A9068" w14:textId="77777777" w:rsidR="00A145C6" w:rsidRPr="00A145C6" w:rsidRDefault="00A145C6" w:rsidP="00A145C6">
      <w:pPr>
        <w:ind w:left="720"/>
        <w:rPr>
          <w:rFonts w:cs="Arial"/>
          <w:i/>
          <w:iCs/>
          <w:lang w:eastAsia="zh-CN"/>
        </w:rPr>
      </w:pPr>
      <w:r w:rsidRPr="00A145C6">
        <w:rPr>
          <w:rFonts w:cs="Arial"/>
          <w:i/>
          <w:iCs/>
          <w:lang w:eastAsia="zh-CN"/>
        </w:rPr>
        <w:t>[Question to RAN3]</w:t>
      </w:r>
    </w:p>
    <w:p w14:paraId="27A2C0D2" w14:textId="77777777" w:rsidR="00A145C6" w:rsidRPr="00A145C6" w:rsidRDefault="00A145C6" w:rsidP="00A145C6">
      <w:pPr>
        <w:ind w:left="720"/>
        <w:rPr>
          <w:rFonts w:cs="Arial"/>
          <w:i/>
          <w:iCs/>
          <w:lang w:eastAsia="zh-CN"/>
        </w:rPr>
      </w:pPr>
      <w:r w:rsidRPr="00A145C6">
        <w:rPr>
          <w:rFonts w:cs="Arial"/>
          <w:i/>
          <w:iCs/>
          <w:lang w:eastAsia="zh-CN"/>
        </w:rPr>
        <w:t xml:space="preserve">SA2 has concluded for topology 1, the AIOTF selects the AIOT RAN node(s) and optionally provides a list of the BS readers to AIOT RAN. SA2 assumes that OAM can configure the AIOTF with needed information for this selection. SA2 have further discussed whether the AIOT </w:t>
      </w:r>
      <w:r w:rsidRPr="00A145C6">
        <w:rPr>
          <w:rFonts w:cs="Arial" w:hint="eastAsia"/>
          <w:i/>
          <w:iCs/>
          <w:lang w:eastAsia="zh-CN"/>
        </w:rPr>
        <w:t>RA</w:t>
      </w:r>
      <w:r w:rsidRPr="00A145C6">
        <w:rPr>
          <w:rFonts w:cs="Arial"/>
          <w:i/>
          <w:iCs/>
          <w:lang w:eastAsia="zh-CN"/>
        </w:rPr>
        <w:t>N may provide the AIOT RAN information e.g., supported</w:t>
      </w:r>
      <w:r w:rsidRPr="00A145C6">
        <w:rPr>
          <w:rFonts w:cs="Arial"/>
          <w:i/>
          <w:iCs/>
        </w:rPr>
        <w:t xml:space="preserve"> AIOT RAN serving area,</w:t>
      </w:r>
      <w:r w:rsidRPr="00A145C6">
        <w:rPr>
          <w:rFonts w:cs="Arial"/>
          <w:i/>
          <w:iCs/>
          <w:lang w:eastAsia="zh-CN"/>
        </w:rPr>
        <w:t xml:space="preserve"> supported BS reader ID list and corresponding BS reader serving area to the core network.</w:t>
      </w:r>
    </w:p>
    <w:p w14:paraId="29CC065E" w14:textId="77777777" w:rsidR="00A145C6" w:rsidRPr="00A145C6" w:rsidRDefault="00A145C6" w:rsidP="00A145C6">
      <w:pPr>
        <w:ind w:left="720"/>
        <w:rPr>
          <w:rFonts w:cs="Arial"/>
          <w:i/>
          <w:iCs/>
          <w:lang w:eastAsia="zh-CN"/>
        </w:rPr>
      </w:pPr>
    </w:p>
    <w:p w14:paraId="131D01F8" w14:textId="77777777" w:rsidR="00A145C6" w:rsidRPr="00A145C6" w:rsidRDefault="00A145C6" w:rsidP="00A145C6">
      <w:pPr>
        <w:ind w:left="720"/>
        <w:rPr>
          <w:rFonts w:cs="Arial"/>
          <w:i/>
          <w:iCs/>
          <w:lang w:eastAsia="zh-CN"/>
        </w:rPr>
      </w:pPr>
      <w:r w:rsidRPr="00A145C6">
        <w:rPr>
          <w:rFonts w:cs="Arial"/>
          <w:i/>
          <w:iCs/>
          <w:lang w:eastAsia="zh-CN"/>
        </w:rPr>
        <w:t xml:space="preserve">SA2 kindly asks RAN3 to clarify whether RAN3 plan to support the above AIOT RAN information exchange with AIOTF. If so, SA2 kindly ask RAN3 to provide the definition of the appropriate parameters. </w:t>
      </w:r>
    </w:p>
    <w:p w14:paraId="76268A75" w14:textId="77777777" w:rsidR="00A145C6" w:rsidRDefault="00A145C6" w:rsidP="00117327"/>
    <w:p w14:paraId="4E0E6166" w14:textId="2B2CA93E" w:rsidR="00CD7395" w:rsidRPr="00117327" w:rsidRDefault="00A145C6" w:rsidP="00117327">
      <w:r>
        <w:t>This document discusses the question. A separate document provides a draft reply LS (R3-25</w:t>
      </w:r>
      <w:r w:rsidR="00E1158E">
        <w:t>0443</w:t>
      </w:r>
      <w:r>
        <w:t>).</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105E385" w14:textId="138CC3D0" w:rsidR="001C244F" w:rsidRDefault="007E6FF8" w:rsidP="00DB5364">
      <w:r>
        <w:t>RAN3 has concluded to incorporate protocol functions for A</w:t>
      </w:r>
      <w:r w:rsidR="00F2043B">
        <w:t>-</w:t>
      </w:r>
      <w:r>
        <w:t>IoT specific communication between the A</w:t>
      </w:r>
      <w:r w:rsidR="00F2043B">
        <w:t>-</w:t>
      </w:r>
      <w:r>
        <w:t>IoT RAN and the A</w:t>
      </w:r>
      <w:r w:rsidR="00F2043B">
        <w:t>-</w:t>
      </w:r>
      <w:r>
        <w:t>IoT CN within NGAP.</w:t>
      </w:r>
      <w:r w:rsidR="001C244F">
        <w:t xml:space="preserve"> </w:t>
      </w:r>
    </w:p>
    <w:p w14:paraId="67D6404D" w14:textId="03C40F54" w:rsidR="00DB5364" w:rsidRDefault="001C244F" w:rsidP="001C244F">
      <w:pPr>
        <w:pStyle w:val="NO"/>
      </w:pPr>
      <w:r>
        <w:t>NOTE:</w:t>
      </w:r>
      <w:r>
        <w:tab/>
        <w:t>This agreement is valid, irrespective of whether the actual protocol solution foresees A</w:t>
      </w:r>
      <w:r w:rsidR="00F2043B">
        <w:t>-</w:t>
      </w:r>
      <w:r>
        <w:t>IoT functions to be an explicit part of TS 38.413 only, or whether parts are realised in a (newly to be defined) layer on top of NGAP. Such detail can be regarded as a pure specification detail, with (almost) no impact on the RAN-CN communication itself.</w:t>
      </w:r>
    </w:p>
    <w:p w14:paraId="75DB3A62" w14:textId="46762B1B" w:rsidR="001C244F" w:rsidRDefault="001C244F" w:rsidP="001C244F">
      <w:r>
        <w:t>NGAP was able to be chosen, because NG-C is a traffic interface, i.e. it provides means for CN to request resources for executing transactions between a device and the 5GS. A</w:t>
      </w:r>
      <w:r w:rsidR="00F2043B">
        <w:t>-</w:t>
      </w:r>
      <w:r>
        <w:t>IoT transactions are not different to that respect, the A</w:t>
      </w:r>
      <w:r w:rsidR="00F2043B">
        <w:t>-</w:t>
      </w:r>
      <w:r>
        <w:t>IoT CN request the A</w:t>
      </w:r>
      <w:r w:rsidR="00F2043B">
        <w:t>-</w:t>
      </w:r>
      <w:r>
        <w:t>IoT RAN to allocate resources in order to execute A</w:t>
      </w:r>
      <w:r w:rsidR="00F2043B">
        <w:t>-</w:t>
      </w:r>
      <w:r>
        <w:t>IoT transactions between an A</w:t>
      </w:r>
      <w:r w:rsidR="00F2043B">
        <w:t>-</w:t>
      </w:r>
      <w:r>
        <w:t>IoT device and the 5GS.</w:t>
      </w:r>
    </w:p>
    <w:p w14:paraId="21908263" w14:textId="16746146" w:rsidR="001C244F" w:rsidRDefault="001C244F" w:rsidP="001C244F">
      <w:r>
        <w:t>The “point of attachment” of a device, i.e. the logical function that enables communication between a device and the 5GS for mobile broadband services is a “cell”, whereas for A</w:t>
      </w:r>
      <w:r w:rsidR="00F2043B">
        <w:t>-</w:t>
      </w:r>
      <w:r>
        <w:t>IoT services, we introduced the term “A</w:t>
      </w:r>
      <w:r w:rsidR="00F2043B">
        <w:t>-</w:t>
      </w:r>
      <w:r>
        <w:t>IoT reader”, however, it would have been equally valid to call it “A</w:t>
      </w:r>
      <w:r w:rsidR="00F2043B">
        <w:t>-</w:t>
      </w:r>
      <w:r>
        <w:t>IoT cell”.</w:t>
      </w:r>
    </w:p>
    <w:p w14:paraId="6177F9DA" w14:textId="77777777" w:rsidR="004B6A39" w:rsidRDefault="001C244F" w:rsidP="001C244F">
      <w:r>
        <w:t xml:space="preserve">In 5GS, for mobile broadband services, a “cell” represents a set of resources an NG-RAN node serves, controls and makes available </w:t>
      </w:r>
      <w:r w:rsidR="004B6A39">
        <w:t xml:space="preserve">for usage by the 5GC. However, albeit information on cell-level is exchanged e.g. in case of ULI, there is no communication between NG-RAN and 5GC to announce the set of “cells” that is served by an NG-RAN node. </w:t>
      </w:r>
    </w:p>
    <w:p w14:paraId="406C0F43" w14:textId="77777777" w:rsidR="004B6A39" w:rsidRDefault="004B6A39" w:rsidP="001C244F">
      <w:r>
        <w:t>There is a multitude of further examples available where NG-RAN and 5GC exchange information on cell-level w/o NG-RAN communicating the full set of served cells to 5GC, e.g. for MBS, PWS, Area of Interest, etc.</w:t>
      </w:r>
    </w:p>
    <w:p w14:paraId="6141C1BB" w14:textId="77777777" w:rsidR="004B6A39" w:rsidRDefault="004B6A39" w:rsidP="001C244F">
      <w:r>
        <w:lastRenderedPageBreak/>
        <w:t>There are several reasons why such approach was chosen, among them we can list the aim to keep cell-level-topology details within RAN, avoid the need for frequent updates in case served cell information changes over time, etc. Wherever “area” information has to be communicated by means of cells (e.g. PWS, MBS, etc.), it is assumed that respective information is available at 5GC by means of OAM.</w:t>
      </w:r>
    </w:p>
    <w:p w14:paraId="2FC94014" w14:textId="09C47C12" w:rsidR="004B6A39" w:rsidRDefault="00B07DE6" w:rsidP="00B07DE6">
      <w:pPr>
        <w:pStyle w:val="Eyecatcher"/>
      </w:pPr>
      <w:r>
        <w:t>Proposal 1:</w:t>
      </w:r>
      <w:r>
        <w:tab/>
      </w:r>
      <w:r w:rsidR="004B6A39">
        <w:t>In order to maintain NGAP protocol principles it is proposed to abstain from providing a list of served A</w:t>
      </w:r>
      <w:r w:rsidR="00F2043B">
        <w:t>-</w:t>
      </w:r>
      <w:r w:rsidR="004B6A39">
        <w:t>IoT Reader(-ID)s to 5GC/AIOTF and reply to SA2 accordingly.</w:t>
      </w:r>
    </w:p>
    <w:p w14:paraId="5B9DF603" w14:textId="78474D5D" w:rsidR="00B07DE6" w:rsidRDefault="00B07DE6" w:rsidP="001C244F">
      <w:r>
        <w:t>Nevertheless, we would expect communication of explicit Reader ID(s) to 5GC in analogy to ULI in order to either provide coarse geographical information of the A</w:t>
      </w:r>
      <w:r w:rsidR="00F2043B">
        <w:t>-</w:t>
      </w:r>
      <w:r>
        <w:t>IoT device’s location or to assist subsequent A</w:t>
      </w:r>
      <w:r w:rsidR="00F2043B">
        <w:t>-</w:t>
      </w:r>
      <w:r>
        <w:t>IoT transactions.</w:t>
      </w:r>
    </w:p>
    <w:p w14:paraId="745ED277" w14:textId="46821194" w:rsidR="00B07DE6" w:rsidRDefault="00B07DE6" w:rsidP="00B07DE6">
      <w:pPr>
        <w:pStyle w:val="Eyecatcher"/>
      </w:pPr>
      <w:r>
        <w:t>Proposal 2:</w:t>
      </w:r>
      <w:r>
        <w:tab/>
        <w:t>Reply to SA2 that it is expected to communicate Reader ID level information to 5GC - in analogy to ULI, either for further use as assistance information or location information.</w:t>
      </w:r>
    </w:p>
    <w:p w14:paraId="15F25857" w14:textId="4ED6C41B" w:rsidR="005A66CD" w:rsidRDefault="005A66CD" w:rsidP="001C244F">
      <w:r>
        <w:t>Further, we could also envision to introduce the concept of an “A</w:t>
      </w:r>
      <w:r w:rsidR="00F2043B">
        <w:t>-</w:t>
      </w:r>
      <w:r>
        <w:t>IoT service area”, representing a set of A</w:t>
      </w:r>
      <w:r w:rsidR="00F2043B">
        <w:t>-</w:t>
      </w:r>
      <w:r>
        <w:t xml:space="preserve">IoT Readers, in order to </w:t>
      </w:r>
      <w:r w:rsidR="007F64E6">
        <w:t>allow the A</w:t>
      </w:r>
      <w:r w:rsidR="00F2043B">
        <w:t>-</w:t>
      </w:r>
      <w:r w:rsidR="007F64E6">
        <w:t xml:space="preserve">IoT CN </w:t>
      </w:r>
      <w:r>
        <w:t>indicat</w:t>
      </w:r>
      <w:r w:rsidR="007F64E6">
        <w:t>ing</w:t>
      </w:r>
      <w:r>
        <w:t xml:space="preserve"> the area within which a certain A</w:t>
      </w:r>
      <w:r w:rsidR="00F2043B">
        <w:t>-</w:t>
      </w:r>
      <w:r>
        <w:t>IoT transaction shall be executed</w:t>
      </w:r>
      <w:r w:rsidR="007F64E6">
        <w:t xml:space="preserve"> w/o the necessity to resort to detailed lists of A</w:t>
      </w:r>
      <w:r w:rsidR="00F2043B">
        <w:t>-</w:t>
      </w:r>
      <w:r w:rsidR="007F64E6">
        <w:t>IoT Reader IDs.</w:t>
      </w:r>
    </w:p>
    <w:p w14:paraId="6A439193" w14:textId="256DFD81" w:rsidR="005A66CD" w:rsidRDefault="005A66CD" w:rsidP="001C244F">
      <w:r>
        <w:t>We do not necessarily propose the NG-RAN node to communicate “A</w:t>
      </w:r>
      <w:r w:rsidR="00F2043B">
        <w:t>-</w:t>
      </w:r>
      <w:r>
        <w:t>IoT service areas” served by an A</w:t>
      </w:r>
      <w:r w:rsidR="00F2043B">
        <w:t>-</w:t>
      </w:r>
      <w:r>
        <w:t>IoT RAN node to A</w:t>
      </w:r>
      <w:r w:rsidR="00F2043B">
        <w:t>-</w:t>
      </w:r>
      <w:r>
        <w:t>IoT CN, but rather rely on information configured in A</w:t>
      </w:r>
      <w:r w:rsidR="00F2043B">
        <w:t>-</w:t>
      </w:r>
      <w:r>
        <w:t>IoT RAN and A</w:t>
      </w:r>
      <w:r w:rsidR="00F2043B">
        <w:t>-</w:t>
      </w:r>
      <w:r>
        <w:t>IoT CN</w:t>
      </w:r>
      <w:r w:rsidR="007F64E6">
        <w:t xml:space="preserve"> (examples for such approach are available in NGAP as well, e.g. Emergency Area ID, </w:t>
      </w:r>
      <w:r w:rsidR="007F64E6" w:rsidRPr="00DF57DB">
        <w:t>MBS Frequency Selection Area Identity</w:t>
      </w:r>
      <w:r w:rsidR="007F64E6">
        <w:t>)</w:t>
      </w:r>
    </w:p>
    <w:p w14:paraId="08D14696" w14:textId="66261B26" w:rsidR="005A66CD" w:rsidRDefault="005A66CD" w:rsidP="001C244F">
      <w:r>
        <w:t>Introducing an “A</w:t>
      </w:r>
      <w:r w:rsidR="00F2043B">
        <w:t>-</w:t>
      </w:r>
      <w:r>
        <w:t xml:space="preserve">IoT service area” is, in our view, especially beneficial for short-range/indoor </w:t>
      </w:r>
      <w:r w:rsidR="008835A2">
        <w:t>A</w:t>
      </w:r>
      <w:r w:rsidR="00F2043B">
        <w:t>-</w:t>
      </w:r>
      <w:r w:rsidR="008835A2">
        <w:t>IoT deployments: a</w:t>
      </w:r>
      <w:r>
        <w:t>n A</w:t>
      </w:r>
      <w:r w:rsidR="00F2043B">
        <w:t>-</w:t>
      </w:r>
      <w:r>
        <w:t>IoT Reader may be configured to be member of several “A</w:t>
      </w:r>
      <w:r w:rsidR="00F2043B">
        <w:t>-</w:t>
      </w:r>
      <w:r>
        <w:t xml:space="preserve">IoT service areas” simultaneously, e.g. in a ware-house, a reader could be associated with 3 </w:t>
      </w:r>
      <w:r w:rsidR="008835A2">
        <w:t xml:space="preserve">(levels of) </w:t>
      </w:r>
      <w:r>
        <w:t>“A</w:t>
      </w:r>
      <w:r w:rsidR="00F2043B">
        <w:t>-</w:t>
      </w:r>
      <w:r>
        <w:t>IoT service areas”, one representing a stockroom, one the floor of that stockroom, a third one the building.</w:t>
      </w:r>
    </w:p>
    <w:p w14:paraId="51136A75" w14:textId="5EEC5D90" w:rsidR="001C244F" w:rsidRDefault="005A66CD" w:rsidP="001C244F">
      <w:r>
        <w:t>Abstracting the actual realisation of the (seamless) support of an A</w:t>
      </w:r>
      <w:r w:rsidR="00F2043B">
        <w:t>-</w:t>
      </w:r>
      <w:r>
        <w:t xml:space="preserve">IoT service in a certain area/environment from information typically used on application level (along the example above: room/floor/building) </w:t>
      </w:r>
      <w:r w:rsidR="00501DF1">
        <w:t>would be, in our opinion, the appropriate way to further maintain the existing functional split between RAN and CN.</w:t>
      </w:r>
    </w:p>
    <w:p w14:paraId="08517BCC" w14:textId="5977541D" w:rsidR="00237F7C" w:rsidRDefault="00237F7C" w:rsidP="00237F7C">
      <w:pPr>
        <w:pStyle w:val="Eyecatcher"/>
      </w:pPr>
      <w:r>
        <w:t>Proposal</w:t>
      </w:r>
      <w:r w:rsidR="007F64E6">
        <w:t xml:space="preserve"> 3</w:t>
      </w:r>
      <w:r>
        <w:t>:</w:t>
      </w:r>
      <w:r>
        <w:tab/>
        <w:t xml:space="preserve">We propose to </w:t>
      </w:r>
      <w:r w:rsidR="007131C5">
        <w:t>suggest SA2 introducing</w:t>
      </w:r>
      <w:r w:rsidR="008835A2">
        <w:t>, especially within the Rel-19 scope of small range/indoor deployments,</w:t>
      </w:r>
      <w:r w:rsidR="007131C5">
        <w:t xml:space="preserve"> </w:t>
      </w:r>
      <w:r w:rsidR="008835A2">
        <w:t>associated</w:t>
      </w:r>
      <w:r w:rsidR="007131C5">
        <w:t xml:space="preserve"> at the A</w:t>
      </w:r>
      <w:r w:rsidR="00F2043B">
        <w:t>-</w:t>
      </w:r>
      <w:r w:rsidR="007131C5">
        <w:t>IoT CN (potentially overlapping) geographical areas and at the A</w:t>
      </w:r>
      <w:r w:rsidR="00F2043B">
        <w:t>-</w:t>
      </w:r>
      <w:r w:rsidR="007131C5">
        <w:t xml:space="preserve">IoT RAN </w:t>
      </w:r>
      <w:r w:rsidR="008835A2">
        <w:t>side with sets</w:t>
      </w:r>
      <w:r w:rsidR="007131C5">
        <w:t xml:space="preserve"> of A</w:t>
      </w:r>
      <w:r w:rsidR="00F2043B">
        <w:t>-</w:t>
      </w:r>
      <w:r w:rsidR="007131C5">
        <w:t>IoT Readers</w:t>
      </w:r>
      <w:r w:rsidR="008835A2">
        <w:t>. We also propose to communicate to SA2 that RAN3 doesn’t see a need to communicate from A</w:t>
      </w:r>
      <w:r w:rsidR="00F2043B">
        <w:t>-</w:t>
      </w:r>
      <w:r w:rsidR="008835A2">
        <w:t>IoT RAN the served</w:t>
      </w:r>
      <w:r w:rsidR="007131C5">
        <w:t xml:space="preserve"> “A</w:t>
      </w:r>
      <w:r w:rsidR="00F2043B">
        <w:t>-</w:t>
      </w:r>
      <w:r w:rsidR="007131C5">
        <w:t>IoT Service Areas”</w:t>
      </w:r>
      <w:r w:rsidR="008835A2">
        <w:t xml:space="preserve"> but to rather rely on OAM.</w:t>
      </w:r>
    </w:p>
    <w:p w14:paraId="3906E886" w14:textId="77777777" w:rsidR="00237F7C" w:rsidRPr="00DB5364" w:rsidRDefault="00237F7C"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380BEC70" w14:textId="5BC7392C" w:rsidR="00A145C6" w:rsidRDefault="00A145C6" w:rsidP="00D80F19">
      <w:r>
        <w:t>It is proposed to discuss the following proposals:</w:t>
      </w:r>
    </w:p>
    <w:p w14:paraId="6A640E2F" w14:textId="51E2B0AE" w:rsidR="008835A2" w:rsidRDefault="008835A2" w:rsidP="008835A2">
      <w:pPr>
        <w:pStyle w:val="Eyecatcher"/>
      </w:pPr>
      <w:r>
        <w:t>Proposal 1:</w:t>
      </w:r>
      <w:r>
        <w:tab/>
        <w:t>In order to maintain NGAP protocol principles it is proposed to abstain from providing a list of served A</w:t>
      </w:r>
      <w:r w:rsidR="00F2043B">
        <w:t>-</w:t>
      </w:r>
      <w:r>
        <w:t>IoT Reader(-ID)s to 5GC/AIOTF and reply to SA2 accordingly.</w:t>
      </w:r>
    </w:p>
    <w:p w14:paraId="40659AD1" w14:textId="77777777" w:rsidR="008835A2" w:rsidRDefault="008835A2" w:rsidP="008835A2">
      <w:pPr>
        <w:pStyle w:val="Eyecatcher"/>
      </w:pPr>
      <w:r>
        <w:t>Proposal 2:</w:t>
      </w:r>
      <w:r>
        <w:tab/>
        <w:t>Reply to SA2 that it is expected to communicate Reader ID level information to 5GC - in analogy to ULI, either for further use as assistance information or location information.</w:t>
      </w:r>
    </w:p>
    <w:p w14:paraId="7E359AB8" w14:textId="02C93B35" w:rsidR="008835A2" w:rsidRDefault="008835A2" w:rsidP="008835A2">
      <w:pPr>
        <w:pStyle w:val="Eyecatcher"/>
      </w:pPr>
      <w:r>
        <w:t>Proposal 3:</w:t>
      </w:r>
      <w:r>
        <w:tab/>
        <w:t>We propose to suggest SA2 introducing, especially within the Rel-19 scope of small range/indoor deployments, associated at the A</w:t>
      </w:r>
      <w:r w:rsidR="00F2043B">
        <w:t>-</w:t>
      </w:r>
      <w:r>
        <w:t>IoT CN (potentially overlapping) geographical areas and at the A</w:t>
      </w:r>
      <w:r w:rsidR="00F2043B">
        <w:t>-</w:t>
      </w:r>
      <w:r>
        <w:t>IoT RAN side with sets of A</w:t>
      </w:r>
      <w:r w:rsidR="00F2043B">
        <w:t>-</w:t>
      </w:r>
      <w:r>
        <w:t>IoT Readers. We also propose to communicate to SA2 that RAN3 doesn’t see a need to communicate from A</w:t>
      </w:r>
      <w:r w:rsidR="00F2043B">
        <w:t>-</w:t>
      </w:r>
      <w:r>
        <w:t>IoT RAN the served “A</w:t>
      </w:r>
      <w:r w:rsidR="00F2043B">
        <w:t>-</w:t>
      </w:r>
      <w:r>
        <w:t>IoT Service Areas” but to rather rely on OAM.</w:t>
      </w:r>
    </w:p>
    <w:p w14:paraId="2AC4F6CC" w14:textId="14C0599E" w:rsidR="00FB7231" w:rsidRPr="008835A2" w:rsidRDefault="008835A2" w:rsidP="00D80F19">
      <w:pPr>
        <w:rPr>
          <w:b/>
          <w:bCs/>
        </w:rPr>
      </w:pPr>
      <w:r>
        <w:rPr>
          <w:b/>
          <w:bCs/>
        </w:rPr>
        <w:t>Concluding proposal:</w:t>
      </w:r>
      <w:r>
        <w:rPr>
          <w:b/>
          <w:bCs/>
        </w:rPr>
        <w:tab/>
      </w:r>
      <w:r w:rsidR="00A145C6" w:rsidRPr="008835A2">
        <w:rPr>
          <w:b/>
          <w:bCs/>
        </w:rPr>
        <w:t xml:space="preserve">It is further proposed to </w:t>
      </w:r>
      <w:r w:rsidR="00FB7231" w:rsidRPr="008835A2">
        <w:rPr>
          <w:b/>
          <w:bCs/>
        </w:rPr>
        <w:t>reply to SA2 along the draft reply LS in R3-25</w:t>
      </w:r>
      <w:r w:rsidR="00E1158E">
        <w:rPr>
          <w:b/>
          <w:bCs/>
        </w:rPr>
        <w:t>0443</w:t>
      </w:r>
      <w:r w:rsidR="00FB7231" w:rsidRPr="008835A2">
        <w:rPr>
          <w:b/>
          <w:bCs/>
        </w:rPr>
        <w:t>.</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lastRenderedPageBreak/>
        <w:t>4</w:t>
      </w:r>
      <w:r>
        <w:rPr>
          <w:rFonts w:cs="Arial"/>
        </w:rPr>
        <w:tab/>
        <w:t>References</w:t>
      </w:r>
      <w:bookmarkEnd w:id="23"/>
      <w:bookmarkEnd w:id="24"/>
      <w:bookmarkEnd w:id="25"/>
      <w:bookmarkEnd w:id="26"/>
      <w:bookmarkEnd w:id="27"/>
      <w:bookmarkEnd w:id="28"/>
      <w:bookmarkEnd w:id="29"/>
    </w:p>
    <w:p w14:paraId="1621B1C5" w14:textId="3BAB58E8"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FB7231">
        <w:rPr>
          <w:rFonts w:eastAsia="SimSun"/>
          <w:bCs/>
          <w:lang w:eastAsia="zh-CN"/>
        </w:rPr>
        <w:t xml:space="preserve">R3-250075/S2-2501343 </w:t>
      </w:r>
      <w:r w:rsidR="00D80F19" w:rsidRPr="00D80F19">
        <w:t>"</w:t>
      </w:r>
      <w:r w:rsidR="00FB7231" w:rsidRPr="00863312">
        <w:rPr>
          <w:color w:val="000000"/>
        </w:rPr>
        <w:t>LS on</w:t>
      </w:r>
      <w:r w:rsidR="00FB7231">
        <w:rPr>
          <w:color w:val="000000"/>
        </w:rPr>
        <w:t xml:space="preserve"> </w:t>
      </w:r>
      <w:r w:rsidR="00FB7231" w:rsidRPr="00863312">
        <w:rPr>
          <w:color w:val="000000"/>
        </w:rPr>
        <w:t>SA2 Ambient IoT TR conclusion update</w:t>
      </w:r>
      <w:r w:rsidR="00D80F19" w:rsidRPr="00D80F19">
        <w:t>"</w:t>
      </w:r>
      <w:bookmarkEnd w:id="22"/>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636AD" w14:textId="77777777" w:rsidR="00B60F98" w:rsidRDefault="00B60F98">
      <w:r>
        <w:separator/>
      </w:r>
    </w:p>
  </w:endnote>
  <w:endnote w:type="continuationSeparator" w:id="0">
    <w:p w14:paraId="6C0CC298" w14:textId="77777777" w:rsidR="00B60F98" w:rsidRDefault="00B6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294D" w14:textId="77777777" w:rsidR="00B60F98" w:rsidRDefault="00B60F98">
      <w:r>
        <w:separator/>
      </w:r>
    </w:p>
  </w:footnote>
  <w:footnote w:type="continuationSeparator" w:id="0">
    <w:p w14:paraId="42409568" w14:textId="77777777" w:rsidR="00B60F98" w:rsidRDefault="00B60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B318F"/>
    <w:rsid w:val="000C2BFF"/>
    <w:rsid w:val="000D77DB"/>
    <w:rsid w:val="000F02C3"/>
    <w:rsid w:val="0010503B"/>
    <w:rsid w:val="00117327"/>
    <w:rsid w:val="00122EA7"/>
    <w:rsid w:val="00126984"/>
    <w:rsid w:val="001601A9"/>
    <w:rsid w:val="00162A98"/>
    <w:rsid w:val="001634D2"/>
    <w:rsid w:val="001C244F"/>
    <w:rsid w:val="001D1142"/>
    <w:rsid w:val="001D3360"/>
    <w:rsid w:val="00203F86"/>
    <w:rsid w:val="0021478C"/>
    <w:rsid w:val="002174CA"/>
    <w:rsid w:val="002177A7"/>
    <w:rsid w:val="002300C6"/>
    <w:rsid w:val="00230764"/>
    <w:rsid w:val="002336F5"/>
    <w:rsid w:val="00237F7C"/>
    <w:rsid w:val="00247F22"/>
    <w:rsid w:val="00257E42"/>
    <w:rsid w:val="00294C24"/>
    <w:rsid w:val="002A739F"/>
    <w:rsid w:val="002B54A1"/>
    <w:rsid w:val="00305FE0"/>
    <w:rsid w:val="00312F43"/>
    <w:rsid w:val="003229C8"/>
    <w:rsid w:val="00335217"/>
    <w:rsid w:val="003514CE"/>
    <w:rsid w:val="00362FD6"/>
    <w:rsid w:val="003658DB"/>
    <w:rsid w:val="00383916"/>
    <w:rsid w:val="003A0811"/>
    <w:rsid w:val="003A6BAA"/>
    <w:rsid w:val="003A72C5"/>
    <w:rsid w:val="003A7669"/>
    <w:rsid w:val="003B1332"/>
    <w:rsid w:val="003B5037"/>
    <w:rsid w:val="003B602E"/>
    <w:rsid w:val="003D108B"/>
    <w:rsid w:val="003D15C1"/>
    <w:rsid w:val="003F04CA"/>
    <w:rsid w:val="003F438B"/>
    <w:rsid w:val="003F49ED"/>
    <w:rsid w:val="003F6D4D"/>
    <w:rsid w:val="00412C70"/>
    <w:rsid w:val="00431125"/>
    <w:rsid w:val="00436463"/>
    <w:rsid w:val="00440215"/>
    <w:rsid w:val="00440EB3"/>
    <w:rsid w:val="00456756"/>
    <w:rsid w:val="00456836"/>
    <w:rsid w:val="00464F3D"/>
    <w:rsid w:val="00474F20"/>
    <w:rsid w:val="00486CAA"/>
    <w:rsid w:val="0049743E"/>
    <w:rsid w:val="004A605A"/>
    <w:rsid w:val="004B6A39"/>
    <w:rsid w:val="004E3A07"/>
    <w:rsid w:val="004E3AF3"/>
    <w:rsid w:val="004F4425"/>
    <w:rsid w:val="00501135"/>
    <w:rsid w:val="00501DF1"/>
    <w:rsid w:val="00506D99"/>
    <w:rsid w:val="00507D9D"/>
    <w:rsid w:val="00523AA3"/>
    <w:rsid w:val="00536615"/>
    <w:rsid w:val="00543DB8"/>
    <w:rsid w:val="005475C5"/>
    <w:rsid w:val="005718AB"/>
    <w:rsid w:val="00580121"/>
    <w:rsid w:val="005855D2"/>
    <w:rsid w:val="005A1D2C"/>
    <w:rsid w:val="005A66CD"/>
    <w:rsid w:val="005B14C0"/>
    <w:rsid w:val="005C1208"/>
    <w:rsid w:val="005C7A44"/>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1A7F"/>
    <w:rsid w:val="006A4516"/>
    <w:rsid w:val="006A461D"/>
    <w:rsid w:val="006A4FF6"/>
    <w:rsid w:val="006A693D"/>
    <w:rsid w:val="006C0235"/>
    <w:rsid w:val="006C7ADE"/>
    <w:rsid w:val="00707B18"/>
    <w:rsid w:val="007131C5"/>
    <w:rsid w:val="007159BF"/>
    <w:rsid w:val="0073451F"/>
    <w:rsid w:val="007433DE"/>
    <w:rsid w:val="007466BD"/>
    <w:rsid w:val="00781629"/>
    <w:rsid w:val="0079087F"/>
    <w:rsid w:val="00796EFE"/>
    <w:rsid w:val="0079764C"/>
    <w:rsid w:val="007B42A3"/>
    <w:rsid w:val="007D41E9"/>
    <w:rsid w:val="007E6FF8"/>
    <w:rsid w:val="007F64E6"/>
    <w:rsid w:val="007F669C"/>
    <w:rsid w:val="00805AD4"/>
    <w:rsid w:val="008514ED"/>
    <w:rsid w:val="00853BBD"/>
    <w:rsid w:val="00873094"/>
    <w:rsid w:val="00874E71"/>
    <w:rsid w:val="008775B7"/>
    <w:rsid w:val="008835A2"/>
    <w:rsid w:val="008925B8"/>
    <w:rsid w:val="008A4843"/>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45C6"/>
    <w:rsid w:val="00A17E34"/>
    <w:rsid w:val="00A23F45"/>
    <w:rsid w:val="00A57FBC"/>
    <w:rsid w:val="00A71A00"/>
    <w:rsid w:val="00A72A5B"/>
    <w:rsid w:val="00A8073C"/>
    <w:rsid w:val="00A81F54"/>
    <w:rsid w:val="00A97481"/>
    <w:rsid w:val="00AA22F9"/>
    <w:rsid w:val="00AA3AC6"/>
    <w:rsid w:val="00AB4E41"/>
    <w:rsid w:val="00AC3492"/>
    <w:rsid w:val="00AE2347"/>
    <w:rsid w:val="00AF1555"/>
    <w:rsid w:val="00AF1A71"/>
    <w:rsid w:val="00AF4A12"/>
    <w:rsid w:val="00AF780A"/>
    <w:rsid w:val="00B06C16"/>
    <w:rsid w:val="00B07DE6"/>
    <w:rsid w:val="00B117E3"/>
    <w:rsid w:val="00B13580"/>
    <w:rsid w:val="00B15DB4"/>
    <w:rsid w:val="00B17533"/>
    <w:rsid w:val="00B231F4"/>
    <w:rsid w:val="00B329D3"/>
    <w:rsid w:val="00B532EB"/>
    <w:rsid w:val="00B56F1A"/>
    <w:rsid w:val="00B60F98"/>
    <w:rsid w:val="00B7329F"/>
    <w:rsid w:val="00B85C0E"/>
    <w:rsid w:val="00B868C5"/>
    <w:rsid w:val="00BA0C6E"/>
    <w:rsid w:val="00BB35EA"/>
    <w:rsid w:val="00BB7AD2"/>
    <w:rsid w:val="00BD2D0A"/>
    <w:rsid w:val="00BD509A"/>
    <w:rsid w:val="00BD588D"/>
    <w:rsid w:val="00BE4262"/>
    <w:rsid w:val="00BF2E54"/>
    <w:rsid w:val="00BF626B"/>
    <w:rsid w:val="00C04DB5"/>
    <w:rsid w:val="00C06704"/>
    <w:rsid w:val="00C17C56"/>
    <w:rsid w:val="00C24258"/>
    <w:rsid w:val="00C270D1"/>
    <w:rsid w:val="00C344A0"/>
    <w:rsid w:val="00C45C17"/>
    <w:rsid w:val="00C53883"/>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1A1D"/>
    <w:rsid w:val="00D9600A"/>
    <w:rsid w:val="00D971BA"/>
    <w:rsid w:val="00DB5364"/>
    <w:rsid w:val="00DB797B"/>
    <w:rsid w:val="00DC3007"/>
    <w:rsid w:val="00DC3BE7"/>
    <w:rsid w:val="00DC53D2"/>
    <w:rsid w:val="00DD35C8"/>
    <w:rsid w:val="00E1158E"/>
    <w:rsid w:val="00E16E4F"/>
    <w:rsid w:val="00E26242"/>
    <w:rsid w:val="00E27896"/>
    <w:rsid w:val="00E329B4"/>
    <w:rsid w:val="00E37069"/>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2043B"/>
    <w:rsid w:val="00F31F35"/>
    <w:rsid w:val="00F6139A"/>
    <w:rsid w:val="00F6616C"/>
    <w:rsid w:val="00F812EA"/>
    <w:rsid w:val="00FB7231"/>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E246ED-4C15-4F61-AB43-894DDC01B3FE}">
  <ds:schemaRefs>
    <ds:schemaRef ds:uri="http://schemas.microsoft.com/office/2006/metadata/properties"/>
    <ds:schemaRef ds:uri="d8762117-8292-4133-b1c7-eab5c6487cfd"/>
    <ds:schemaRef ds:uri="http://schemas.microsoft.com/office/2006/documentManagement/types"/>
    <ds:schemaRef ds:uri="http://purl.org/dc/dcmitype/"/>
    <ds:schemaRef ds:uri="9b239327-9e80-40e4-b1b7-4394fed77a33"/>
    <ds:schemaRef ds:uri="http://schemas.microsoft.com/sharepoint/v3"/>
    <ds:schemaRef ds:uri="http://purl.org/dc/elements/1.1/"/>
    <ds:schemaRef ds:uri="http://purl.org/dc/terms/"/>
    <ds:schemaRef ds:uri="2f282d3b-eb4a-4b09-b61f-b9593442e286"/>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128A39FA-8149-4D6E-A63E-000948DA2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B1D07-A3FA-4668-9F0D-5EC753410B9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3</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127</vt:lpstr>
      <vt:lpstr>3GPP TSG-RAN WG3 Meeting #60</vt:lpstr>
    </vt:vector>
  </TitlesOfParts>
  <Company>Siemens AG</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127</dc:title>
  <dc:subject/>
  <dc:creator>Ericsson</dc:creator>
  <cp:keywords/>
  <cp:lastModifiedBy>Ericsson User</cp:lastModifiedBy>
  <cp:revision>9</cp:revision>
  <dcterms:created xsi:type="dcterms:W3CDTF">2025-02-04T06:54:00Z</dcterms:created>
  <dcterms:modified xsi:type="dcterms:W3CDTF">2025-02-06T16:26:00Z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